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footer10.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2.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3.xml" ContentType="application/vnd.openxmlformats-officedocument.drawingml.chartshapes+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Toc480988875" w:displacedByCustomXml="next"/>
    <w:bookmarkStart w:id="2" w:name="_Toc481138187" w:displacedByCustomXml="next"/>
    <w:bookmarkStart w:id="3" w:name="_Toc481138395" w:displacedByCustomXml="next"/>
    <w:bookmarkStart w:id="4" w:name="_Hlk481497640" w:displacedByCustomXml="next"/>
    <w:sdt>
      <w:sdtPr>
        <w:rPr>
          <w:lang w:val="en-AU"/>
        </w:rPr>
        <w:id w:val="-1806228930"/>
        <w:docPartObj>
          <w:docPartGallery w:val="Cover Pages"/>
          <w:docPartUnique/>
        </w:docPartObj>
      </w:sdtPr>
      <w:sdtEndPr/>
      <w:sdtContent>
        <w:sdt>
          <w:sdtPr>
            <w:id w:val="-1193684748"/>
            <w:placeholder>
              <w:docPart w:val="E82425D95ED641C48D3E251709061261"/>
            </w:placeholder>
            <w:showingPlcHdr/>
            <w:text/>
          </w:sdtPr>
          <w:sdtEndPr/>
          <w:sdtContent>
            <w:p w14:paraId="735098D5" w14:textId="5A5950CA" w:rsidR="00067DD9" w:rsidRDefault="00067DD9" w:rsidP="00633068">
              <w:pPr>
                <w:pStyle w:val="NoSpacing"/>
                <w:sectPr w:rsidR="00067DD9" w:rsidSect="00703C67">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134" w:right="1134" w:bottom="1134" w:left="1134" w:header="709" w:footer="692" w:gutter="0"/>
                  <w:pgNumType w:start="0"/>
                  <w:cols w:space="708"/>
                  <w:docGrid w:linePitch="360"/>
                </w:sectPr>
              </w:pPr>
              <w:r>
                <w:t xml:space="preserve">  </w:t>
              </w:r>
            </w:p>
          </w:sdtContent>
        </w:sdt>
        <w:p w14:paraId="76040648" w14:textId="1C090CDA" w:rsidR="00067DD9" w:rsidRPr="0063494B" w:rsidRDefault="009B4A8E" w:rsidP="00633068">
          <w:pPr>
            <w:pStyle w:val="Title"/>
          </w:pPr>
          <w:r>
            <w:t>Payment difficulty framework implementation review 2022</w:t>
          </w:r>
        </w:p>
        <w:p w14:paraId="1371EF5F" w14:textId="37811197" w:rsidR="00067DD9" w:rsidRDefault="009B4A8E" w:rsidP="00633068">
          <w:pPr>
            <w:pStyle w:val="Subtitle"/>
          </w:pPr>
          <w:r>
            <w:t>Findings report</w:t>
          </w:r>
        </w:p>
        <w:p w14:paraId="14F8C2B1" w14:textId="1337672E" w:rsidR="00067DD9" w:rsidRDefault="00357DD7" w:rsidP="000A7FD9">
          <w:pPr>
            <w:pStyle w:val="Subtitle"/>
          </w:pPr>
          <w:sdt>
            <w:sdtPr>
              <w:id w:val="1251166870"/>
              <w:placeholder>
                <w:docPart w:val="47F0790DF18E4923ADC776F0B4837A6E"/>
              </w:placeholder>
              <w:date w:fullDate="2022-05-31T00:00:00Z">
                <w:dateFormat w:val="d MMMM yyyy"/>
                <w:lid w:val="en-US"/>
                <w:storeMappedDataAs w:val="dateTime"/>
                <w:calendar w:val="gregorian"/>
              </w:date>
            </w:sdtPr>
            <w:sdtEndPr/>
            <w:sdtContent>
              <w:r w:rsidR="009B4A8E">
                <w:rPr>
                  <w:lang w:val="en-US"/>
                </w:rPr>
                <w:t>31 May 2022</w:t>
              </w:r>
            </w:sdtContent>
          </w:sdt>
        </w:p>
        <w:p w14:paraId="2651B61A" w14:textId="77777777" w:rsidR="00067DD9" w:rsidRDefault="00067DD9"/>
        <w:p w14:paraId="27C3C6F5" w14:textId="1D2D2F68" w:rsidR="00067DD9" w:rsidRDefault="00067DD9">
          <w:pPr>
            <w:spacing w:line="259" w:lineRule="auto"/>
          </w:pPr>
          <w:r>
            <w:br w:type="page"/>
          </w:r>
        </w:p>
      </w:sdtContent>
    </w:sdt>
    <w:p w14:paraId="1CB471BC" w14:textId="77777777" w:rsidR="00F83935" w:rsidRDefault="00F83935" w:rsidP="000D4547">
      <w:pPr>
        <w:pStyle w:val="NoSpacing"/>
        <w:rPr>
          <w:b/>
        </w:rPr>
      </w:pPr>
    </w:p>
    <w:p w14:paraId="517BECC6" w14:textId="77777777" w:rsidR="00881E07" w:rsidRPr="00F83935" w:rsidRDefault="00881E07" w:rsidP="00F83935">
      <w:pPr>
        <w:spacing w:line="259" w:lineRule="auto"/>
        <w:rPr>
          <w:rStyle w:val="Strong"/>
          <w:b w:val="0"/>
          <w:bCs w:val="0"/>
        </w:rPr>
      </w:pPr>
      <w:r w:rsidRPr="00710792">
        <w:rPr>
          <w:rStyle w:val="Strong"/>
        </w:rPr>
        <w:t>An appropriate citation for this paper is:</w:t>
      </w:r>
      <w:bookmarkEnd w:id="3"/>
      <w:bookmarkEnd w:id="2"/>
      <w:bookmarkEnd w:id="1"/>
    </w:p>
    <w:p w14:paraId="1A37399B" w14:textId="2004AC96" w:rsidR="00943BDE" w:rsidRDefault="00881E07" w:rsidP="00943BDE">
      <w:r>
        <w:t>Essential Services Commission</w:t>
      </w:r>
      <w:r w:rsidR="003904B9">
        <w:t xml:space="preserve"> </w:t>
      </w:r>
      <w:sdt>
        <w:sdtPr>
          <w:alias w:val="Year"/>
          <w:tag w:val="Year"/>
          <w:id w:val="-1184668763"/>
          <w:placeholder>
            <w:docPart w:val="0B50DB21F4FD472882D9F626976C3459"/>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9B4A8E">
            <w:t>2022</w:t>
          </w:r>
        </w:sdtContent>
      </w:sdt>
      <w:r>
        <w:t xml:space="preserve">, </w:t>
      </w:r>
      <w:r w:rsidR="009B4A8E">
        <w:t>Payment difficulty framework implementation review 2022</w:t>
      </w:r>
      <w:r w:rsidR="00633068">
        <w:t xml:space="preserve">: </w:t>
      </w:r>
      <w:r w:rsidR="009B4A8E">
        <w:t>Findings report</w:t>
      </w:r>
      <w:r w:rsidR="00012434">
        <w:t>,</w:t>
      </w:r>
      <w:r w:rsidR="00633068">
        <w:t xml:space="preserve"> </w:t>
      </w:r>
      <w:sdt>
        <w:sdtPr>
          <w:alias w:val="Date"/>
          <w:tag w:val="Year"/>
          <w:id w:val="-733004738"/>
          <w:placeholder>
            <w:docPart w:val="B7A0BE0C975D40F1BE1CEF2AE61314F5"/>
          </w:placeholder>
          <w:date w:fullDate="2022-05-31T00:00:00Z">
            <w:dateFormat w:val="d MMMM "/>
            <w:lid w:val="en-US"/>
            <w:storeMappedDataAs w:val="dateTime"/>
            <w:calendar w:val="gregorian"/>
          </w:date>
        </w:sdtPr>
        <w:sdtEndPr/>
        <w:sdtContent>
          <w:r w:rsidR="009B4A8E">
            <w:rPr>
              <w:lang w:val="en-US"/>
            </w:rPr>
            <w:t xml:space="preserve">31 May </w:t>
          </w:r>
        </w:sdtContent>
      </w:sdt>
    </w:p>
    <w:p w14:paraId="53A9A255" w14:textId="77777777" w:rsidR="00710792" w:rsidRDefault="00710792" w:rsidP="00710792">
      <w:pPr>
        <w:rPr>
          <w:rStyle w:val="Strong"/>
        </w:rPr>
      </w:pPr>
      <w:bookmarkStart w:id="5" w:name="_Toc480988876"/>
      <w:bookmarkStart w:id="6" w:name="_Toc481138188"/>
      <w:bookmarkStart w:id="7" w:name="_Toc481138396"/>
    </w:p>
    <w:p w14:paraId="2DC58B78" w14:textId="77777777" w:rsidR="00881E07" w:rsidRPr="00710792" w:rsidRDefault="00881E07" w:rsidP="00710792">
      <w:pPr>
        <w:rPr>
          <w:rStyle w:val="Strong"/>
        </w:rPr>
      </w:pPr>
      <w:r w:rsidRPr="00710792">
        <w:rPr>
          <w:rStyle w:val="Strong"/>
        </w:rPr>
        <w:t>Copyright notice</w:t>
      </w:r>
      <w:bookmarkEnd w:id="5"/>
      <w:bookmarkEnd w:id="6"/>
      <w:bookmarkEnd w:id="7"/>
    </w:p>
    <w:p w14:paraId="0E844659" w14:textId="6E53E737" w:rsidR="00881E07" w:rsidRDefault="00881E07" w:rsidP="00943BDE">
      <w:r>
        <w:t xml:space="preserve">© </w:t>
      </w:r>
      <w:r w:rsidR="00563AD8">
        <w:t>Essential Services Commission</w:t>
      </w:r>
      <w:r w:rsidR="00012434">
        <w:t>,</w:t>
      </w:r>
      <w:r w:rsidR="00563AD8">
        <w:t xml:space="preserve"> </w:t>
      </w:r>
      <w:sdt>
        <w:sdtPr>
          <w:alias w:val="Year"/>
          <w:tag w:val="Year"/>
          <w:id w:val="1606076632"/>
          <w:placeholder>
            <w:docPart w:val="B07F79FB48AD451BB0754669EC831589"/>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9B4A8E">
            <w:t>2022</w:t>
          </w:r>
        </w:sdtContent>
      </w:sdt>
    </w:p>
    <w:p w14:paraId="038B9050" w14:textId="77777777" w:rsidR="0050064B" w:rsidRDefault="0050064B" w:rsidP="00943BDE"/>
    <w:p w14:paraId="1C2C0796" w14:textId="77777777" w:rsidR="00881E07" w:rsidRDefault="0050064B" w:rsidP="00881E07">
      <w:r w:rsidRPr="00F70F20">
        <w:rPr>
          <w:noProof/>
          <w:lang w:eastAsia="en-AU"/>
        </w:rPr>
        <w:drawing>
          <wp:inline distT="0" distB="0" distL="0" distR="0" wp14:anchorId="625C30C8" wp14:editId="05C85468">
            <wp:extent cx="1198800" cy="421200"/>
            <wp:effectExtent l="0" t="0" r="1905" b="0"/>
            <wp:docPr id="4" name="Picture 4" descr="untitl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800" cy="421200"/>
                    </a:xfrm>
                    <a:prstGeom prst="rect">
                      <a:avLst/>
                    </a:prstGeom>
                    <a:noFill/>
                  </pic:spPr>
                </pic:pic>
              </a:graphicData>
            </a:graphic>
          </wp:inline>
        </w:drawing>
      </w:r>
      <w:r w:rsidR="00881E07">
        <w:t xml:space="preserve"> </w:t>
      </w:r>
    </w:p>
    <w:p w14:paraId="602BB3A5" w14:textId="49859844" w:rsidR="00881E07" w:rsidRDefault="00881E07" w:rsidP="00881E07">
      <w:r>
        <w:t xml:space="preserve">This work, </w:t>
      </w:r>
      <w:r w:rsidR="009B4A8E">
        <w:t>Payment difficulty framework implementation review 2022</w:t>
      </w:r>
      <w:r>
        <w:t>, is licensed under a Creative Commons Attribution 4.0 licence [creativecommons.org/licen</w:t>
      </w:r>
      <w:r w:rsidR="00563AD8">
        <w:t>ses/by/4.0]. You are free to re-</w:t>
      </w:r>
      <w:r>
        <w:t>use the work under that licence, on the condition that you credit the Essential Services Commission as author, indicate if changes were made and comply with the other licence terms.</w:t>
      </w:r>
    </w:p>
    <w:p w14:paraId="0797BCF4" w14:textId="77777777" w:rsidR="00EA47A3" w:rsidRDefault="00881E07" w:rsidP="00881E07">
      <w:r>
        <w:t>The licence does not apply to any brand logo, images or photographs within the publication.</w:t>
      </w:r>
    </w:p>
    <w:p w14:paraId="6338815B" w14:textId="77777777" w:rsidR="00717CCA" w:rsidRDefault="00717CCA" w:rsidP="00881E07"/>
    <w:p w14:paraId="09C75A0D" w14:textId="77777777" w:rsidR="00717CCA" w:rsidRDefault="00717CCA" w:rsidP="00881E07"/>
    <w:bookmarkEnd w:id="4" w:displacedByCustomXml="next"/>
    <w:sdt>
      <w:sdtPr>
        <w:id w:val="1641840776"/>
        <w:lock w:val="sdtContentLocked"/>
        <w:placeholder>
          <w:docPart w:val="30CD3560A69F4F41B77DF9265D2EC5AA"/>
        </w:placeholder>
        <w:showingPlcHdr/>
        <w:text/>
      </w:sdtPr>
      <w:sdtEndPr/>
      <w:sdtContent>
        <w:p w14:paraId="3FD65DF8" w14:textId="77777777" w:rsidR="004309BF" w:rsidRDefault="004309BF" w:rsidP="004309BF">
          <w:r>
            <w:t xml:space="preserve">  </w:t>
          </w:r>
        </w:p>
      </w:sdtContent>
    </w:sdt>
    <w:p w14:paraId="1DDFC43E" w14:textId="77777777" w:rsidR="008F7087" w:rsidRDefault="008F7087" w:rsidP="00710792">
      <w:pPr>
        <w:pStyle w:val="Heading1"/>
        <w:sectPr w:rsidR="008F7087" w:rsidSect="008F7087">
          <w:headerReference w:type="default" r:id="rId16"/>
          <w:footerReference w:type="default" r:id="rId17"/>
          <w:type w:val="continuous"/>
          <w:pgSz w:w="11906" w:h="16838" w:code="9"/>
          <w:pgMar w:top="1134" w:right="1134" w:bottom="1134" w:left="1134" w:header="709" w:footer="692" w:gutter="0"/>
          <w:pgNumType w:fmt="lowerRoman"/>
          <w:cols w:space="708"/>
          <w:docGrid w:linePitch="360"/>
        </w:sectPr>
      </w:pPr>
      <w:bookmarkStart w:id="8" w:name="_Toc481138189"/>
      <w:bookmarkStart w:id="9" w:name="_Toc481138397"/>
    </w:p>
    <w:p w14:paraId="001B9CF4" w14:textId="77777777" w:rsidR="00C43F4C" w:rsidRDefault="00C43F4C" w:rsidP="00C43F4C">
      <w:bookmarkStart w:id="10" w:name="_Toc91232788"/>
    </w:p>
    <w:p w14:paraId="3E60EFBE" w14:textId="77777777" w:rsidR="00C43F4C" w:rsidRPr="003D4CBD" w:rsidRDefault="00C43F4C" w:rsidP="00C43F4C"/>
    <w:p w14:paraId="27DA2138" w14:textId="77777777" w:rsidR="00C43F4C" w:rsidRDefault="00C43F4C" w:rsidP="00C43F4C">
      <w:pPr>
        <w:spacing w:before="0" w:line="259" w:lineRule="auto"/>
      </w:pPr>
      <w:r>
        <w:br w:type="page"/>
      </w:r>
    </w:p>
    <w:p w14:paraId="7639375C" w14:textId="77777777" w:rsidR="00C43F4C" w:rsidRPr="00416CF7" w:rsidRDefault="00C43F4C" w:rsidP="00C43F4C">
      <w:pPr>
        <w:sectPr w:rsidR="00C43F4C" w:rsidRPr="00416CF7" w:rsidSect="00A236AB">
          <w:footerReference w:type="default" r:id="rId18"/>
          <w:type w:val="continuous"/>
          <w:pgSz w:w="11906" w:h="16838" w:code="9"/>
          <w:pgMar w:top="1134" w:right="1558" w:bottom="1134" w:left="1134" w:header="709" w:footer="692" w:gutter="0"/>
          <w:pgNumType w:fmt="lowerRoman"/>
          <w:cols w:space="708"/>
          <w:docGrid w:linePitch="360"/>
        </w:sectPr>
      </w:pPr>
    </w:p>
    <w:p w14:paraId="0C0DB258" w14:textId="77777777" w:rsidR="00C43F4C" w:rsidRPr="00445D9A" w:rsidRDefault="00C43F4C" w:rsidP="00C43F4C">
      <w:pPr>
        <w:pStyle w:val="Heading1"/>
      </w:pPr>
      <w:bookmarkStart w:id="11" w:name="_Toc104850099"/>
      <w:r w:rsidRPr="00445D9A">
        <w:lastRenderedPageBreak/>
        <w:t>Preface</w:t>
      </w:r>
      <w:bookmarkEnd w:id="11"/>
      <w:r w:rsidRPr="00445D9A">
        <w:t xml:space="preserve"> </w:t>
      </w:r>
    </w:p>
    <w:p w14:paraId="0E50BA1E" w14:textId="43938C89" w:rsidR="00F86516" w:rsidRPr="0046714F" w:rsidRDefault="00F86516" w:rsidP="00AF7534">
      <w:r w:rsidRPr="0046714F">
        <w:t>This report sets out the commission’s findings into the review of the implementation of the payment difficulty framework since 2019.</w:t>
      </w:r>
      <w:r w:rsidR="00C82D1A">
        <w:t xml:space="preserve"> The report is structured to present our analysis against the objectives of the framework.</w:t>
      </w:r>
    </w:p>
    <w:p w14:paraId="17AD3F7E" w14:textId="77777777" w:rsidR="00C43F4C" w:rsidRDefault="00C43F4C" w:rsidP="00C43F4C">
      <w:pPr>
        <w:pStyle w:val="Heading2"/>
      </w:pPr>
      <w:bookmarkStart w:id="12" w:name="_Toc104850100"/>
      <w:r>
        <w:t>Structure of this report</w:t>
      </w:r>
      <w:bookmarkEnd w:id="12"/>
    </w:p>
    <w:p w14:paraId="6C698F53" w14:textId="5FA61C84" w:rsidR="00C43F4C" w:rsidRPr="00AA6667" w:rsidRDefault="00C43F4C" w:rsidP="000B4D7E">
      <w:r w:rsidRPr="002159E6">
        <w:rPr>
          <w:b/>
        </w:rPr>
        <w:t>Introduction</w:t>
      </w:r>
      <w:r w:rsidR="00AB4B6F">
        <w:rPr>
          <w:b/>
        </w:rPr>
        <w:t xml:space="preserve"> </w:t>
      </w:r>
      <w:r w:rsidR="002D4F4B">
        <w:rPr>
          <w:b/>
        </w:rPr>
        <w:br/>
      </w:r>
      <w:r>
        <w:t>The</w:t>
      </w:r>
      <w:r w:rsidRPr="00AA6667">
        <w:t xml:space="preserve"> context for our review, and the background and history of the payment difficulty framework</w:t>
      </w:r>
    </w:p>
    <w:p w14:paraId="28AC5917" w14:textId="70D6A5ED" w:rsidR="00C43F4C" w:rsidRDefault="00C43F4C" w:rsidP="000B4D7E">
      <w:r w:rsidRPr="002159E6">
        <w:rPr>
          <w:b/>
        </w:rPr>
        <w:t>Our approach</w:t>
      </w:r>
      <w:r>
        <w:t xml:space="preserve"> </w:t>
      </w:r>
      <w:r w:rsidR="002D4F4B">
        <w:br/>
      </w:r>
      <w:r w:rsidRPr="00AA6667">
        <w:t>How we conducted the review</w:t>
      </w:r>
      <w:r>
        <w:t xml:space="preserve"> by reference to the </w:t>
      </w:r>
      <w:r w:rsidRPr="00AA6667">
        <w:t>objectives of the framework</w:t>
      </w:r>
    </w:p>
    <w:p w14:paraId="76E29D98" w14:textId="67653434" w:rsidR="00C43F4C" w:rsidRPr="00DF4A27" w:rsidRDefault="00C43F4C" w:rsidP="000B4D7E">
      <w:r w:rsidRPr="002159E6">
        <w:rPr>
          <w:b/>
        </w:rPr>
        <w:t>Common themes</w:t>
      </w:r>
      <w:r w:rsidR="002D4F4B">
        <w:rPr>
          <w:b/>
        </w:rPr>
        <w:br/>
      </w:r>
      <w:r w:rsidRPr="002159E6">
        <w:rPr>
          <w:bCs/>
        </w:rPr>
        <w:t xml:space="preserve">A discussion of common themes </w:t>
      </w:r>
      <w:r>
        <w:t>arising from our review</w:t>
      </w:r>
      <w:r w:rsidRPr="002159E6">
        <w:rPr>
          <w:bCs/>
        </w:rPr>
        <w:t>.</w:t>
      </w:r>
    </w:p>
    <w:p w14:paraId="133E4EEE" w14:textId="309090E6" w:rsidR="00C275EA" w:rsidRDefault="00C43F4C" w:rsidP="000B4D7E">
      <w:r w:rsidRPr="00C275EA">
        <w:rPr>
          <w:b/>
        </w:rPr>
        <w:t>Are residential energy customers avoiding getting into arrears with their retailer?</w:t>
      </w:r>
      <w:r w:rsidRPr="00AA6667">
        <w:t xml:space="preserve"> </w:t>
      </w:r>
      <w:r w:rsidR="002D4F4B">
        <w:br/>
      </w:r>
      <w:r>
        <w:t>Our</w:t>
      </w:r>
      <w:r w:rsidRPr="00AA6667">
        <w:t xml:space="preserve"> key findings </w:t>
      </w:r>
      <w:r w:rsidR="008922CE">
        <w:t xml:space="preserve">relating </w:t>
      </w:r>
      <w:r>
        <w:t xml:space="preserve">to this </w:t>
      </w:r>
      <w:r w:rsidRPr="00AA6667">
        <w:t>objective of the framework</w:t>
      </w:r>
      <w:r>
        <w:t>,</w:t>
      </w:r>
      <w:r w:rsidRPr="00AA6667">
        <w:t xml:space="preserve"> </w:t>
      </w:r>
      <w:r w:rsidR="008922CE">
        <w:t xml:space="preserve">based on our analysis of </w:t>
      </w:r>
      <w:r w:rsidRPr="00AA6667">
        <w:t xml:space="preserve">customer </w:t>
      </w:r>
      <w:r w:rsidR="008922CE">
        <w:t xml:space="preserve">outcomes and </w:t>
      </w:r>
      <w:r w:rsidRPr="00AA6667">
        <w:t>experiences.</w:t>
      </w:r>
      <w:r>
        <w:t xml:space="preserve"> </w:t>
      </w:r>
    </w:p>
    <w:p w14:paraId="0FE12C88" w14:textId="35139183" w:rsidR="00C43F4C" w:rsidRPr="00AA6667" w:rsidRDefault="00C43F4C" w:rsidP="000B4D7E">
      <w:r w:rsidRPr="00C275EA">
        <w:rPr>
          <w:b/>
        </w:rPr>
        <w:t>Are residential energy customers supported to pay their ongoing energy use, repay their arrears and lower their energy costs?</w:t>
      </w:r>
      <w:r w:rsidRPr="00A34AB7">
        <w:t xml:space="preserve"> </w:t>
      </w:r>
      <w:r w:rsidR="002D4F4B">
        <w:br/>
      </w:r>
      <w:r w:rsidR="008922CE">
        <w:t>Our</w:t>
      </w:r>
      <w:r w:rsidR="008922CE" w:rsidRPr="00AA6667">
        <w:t xml:space="preserve"> key findings </w:t>
      </w:r>
      <w:r w:rsidR="008922CE">
        <w:t xml:space="preserve">relating to this </w:t>
      </w:r>
      <w:r w:rsidR="008922CE" w:rsidRPr="00AA6667">
        <w:t>objective of the framework</w:t>
      </w:r>
      <w:r w:rsidR="008922CE">
        <w:t>,</w:t>
      </w:r>
      <w:r w:rsidR="008922CE" w:rsidRPr="00AA6667">
        <w:t xml:space="preserve"> </w:t>
      </w:r>
      <w:r w:rsidR="008922CE">
        <w:t xml:space="preserve">based on our analysis of </w:t>
      </w:r>
      <w:r w:rsidR="008922CE" w:rsidRPr="00AA6667">
        <w:t xml:space="preserve">customer </w:t>
      </w:r>
      <w:r w:rsidR="008922CE">
        <w:t xml:space="preserve">outcomes and </w:t>
      </w:r>
      <w:r w:rsidR="008922CE" w:rsidRPr="00AA6667">
        <w:t>experiences.</w:t>
      </w:r>
      <w:r w:rsidR="008922CE">
        <w:t xml:space="preserve"> </w:t>
      </w:r>
    </w:p>
    <w:p w14:paraId="4C7627A9" w14:textId="4AC20CC8" w:rsidR="00C43F4C" w:rsidRPr="008922CE" w:rsidRDefault="00C43F4C" w:rsidP="000B4D7E">
      <w:r w:rsidRPr="002159E6">
        <w:rPr>
          <w:b/>
        </w:rPr>
        <w:t xml:space="preserve">Are residential energy customers only ever disconnected for non-payment as a last resort? </w:t>
      </w:r>
      <w:r w:rsidR="002D4F4B">
        <w:rPr>
          <w:b/>
        </w:rPr>
        <w:br/>
      </w:r>
      <w:r w:rsidR="008922CE">
        <w:t>Our</w:t>
      </w:r>
      <w:r w:rsidR="008922CE" w:rsidRPr="00AA6667">
        <w:t xml:space="preserve"> key findings </w:t>
      </w:r>
      <w:r w:rsidR="008922CE">
        <w:t xml:space="preserve">relating to this </w:t>
      </w:r>
      <w:r w:rsidR="008922CE" w:rsidRPr="00AA6667">
        <w:t>objective of the framework</w:t>
      </w:r>
      <w:r w:rsidR="008922CE">
        <w:t>,</w:t>
      </w:r>
      <w:r w:rsidR="008922CE" w:rsidRPr="00AA6667">
        <w:t xml:space="preserve"> </w:t>
      </w:r>
      <w:r w:rsidR="008922CE">
        <w:t xml:space="preserve">based on our analysis of </w:t>
      </w:r>
      <w:r w:rsidR="008922CE" w:rsidRPr="00AA6667">
        <w:t xml:space="preserve">customer </w:t>
      </w:r>
      <w:r w:rsidR="008922CE">
        <w:t xml:space="preserve">outcomes and </w:t>
      </w:r>
      <w:r w:rsidR="008922CE" w:rsidRPr="00AA6667">
        <w:t>experiences.</w:t>
      </w:r>
      <w:r w:rsidR="008922CE">
        <w:t xml:space="preserve"> </w:t>
      </w:r>
    </w:p>
    <w:p w14:paraId="2E7B34FC" w14:textId="3CB2DF96" w:rsidR="007F3DD6" w:rsidRDefault="007F3DD6" w:rsidP="000B4D7E">
      <w:r w:rsidRPr="002159E6">
        <w:rPr>
          <w:b/>
        </w:rPr>
        <w:t>Improving the operation of the framework</w:t>
      </w:r>
      <w:r w:rsidR="00AB4B6F">
        <w:rPr>
          <w:b/>
        </w:rPr>
        <w:t xml:space="preserve"> </w:t>
      </w:r>
      <w:r w:rsidR="002D4F4B">
        <w:rPr>
          <w:b/>
        </w:rPr>
        <w:br/>
      </w:r>
      <w:r>
        <w:t>Areas in the operation of the framework we have identified that can be improved for better customer outcomes.</w:t>
      </w:r>
    </w:p>
    <w:p w14:paraId="4E3589A9" w14:textId="4E052358" w:rsidR="00C43F4C" w:rsidRDefault="00C43F4C" w:rsidP="000B4D7E">
      <w:r w:rsidRPr="002159E6">
        <w:rPr>
          <w:b/>
        </w:rPr>
        <w:t>Next</w:t>
      </w:r>
      <w:r w:rsidRPr="002159E6">
        <w:rPr>
          <w:b/>
          <w:bCs/>
        </w:rPr>
        <w:t xml:space="preserve"> </w:t>
      </w:r>
      <w:r w:rsidRPr="002159E6">
        <w:rPr>
          <w:b/>
        </w:rPr>
        <w:t>steps</w:t>
      </w:r>
      <w:r w:rsidRPr="002159E6">
        <w:rPr>
          <w:b/>
          <w:bCs/>
        </w:rPr>
        <w:t xml:space="preserve"> </w:t>
      </w:r>
      <w:r w:rsidR="002D4F4B">
        <w:rPr>
          <w:b/>
          <w:bCs/>
        </w:rPr>
        <w:br/>
      </w:r>
      <w:r>
        <w:t>Our structure and approach for the second phase of the review.</w:t>
      </w:r>
    </w:p>
    <w:p w14:paraId="3507446B" w14:textId="5A525B32" w:rsidR="005C1E4D" w:rsidRDefault="00531245" w:rsidP="00DD6A02">
      <w:pPr>
        <w:pStyle w:val="Heading2"/>
        <w:tabs>
          <w:tab w:val="left" w:pos="8700"/>
        </w:tabs>
      </w:pPr>
      <w:bookmarkStart w:id="13" w:name="_Toc104850101"/>
      <w:r>
        <w:lastRenderedPageBreak/>
        <w:t>D</w:t>
      </w:r>
      <w:r w:rsidR="008D6D55">
        <w:t>ata</w:t>
      </w:r>
      <w:r w:rsidR="005C1E4D">
        <w:t xml:space="preserve"> and figures presented in the report</w:t>
      </w:r>
      <w:bookmarkEnd w:id="13"/>
      <w:r w:rsidR="00DD6A02">
        <w:tab/>
      </w:r>
    </w:p>
    <w:p w14:paraId="6A991085" w14:textId="6F99E238" w:rsidR="005C1E4D" w:rsidRDefault="0046714F" w:rsidP="00CE4E03">
      <w:pPr>
        <w:keepNext/>
        <w:keepLines/>
      </w:pPr>
      <w:r w:rsidRPr="0046714F">
        <w:t xml:space="preserve">The </w:t>
      </w:r>
      <w:r w:rsidR="008D6D55">
        <w:t>data</w:t>
      </w:r>
      <w:r w:rsidRPr="0046714F">
        <w:t xml:space="preserve"> and figures presented in the report are based on data submitted by retailers as required under the commission’s Compliance and Performance Reporting Guideline, unless otherwise noted.</w:t>
      </w:r>
    </w:p>
    <w:p w14:paraId="267F4B07" w14:textId="1FB276A2" w:rsidR="00495BB2" w:rsidRDefault="0046714F" w:rsidP="00CE4E03">
      <w:pPr>
        <w:keepNext/>
        <w:keepLines/>
      </w:pPr>
      <w:r w:rsidRPr="0046714F">
        <w:t xml:space="preserve">Retailer names have been de-identified, as the report focuses on </w:t>
      </w:r>
      <w:r>
        <w:t xml:space="preserve">the overall effectiveness of the framework’s implementation </w:t>
      </w:r>
      <w:r w:rsidR="007F3DD6">
        <w:t xml:space="preserve">for </w:t>
      </w:r>
      <w:r w:rsidR="005C1E4D">
        <w:t xml:space="preserve">Victorian customers. This is despite some of the data mentioned in this report being published in the past. </w:t>
      </w:r>
      <w:r w:rsidR="008E42FA">
        <w:t>S</w:t>
      </w:r>
      <w:r w:rsidR="005C1E4D">
        <w:t>ome specific sets of data and information is confidential and commercially sensitive, and so has been de-identified for the purposes of this public report.</w:t>
      </w:r>
    </w:p>
    <w:p w14:paraId="56A8D222" w14:textId="1FF21E40" w:rsidR="00C43F4C" w:rsidRDefault="00495BB2" w:rsidP="00CE4E03">
      <w:pPr>
        <w:keepNext/>
        <w:keepLines/>
        <w:rPr>
          <w:rStyle w:val="Heading1Char"/>
          <w:rFonts w:asciiTheme="minorHAnsi" w:eastAsiaTheme="minorHAnsi" w:hAnsiTheme="minorHAnsi" w:cstheme="minorBidi"/>
          <w:color w:val="auto"/>
          <w:sz w:val="22"/>
          <w:szCs w:val="22"/>
        </w:rPr>
      </w:pPr>
      <w:r>
        <w:t>We also note that in some charts, s</w:t>
      </w:r>
      <w:r w:rsidRPr="00F72789">
        <w:t xml:space="preserve">ome small retailers are not shown due to the retailer either not having tailored assistance customers, or no applicable data </w:t>
      </w:r>
      <w:r>
        <w:t xml:space="preserve">was </w:t>
      </w:r>
      <w:r w:rsidRPr="00F72789">
        <w:t xml:space="preserve">relevant to </w:t>
      </w:r>
      <w:r>
        <w:t xml:space="preserve">certain </w:t>
      </w:r>
      <w:r w:rsidRPr="00F72789">
        <w:t>metric</w:t>
      </w:r>
      <w:r>
        <w:t>s</w:t>
      </w:r>
      <w:r w:rsidRPr="00F72789">
        <w:t xml:space="preserve"> </w:t>
      </w:r>
      <w:r>
        <w:t xml:space="preserve">during that </w:t>
      </w:r>
      <w:r w:rsidRPr="00F72789">
        <w:t>time-period</w:t>
      </w:r>
      <w:r>
        <w:t>.</w:t>
      </w:r>
    </w:p>
    <w:p w14:paraId="7F3A6714" w14:textId="463E24B7" w:rsidR="0067351A" w:rsidRPr="00F66A07" w:rsidRDefault="0067351A" w:rsidP="0046714F">
      <w:pPr>
        <w:pStyle w:val="ListNumber2"/>
        <w:numPr>
          <w:ilvl w:val="0"/>
          <w:numId w:val="0"/>
        </w:numPr>
        <w:ind w:left="851" w:hanging="851"/>
        <w:rPr>
          <w:rStyle w:val="Heading1Char"/>
          <w:rFonts w:asciiTheme="minorHAnsi" w:eastAsiaTheme="minorHAnsi" w:hAnsiTheme="minorHAnsi" w:cstheme="minorBidi"/>
          <w:color w:val="auto"/>
          <w:sz w:val="22"/>
          <w:szCs w:val="22"/>
        </w:rPr>
        <w:sectPr w:rsidR="0067351A" w:rsidRPr="00F66A07" w:rsidSect="00DC3F20">
          <w:footerReference w:type="default" r:id="rId19"/>
          <w:type w:val="continuous"/>
          <w:pgSz w:w="11906" w:h="16838"/>
          <w:pgMar w:top="1134" w:right="1134" w:bottom="1134" w:left="1134" w:header="709" w:footer="692" w:gutter="0"/>
          <w:pgNumType w:fmt="lowerRoman"/>
          <w:cols w:space="720"/>
        </w:sectPr>
      </w:pPr>
    </w:p>
    <w:p w14:paraId="7E915DBA" w14:textId="77777777" w:rsidR="00C43F4C" w:rsidRPr="00346992" w:rsidRDefault="00C43F4C" w:rsidP="00C43F4C">
      <w:pPr>
        <w:pStyle w:val="ListNumber2"/>
        <w:numPr>
          <w:ilvl w:val="0"/>
          <w:numId w:val="0"/>
        </w:numPr>
        <w:contextualSpacing w:val="0"/>
        <w:rPr>
          <w:rStyle w:val="Heading1Char"/>
          <w:rFonts w:asciiTheme="minorHAnsi" w:eastAsiaTheme="minorHAnsi" w:hAnsiTheme="minorHAnsi" w:cstheme="minorBidi"/>
          <w:color w:val="auto"/>
          <w:sz w:val="22"/>
          <w:szCs w:val="22"/>
        </w:rPr>
      </w:pPr>
      <w:bookmarkStart w:id="14" w:name="_Toc104850102"/>
      <w:r w:rsidRPr="002B7ADC">
        <w:rPr>
          <w:rStyle w:val="Heading1Char"/>
        </w:rPr>
        <w:lastRenderedPageBreak/>
        <w:t>Contents</w:t>
      </w:r>
      <w:bookmarkEnd w:id="14"/>
    </w:p>
    <w:p w14:paraId="5898CE4A" w14:textId="313AC16A" w:rsidR="00BB6050" w:rsidRDefault="00C43F4C">
      <w:pPr>
        <w:pStyle w:val="TOC1"/>
        <w:rPr>
          <w:rFonts w:eastAsiaTheme="minorEastAsia"/>
          <w:b w:val="0"/>
          <w:noProof/>
          <w:lang w:eastAsia="en-AU"/>
        </w:rPr>
      </w:pPr>
      <w:r>
        <w:rPr>
          <w:color w:val="236192" w:themeColor="accent1"/>
        </w:rPr>
        <w:fldChar w:fldCharType="begin"/>
      </w:r>
      <w:r w:rsidRPr="00346992">
        <w:rPr>
          <w:color w:val="236192" w:themeColor="accent1"/>
        </w:rPr>
        <w:instrText xml:space="preserve"> TOC \o "1-2" \h \z \u </w:instrText>
      </w:r>
      <w:r>
        <w:rPr>
          <w:color w:val="236192" w:themeColor="accent1"/>
        </w:rPr>
        <w:fldChar w:fldCharType="separate"/>
      </w:r>
      <w:hyperlink w:anchor="_Toc104850099" w:history="1">
        <w:r w:rsidR="00BB6050" w:rsidRPr="00944C16">
          <w:rPr>
            <w:rStyle w:val="Hyperlink"/>
            <w:noProof/>
          </w:rPr>
          <w:t>Preface</w:t>
        </w:r>
        <w:r w:rsidR="00BB6050">
          <w:rPr>
            <w:noProof/>
            <w:webHidden/>
          </w:rPr>
          <w:tab/>
        </w:r>
        <w:r w:rsidR="00BB6050">
          <w:rPr>
            <w:noProof/>
            <w:webHidden/>
          </w:rPr>
          <w:fldChar w:fldCharType="begin"/>
        </w:r>
        <w:r w:rsidR="00BB6050">
          <w:rPr>
            <w:noProof/>
            <w:webHidden/>
          </w:rPr>
          <w:instrText xml:space="preserve"> PAGEREF _Toc104850099 \h </w:instrText>
        </w:r>
        <w:r w:rsidR="00BB6050">
          <w:rPr>
            <w:noProof/>
            <w:webHidden/>
          </w:rPr>
        </w:r>
        <w:r w:rsidR="00BB6050">
          <w:rPr>
            <w:noProof/>
            <w:webHidden/>
          </w:rPr>
          <w:fldChar w:fldCharType="separate"/>
        </w:r>
        <w:r w:rsidR="00357DD7">
          <w:rPr>
            <w:noProof/>
            <w:webHidden/>
          </w:rPr>
          <w:t>ii</w:t>
        </w:r>
        <w:r w:rsidR="00BB6050">
          <w:rPr>
            <w:noProof/>
            <w:webHidden/>
          </w:rPr>
          <w:fldChar w:fldCharType="end"/>
        </w:r>
      </w:hyperlink>
    </w:p>
    <w:p w14:paraId="792EC123" w14:textId="4D611739" w:rsidR="00BB6050" w:rsidRDefault="00357DD7">
      <w:pPr>
        <w:pStyle w:val="TOC2"/>
        <w:rPr>
          <w:rFonts w:eastAsiaTheme="minorEastAsia"/>
          <w:lang w:eastAsia="en-AU"/>
        </w:rPr>
      </w:pPr>
      <w:hyperlink w:anchor="_Toc104850100" w:history="1">
        <w:r w:rsidR="00BB6050" w:rsidRPr="00944C16">
          <w:rPr>
            <w:rStyle w:val="Hyperlink"/>
          </w:rPr>
          <w:t>Structure of this report</w:t>
        </w:r>
        <w:r w:rsidR="00BB6050">
          <w:rPr>
            <w:webHidden/>
          </w:rPr>
          <w:tab/>
        </w:r>
        <w:r w:rsidR="00BB6050">
          <w:rPr>
            <w:webHidden/>
          </w:rPr>
          <w:fldChar w:fldCharType="begin"/>
        </w:r>
        <w:r w:rsidR="00BB6050">
          <w:rPr>
            <w:webHidden/>
          </w:rPr>
          <w:instrText xml:space="preserve"> PAGEREF _Toc104850100 \h </w:instrText>
        </w:r>
        <w:r w:rsidR="00BB6050">
          <w:rPr>
            <w:webHidden/>
          </w:rPr>
        </w:r>
        <w:r w:rsidR="00BB6050">
          <w:rPr>
            <w:webHidden/>
          </w:rPr>
          <w:fldChar w:fldCharType="separate"/>
        </w:r>
        <w:r>
          <w:rPr>
            <w:webHidden/>
          </w:rPr>
          <w:t>ii</w:t>
        </w:r>
        <w:r w:rsidR="00BB6050">
          <w:rPr>
            <w:webHidden/>
          </w:rPr>
          <w:fldChar w:fldCharType="end"/>
        </w:r>
      </w:hyperlink>
    </w:p>
    <w:p w14:paraId="11B4528E" w14:textId="37488BC8" w:rsidR="00BB6050" w:rsidRDefault="00357DD7">
      <w:pPr>
        <w:pStyle w:val="TOC2"/>
        <w:rPr>
          <w:rFonts w:eastAsiaTheme="minorEastAsia"/>
          <w:lang w:eastAsia="en-AU"/>
        </w:rPr>
      </w:pPr>
      <w:hyperlink w:anchor="_Toc104850101" w:history="1">
        <w:r w:rsidR="00BB6050" w:rsidRPr="00944C16">
          <w:rPr>
            <w:rStyle w:val="Hyperlink"/>
          </w:rPr>
          <w:t>Data and figures presented in the report</w:t>
        </w:r>
        <w:r w:rsidR="00BB6050">
          <w:rPr>
            <w:webHidden/>
          </w:rPr>
          <w:tab/>
        </w:r>
        <w:r w:rsidR="00BB6050">
          <w:rPr>
            <w:webHidden/>
          </w:rPr>
          <w:fldChar w:fldCharType="begin"/>
        </w:r>
        <w:r w:rsidR="00BB6050">
          <w:rPr>
            <w:webHidden/>
          </w:rPr>
          <w:instrText xml:space="preserve"> PAGEREF _Toc104850101 \h </w:instrText>
        </w:r>
        <w:r w:rsidR="00BB6050">
          <w:rPr>
            <w:webHidden/>
          </w:rPr>
        </w:r>
        <w:r w:rsidR="00BB6050">
          <w:rPr>
            <w:webHidden/>
          </w:rPr>
          <w:fldChar w:fldCharType="separate"/>
        </w:r>
        <w:r>
          <w:rPr>
            <w:webHidden/>
          </w:rPr>
          <w:t>iii</w:t>
        </w:r>
        <w:r w:rsidR="00BB6050">
          <w:rPr>
            <w:webHidden/>
          </w:rPr>
          <w:fldChar w:fldCharType="end"/>
        </w:r>
      </w:hyperlink>
    </w:p>
    <w:p w14:paraId="4DCFC85C" w14:textId="7FB36F36" w:rsidR="00BB6050" w:rsidRDefault="00357DD7">
      <w:pPr>
        <w:pStyle w:val="TOC1"/>
        <w:rPr>
          <w:rFonts w:eastAsiaTheme="minorEastAsia"/>
          <w:b w:val="0"/>
          <w:noProof/>
          <w:lang w:eastAsia="en-AU"/>
        </w:rPr>
      </w:pPr>
      <w:hyperlink w:anchor="_Toc104850102" w:history="1">
        <w:r w:rsidR="00BB6050" w:rsidRPr="00944C16">
          <w:rPr>
            <w:rStyle w:val="Hyperlink"/>
            <w:noProof/>
          </w:rPr>
          <w:t>Contents</w:t>
        </w:r>
        <w:r w:rsidR="00BB6050">
          <w:rPr>
            <w:noProof/>
            <w:webHidden/>
          </w:rPr>
          <w:tab/>
        </w:r>
        <w:r w:rsidR="00BB6050">
          <w:rPr>
            <w:noProof/>
            <w:webHidden/>
          </w:rPr>
          <w:fldChar w:fldCharType="begin"/>
        </w:r>
        <w:r w:rsidR="00BB6050">
          <w:rPr>
            <w:noProof/>
            <w:webHidden/>
          </w:rPr>
          <w:instrText xml:space="preserve"> PAGEREF _Toc104850102 \h </w:instrText>
        </w:r>
        <w:r w:rsidR="00BB6050">
          <w:rPr>
            <w:noProof/>
            <w:webHidden/>
          </w:rPr>
        </w:r>
        <w:r w:rsidR="00BB6050">
          <w:rPr>
            <w:noProof/>
            <w:webHidden/>
          </w:rPr>
          <w:fldChar w:fldCharType="separate"/>
        </w:r>
        <w:r>
          <w:rPr>
            <w:noProof/>
            <w:webHidden/>
          </w:rPr>
          <w:t>4</w:t>
        </w:r>
        <w:r w:rsidR="00BB6050">
          <w:rPr>
            <w:noProof/>
            <w:webHidden/>
          </w:rPr>
          <w:fldChar w:fldCharType="end"/>
        </w:r>
      </w:hyperlink>
    </w:p>
    <w:p w14:paraId="374642CB" w14:textId="20EC8DD9" w:rsidR="00BB6050" w:rsidRDefault="00357DD7">
      <w:pPr>
        <w:pStyle w:val="TOC1"/>
        <w:rPr>
          <w:rFonts w:eastAsiaTheme="minorEastAsia"/>
          <w:b w:val="0"/>
          <w:noProof/>
          <w:lang w:eastAsia="en-AU"/>
        </w:rPr>
      </w:pPr>
      <w:hyperlink w:anchor="_Toc104850103" w:history="1">
        <w:r w:rsidR="00BB6050" w:rsidRPr="00944C16">
          <w:rPr>
            <w:rStyle w:val="Hyperlink"/>
            <w:noProof/>
          </w:rPr>
          <w:t>Executive summary</w:t>
        </w:r>
        <w:r w:rsidR="00BB6050">
          <w:rPr>
            <w:noProof/>
            <w:webHidden/>
          </w:rPr>
          <w:tab/>
        </w:r>
        <w:r w:rsidR="00BB6050">
          <w:rPr>
            <w:noProof/>
            <w:webHidden/>
          </w:rPr>
          <w:fldChar w:fldCharType="begin"/>
        </w:r>
        <w:r w:rsidR="00BB6050">
          <w:rPr>
            <w:noProof/>
            <w:webHidden/>
          </w:rPr>
          <w:instrText xml:space="preserve"> PAGEREF _Toc104850103 \h </w:instrText>
        </w:r>
        <w:r w:rsidR="00BB6050">
          <w:rPr>
            <w:noProof/>
            <w:webHidden/>
          </w:rPr>
        </w:r>
        <w:r w:rsidR="00BB6050">
          <w:rPr>
            <w:noProof/>
            <w:webHidden/>
          </w:rPr>
          <w:fldChar w:fldCharType="separate"/>
        </w:r>
        <w:r>
          <w:rPr>
            <w:noProof/>
            <w:webHidden/>
          </w:rPr>
          <w:t>6</w:t>
        </w:r>
        <w:r w:rsidR="00BB6050">
          <w:rPr>
            <w:noProof/>
            <w:webHidden/>
          </w:rPr>
          <w:fldChar w:fldCharType="end"/>
        </w:r>
      </w:hyperlink>
    </w:p>
    <w:p w14:paraId="1D7D49A1" w14:textId="658968C0" w:rsidR="00BB6050" w:rsidRDefault="00357DD7">
      <w:pPr>
        <w:pStyle w:val="TOC2"/>
        <w:rPr>
          <w:rFonts w:eastAsiaTheme="minorEastAsia"/>
          <w:lang w:eastAsia="en-AU"/>
        </w:rPr>
      </w:pPr>
      <w:hyperlink w:anchor="_Toc104850104" w:history="1">
        <w:r w:rsidR="00BB6050" w:rsidRPr="00944C16">
          <w:rPr>
            <w:rStyle w:val="Hyperlink"/>
            <w:lang w:val="en-US"/>
          </w:rPr>
          <w:t>Our review of the effectiveness of the framework’s implementation</w:t>
        </w:r>
        <w:r w:rsidR="00BB6050">
          <w:rPr>
            <w:webHidden/>
          </w:rPr>
          <w:tab/>
        </w:r>
        <w:r w:rsidR="00BB6050">
          <w:rPr>
            <w:webHidden/>
          </w:rPr>
          <w:fldChar w:fldCharType="begin"/>
        </w:r>
        <w:r w:rsidR="00BB6050">
          <w:rPr>
            <w:webHidden/>
          </w:rPr>
          <w:instrText xml:space="preserve"> PAGEREF _Toc104850104 \h </w:instrText>
        </w:r>
        <w:r w:rsidR="00BB6050">
          <w:rPr>
            <w:webHidden/>
          </w:rPr>
        </w:r>
        <w:r w:rsidR="00BB6050">
          <w:rPr>
            <w:webHidden/>
          </w:rPr>
          <w:fldChar w:fldCharType="separate"/>
        </w:r>
        <w:r>
          <w:rPr>
            <w:webHidden/>
          </w:rPr>
          <w:t>6</w:t>
        </w:r>
        <w:r w:rsidR="00BB6050">
          <w:rPr>
            <w:webHidden/>
          </w:rPr>
          <w:fldChar w:fldCharType="end"/>
        </w:r>
      </w:hyperlink>
    </w:p>
    <w:p w14:paraId="6A7E5DD5" w14:textId="6EDC4018" w:rsidR="00BB6050" w:rsidRDefault="00357DD7">
      <w:pPr>
        <w:pStyle w:val="TOC2"/>
        <w:rPr>
          <w:rFonts w:eastAsiaTheme="minorEastAsia"/>
          <w:lang w:eastAsia="en-AU"/>
        </w:rPr>
      </w:pPr>
      <w:hyperlink w:anchor="_Toc104850105" w:history="1">
        <w:r w:rsidR="00BB6050" w:rsidRPr="00944C16">
          <w:rPr>
            <w:rStyle w:val="Hyperlink"/>
          </w:rPr>
          <w:t>Victoria’s energy payment difficulty framework: At a glance</w:t>
        </w:r>
        <w:r w:rsidR="00BB6050">
          <w:rPr>
            <w:webHidden/>
          </w:rPr>
          <w:tab/>
        </w:r>
        <w:r w:rsidR="00BB6050">
          <w:rPr>
            <w:webHidden/>
          </w:rPr>
          <w:fldChar w:fldCharType="begin"/>
        </w:r>
        <w:r w:rsidR="00BB6050">
          <w:rPr>
            <w:webHidden/>
          </w:rPr>
          <w:instrText xml:space="preserve"> PAGEREF _Toc104850105 \h </w:instrText>
        </w:r>
        <w:r w:rsidR="00BB6050">
          <w:rPr>
            <w:webHidden/>
          </w:rPr>
        </w:r>
        <w:r w:rsidR="00BB6050">
          <w:rPr>
            <w:webHidden/>
          </w:rPr>
          <w:fldChar w:fldCharType="separate"/>
        </w:r>
        <w:r>
          <w:rPr>
            <w:webHidden/>
          </w:rPr>
          <w:t>9</w:t>
        </w:r>
        <w:r w:rsidR="00BB6050">
          <w:rPr>
            <w:webHidden/>
          </w:rPr>
          <w:fldChar w:fldCharType="end"/>
        </w:r>
      </w:hyperlink>
    </w:p>
    <w:p w14:paraId="0CE2A500" w14:textId="4CBF09DD" w:rsidR="00BB6050" w:rsidRDefault="00357DD7">
      <w:pPr>
        <w:pStyle w:val="TOC2"/>
        <w:rPr>
          <w:rFonts w:eastAsiaTheme="minorEastAsia"/>
          <w:lang w:eastAsia="en-AU"/>
        </w:rPr>
      </w:pPr>
      <w:hyperlink w:anchor="_Toc104850106" w:history="1">
        <w:r w:rsidR="00BB6050" w:rsidRPr="00944C16">
          <w:rPr>
            <w:rStyle w:val="Hyperlink"/>
            <w:rFonts w:cs="Tahoma"/>
            <w:bCs/>
            <w:lang w:val="en-US"/>
          </w:rPr>
          <w:t>Positive and improved customer outcomes</w:t>
        </w:r>
        <w:r w:rsidR="00BB6050">
          <w:rPr>
            <w:webHidden/>
          </w:rPr>
          <w:tab/>
        </w:r>
        <w:r w:rsidR="00BB6050">
          <w:rPr>
            <w:webHidden/>
          </w:rPr>
          <w:fldChar w:fldCharType="begin"/>
        </w:r>
        <w:r w:rsidR="00BB6050">
          <w:rPr>
            <w:webHidden/>
          </w:rPr>
          <w:instrText xml:space="preserve"> PAGEREF _Toc104850106 \h </w:instrText>
        </w:r>
        <w:r w:rsidR="00BB6050">
          <w:rPr>
            <w:webHidden/>
          </w:rPr>
        </w:r>
        <w:r w:rsidR="00BB6050">
          <w:rPr>
            <w:webHidden/>
          </w:rPr>
          <w:fldChar w:fldCharType="separate"/>
        </w:r>
        <w:r>
          <w:rPr>
            <w:webHidden/>
          </w:rPr>
          <w:t>9</w:t>
        </w:r>
        <w:r w:rsidR="00BB6050">
          <w:rPr>
            <w:webHidden/>
          </w:rPr>
          <w:fldChar w:fldCharType="end"/>
        </w:r>
      </w:hyperlink>
    </w:p>
    <w:p w14:paraId="6DE0A4B3" w14:textId="5062E45B" w:rsidR="00BB6050" w:rsidRDefault="00357DD7">
      <w:pPr>
        <w:pStyle w:val="TOC2"/>
        <w:rPr>
          <w:rFonts w:eastAsiaTheme="minorEastAsia"/>
          <w:lang w:eastAsia="en-AU"/>
        </w:rPr>
      </w:pPr>
      <w:hyperlink w:anchor="_Toc104850107" w:history="1">
        <w:r w:rsidR="00BB6050" w:rsidRPr="00944C16">
          <w:rPr>
            <w:rStyle w:val="Hyperlink"/>
          </w:rPr>
          <w:t>Examples of variable customer outcomes across retailers</w:t>
        </w:r>
        <w:r w:rsidR="00BB6050">
          <w:rPr>
            <w:webHidden/>
          </w:rPr>
          <w:tab/>
        </w:r>
        <w:r w:rsidR="00BB6050">
          <w:rPr>
            <w:webHidden/>
          </w:rPr>
          <w:fldChar w:fldCharType="begin"/>
        </w:r>
        <w:r w:rsidR="00BB6050">
          <w:rPr>
            <w:webHidden/>
          </w:rPr>
          <w:instrText xml:space="preserve"> PAGEREF _Toc104850107 \h </w:instrText>
        </w:r>
        <w:r w:rsidR="00BB6050">
          <w:rPr>
            <w:webHidden/>
          </w:rPr>
        </w:r>
        <w:r w:rsidR="00BB6050">
          <w:rPr>
            <w:webHidden/>
          </w:rPr>
          <w:fldChar w:fldCharType="separate"/>
        </w:r>
        <w:r>
          <w:rPr>
            <w:webHidden/>
          </w:rPr>
          <w:t>10</w:t>
        </w:r>
        <w:r w:rsidR="00BB6050">
          <w:rPr>
            <w:webHidden/>
          </w:rPr>
          <w:fldChar w:fldCharType="end"/>
        </w:r>
      </w:hyperlink>
    </w:p>
    <w:p w14:paraId="5E1B4D9A" w14:textId="205A2045" w:rsidR="00BB6050" w:rsidRDefault="00357DD7">
      <w:pPr>
        <w:pStyle w:val="TOC2"/>
        <w:rPr>
          <w:rFonts w:eastAsiaTheme="minorEastAsia"/>
          <w:lang w:eastAsia="en-AU"/>
        </w:rPr>
      </w:pPr>
      <w:hyperlink w:anchor="_Toc104850108" w:history="1">
        <w:r w:rsidR="00BB6050" w:rsidRPr="00944C16">
          <w:rPr>
            <w:rStyle w:val="Hyperlink"/>
          </w:rPr>
          <w:t>Summary of our key findings</w:t>
        </w:r>
        <w:r w:rsidR="00BB6050">
          <w:rPr>
            <w:webHidden/>
          </w:rPr>
          <w:tab/>
        </w:r>
        <w:r w:rsidR="00BB6050">
          <w:rPr>
            <w:webHidden/>
          </w:rPr>
          <w:fldChar w:fldCharType="begin"/>
        </w:r>
        <w:r w:rsidR="00BB6050">
          <w:rPr>
            <w:webHidden/>
          </w:rPr>
          <w:instrText xml:space="preserve"> PAGEREF _Toc104850108 \h </w:instrText>
        </w:r>
        <w:r w:rsidR="00BB6050">
          <w:rPr>
            <w:webHidden/>
          </w:rPr>
        </w:r>
        <w:r w:rsidR="00BB6050">
          <w:rPr>
            <w:webHidden/>
          </w:rPr>
          <w:fldChar w:fldCharType="separate"/>
        </w:r>
        <w:r>
          <w:rPr>
            <w:webHidden/>
          </w:rPr>
          <w:t>13</w:t>
        </w:r>
        <w:r w:rsidR="00BB6050">
          <w:rPr>
            <w:webHidden/>
          </w:rPr>
          <w:fldChar w:fldCharType="end"/>
        </w:r>
      </w:hyperlink>
    </w:p>
    <w:p w14:paraId="587D0069" w14:textId="2FDAD719" w:rsidR="00BB6050" w:rsidRDefault="00357DD7">
      <w:pPr>
        <w:pStyle w:val="TOC2"/>
        <w:rPr>
          <w:rFonts w:eastAsiaTheme="minorEastAsia"/>
          <w:lang w:eastAsia="en-AU"/>
        </w:rPr>
      </w:pPr>
      <w:hyperlink w:anchor="_Toc104850109" w:history="1">
        <w:r w:rsidR="00BB6050" w:rsidRPr="00944C16">
          <w:rPr>
            <w:rStyle w:val="Hyperlink"/>
          </w:rPr>
          <w:t>Improving the operation of the framework</w:t>
        </w:r>
        <w:r w:rsidR="00BB6050">
          <w:rPr>
            <w:webHidden/>
          </w:rPr>
          <w:tab/>
        </w:r>
        <w:r w:rsidR="00BB6050">
          <w:rPr>
            <w:webHidden/>
          </w:rPr>
          <w:fldChar w:fldCharType="begin"/>
        </w:r>
        <w:r w:rsidR="00BB6050">
          <w:rPr>
            <w:webHidden/>
          </w:rPr>
          <w:instrText xml:space="preserve"> PAGEREF _Toc104850109 \h </w:instrText>
        </w:r>
        <w:r w:rsidR="00BB6050">
          <w:rPr>
            <w:webHidden/>
          </w:rPr>
        </w:r>
        <w:r w:rsidR="00BB6050">
          <w:rPr>
            <w:webHidden/>
          </w:rPr>
          <w:fldChar w:fldCharType="separate"/>
        </w:r>
        <w:r>
          <w:rPr>
            <w:webHidden/>
          </w:rPr>
          <w:t>19</w:t>
        </w:r>
        <w:r w:rsidR="00BB6050">
          <w:rPr>
            <w:webHidden/>
          </w:rPr>
          <w:fldChar w:fldCharType="end"/>
        </w:r>
      </w:hyperlink>
    </w:p>
    <w:p w14:paraId="4E859276" w14:textId="723B8314" w:rsidR="00BB6050" w:rsidRDefault="00357DD7">
      <w:pPr>
        <w:pStyle w:val="TOC2"/>
        <w:rPr>
          <w:rFonts w:eastAsiaTheme="minorEastAsia"/>
          <w:lang w:eastAsia="en-AU"/>
        </w:rPr>
      </w:pPr>
      <w:hyperlink w:anchor="_Toc104850110" w:history="1">
        <w:r w:rsidR="00BB6050" w:rsidRPr="00944C16">
          <w:rPr>
            <w:rStyle w:val="Hyperlink"/>
          </w:rPr>
          <w:t>Next steps</w:t>
        </w:r>
        <w:r w:rsidR="00BB6050">
          <w:rPr>
            <w:webHidden/>
          </w:rPr>
          <w:tab/>
        </w:r>
        <w:r w:rsidR="00BB6050">
          <w:rPr>
            <w:webHidden/>
          </w:rPr>
          <w:fldChar w:fldCharType="begin"/>
        </w:r>
        <w:r w:rsidR="00BB6050">
          <w:rPr>
            <w:webHidden/>
          </w:rPr>
          <w:instrText xml:space="preserve"> PAGEREF _Toc104850110 \h </w:instrText>
        </w:r>
        <w:r w:rsidR="00BB6050">
          <w:rPr>
            <w:webHidden/>
          </w:rPr>
        </w:r>
        <w:r w:rsidR="00BB6050">
          <w:rPr>
            <w:webHidden/>
          </w:rPr>
          <w:fldChar w:fldCharType="separate"/>
        </w:r>
        <w:r>
          <w:rPr>
            <w:webHidden/>
          </w:rPr>
          <w:t>19</w:t>
        </w:r>
        <w:r w:rsidR="00BB6050">
          <w:rPr>
            <w:webHidden/>
          </w:rPr>
          <w:fldChar w:fldCharType="end"/>
        </w:r>
      </w:hyperlink>
    </w:p>
    <w:p w14:paraId="75509C4B" w14:textId="2A706B6A" w:rsidR="00BB6050" w:rsidRDefault="00357DD7">
      <w:pPr>
        <w:pStyle w:val="TOC1"/>
        <w:rPr>
          <w:rFonts w:eastAsiaTheme="minorEastAsia"/>
          <w:b w:val="0"/>
          <w:noProof/>
          <w:lang w:eastAsia="en-AU"/>
        </w:rPr>
      </w:pPr>
      <w:hyperlink w:anchor="_Toc104850111" w:history="1">
        <w:r w:rsidR="00BB6050" w:rsidRPr="00944C16">
          <w:rPr>
            <w:rStyle w:val="Hyperlink"/>
            <w:noProof/>
          </w:rPr>
          <w:t>Introduction</w:t>
        </w:r>
        <w:r w:rsidR="00BB6050">
          <w:rPr>
            <w:noProof/>
            <w:webHidden/>
          </w:rPr>
          <w:tab/>
        </w:r>
        <w:r w:rsidR="00BB6050">
          <w:rPr>
            <w:noProof/>
            <w:webHidden/>
          </w:rPr>
          <w:fldChar w:fldCharType="begin"/>
        </w:r>
        <w:r w:rsidR="00BB6050">
          <w:rPr>
            <w:noProof/>
            <w:webHidden/>
          </w:rPr>
          <w:instrText xml:space="preserve"> PAGEREF _Toc104850111 \h </w:instrText>
        </w:r>
        <w:r w:rsidR="00BB6050">
          <w:rPr>
            <w:noProof/>
            <w:webHidden/>
          </w:rPr>
        </w:r>
        <w:r w:rsidR="00BB6050">
          <w:rPr>
            <w:noProof/>
            <w:webHidden/>
          </w:rPr>
          <w:fldChar w:fldCharType="separate"/>
        </w:r>
        <w:r>
          <w:rPr>
            <w:noProof/>
            <w:webHidden/>
          </w:rPr>
          <w:t>20</w:t>
        </w:r>
        <w:r w:rsidR="00BB6050">
          <w:rPr>
            <w:noProof/>
            <w:webHidden/>
          </w:rPr>
          <w:fldChar w:fldCharType="end"/>
        </w:r>
      </w:hyperlink>
    </w:p>
    <w:p w14:paraId="3088EAE0" w14:textId="5DA1836B" w:rsidR="00BB6050" w:rsidRDefault="00357DD7">
      <w:pPr>
        <w:pStyle w:val="TOC2"/>
        <w:rPr>
          <w:rFonts w:eastAsiaTheme="minorEastAsia"/>
          <w:lang w:eastAsia="en-AU"/>
        </w:rPr>
      </w:pPr>
      <w:hyperlink w:anchor="_Toc104850112" w:history="1">
        <w:r w:rsidR="00BB6050" w:rsidRPr="00944C16">
          <w:rPr>
            <w:rStyle w:val="Hyperlink"/>
          </w:rPr>
          <w:t>The payment difficulty framework</w:t>
        </w:r>
        <w:r w:rsidR="00BB6050">
          <w:rPr>
            <w:webHidden/>
          </w:rPr>
          <w:tab/>
        </w:r>
        <w:r w:rsidR="00BB6050">
          <w:rPr>
            <w:webHidden/>
          </w:rPr>
          <w:fldChar w:fldCharType="begin"/>
        </w:r>
        <w:r w:rsidR="00BB6050">
          <w:rPr>
            <w:webHidden/>
          </w:rPr>
          <w:instrText xml:space="preserve"> PAGEREF _Toc104850112 \h </w:instrText>
        </w:r>
        <w:r w:rsidR="00BB6050">
          <w:rPr>
            <w:webHidden/>
          </w:rPr>
        </w:r>
        <w:r w:rsidR="00BB6050">
          <w:rPr>
            <w:webHidden/>
          </w:rPr>
          <w:fldChar w:fldCharType="separate"/>
        </w:r>
        <w:r>
          <w:rPr>
            <w:webHidden/>
          </w:rPr>
          <w:t>21</w:t>
        </w:r>
        <w:r w:rsidR="00BB6050">
          <w:rPr>
            <w:webHidden/>
          </w:rPr>
          <w:fldChar w:fldCharType="end"/>
        </w:r>
      </w:hyperlink>
    </w:p>
    <w:p w14:paraId="0FA75025" w14:textId="3E73B8E0" w:rsidR="00BB6050" w:rsidRDefault="00357DD7">
      <w:pPr>
        <w:pStyle w:val="TOC2"/>
        <w:rPr>
          <w:rFonts w:eastAsiaTheme="minorEastAsia"/>
          <w:lang w:eastAsia="en-AU"/>
        </w:rPr>
      </w:pPr>
      <w:hyperlink w:anchor="_Toc104850113" w:history="1">
        <w:r w:rsidR="00BB6050" w:rsidRPr="00944C16">
          <w:rPr>
            <w:rStyle w:val="Hyperlink"/>
          </w:rPr>
          <w:t>Understanding consumers’ experience of vulnerability</w:t>
        </w:r>
        <w:r w:rsidR="00BB6050">
          <w:rPr>
            <w:webHidden/>
          </w:rPr>
          <w:tab/>
        </w:r>
        <w:r w:rsidR="00BB6050">
          <w:rPr>
            <w:webHidden/>
          </w:rPr>
          <w:fldChar w:fldCharType="begin"/>
        </w:r>
        <w:r w:rsidR="00BB6050">
          <w:rPr>
            <w:webHidden/>
          </w:rPr>
          <w:instrText xml:space="preserve"> PAGEREF _Toc104850113 \h </w:instrText>
        </w:r>
        <w:r w:rsidR="00BB6050">
          <w:rPr>
            <w:webHidden/>
          </w:rPr>
        </w:r>
        <w:r w:rsidR="00BB6050">
          <w:rPr>
            <w:webHidden/>
          </w:rPr>
          <w:fldChar w:fldCharType="separate"/>
        </w:r>
        <w:r>
          <w:rPr>
            <w:webHidden/>
          </w:rPr>
          <w:t>24</w:t>
        </w:r>
        <w:r w:rsidR="00BB6050">
          <w:rPr>
            <w:webHidden/>
          </w:rPr>
          <w:fldChar w:fldCharType="end"/>
        </w:r>
      </w:hyperlink>
    </w:p>
    <w:p w14:paraId="20BA5AD5" w14:textId="1B570B62" w:rsidR="00BB6050" w:rsidRDefault="00357DD7">
      <w:pPr>
        <w:pStyle w:val="TOC1"/>
        <w:rPr>
          <w:rFonts w:eastAsiaTheme="minorEastAsia"/>
          <w:b w:val="0"/>
          <w:noProof/>
          <w:lang w:eastAsia="en-AU"/>
        </w:rPr>
      </w:pPr>
      <w:hyperlink w:anchor="_Toc104850114" w:history="1">
        <w:r w:rsidR="00BB6050" w:rsidRPr="00944C16">
          <w:rPr>
            <w:rStyle w:val="Hyperlink"/>
            <w:noProof/>
          </w:rPr>
          <w:t>Our approach</w:t>
        </w:r>
        <w:r w:rsidR="00BB6050">
          <w:rPr>
            <w:noProof/>
            <w:webHidden/>
          </w:rPr>
          <w:tab/>
        </w:r>
        <w:r w:rsidR="00BB6050">
          <w:rPr>
            <w:noProof/>
            <w:webHidden/>
          </w:rPr>
          <w:fldChar w:fldCharType="begin"/>
        </w:r>
        <w:r w:rsidR="00BB6050">
          <w:rPr>
            <w:noProof/>
            <w:webHidden/>
          </w:rPr>
          <w:instrText xml:space="preserve"> PAGEREF _Toc104850114 \h </w:instrText>
        </w:r>
        <w:r w:rsidR="00BB6050">
          <w:rPr>
            <w:noProof/>
            <w:webHidden/>
          </w:rPr>
        </w:r>
        <w:r w:rsidR="00BB6050">
          <w:rPr>
            <w:noProof/>
            <w:webHidden/>
          </w:rPr>
          <w:fldChar w:fldCharType="separate"/>
        </w:r>
        <w:r>
          <w:rPr>
            <w:noProof/>
            <w:webHidden/>
          </w:rPr>
          <w:t>27</w:t>
        </w:r>
        <w:r w:rsidR="00BB6050">
          <w:rPr>
            <w:noProof/>
            <w:webHidden/>
          </w:rPr>
          <w:fldChar w:fldCharType="end"/>
        </w:r>
      </w:hyperlink>
    </w:p>
    <w:p w14:paraId="283B6A7B" w14:textId="770B49D4" w:rsidR="00BB6050" w:rsidRDefault="00357DD7">
      <w:pPr>
        <w:pStyle w:val="TOC2"/>
        <w:rPr>
          <w:rFonts w:eastAsiaTheme="minorEastAsia"/>
          <w:lang w:eastAsia="en-AU"/>
        </w:rPr>
      </w:pPr>
      <w:hyperlink w:anchor="_Toc104850115" w:history="1">
        <w:r w:rsidR="00BB6050" w:rsidRPr="00944C16">
          <w:rPr>
            <w:rStyle w:val="Hyperlink"/>
          </w:rPr>
          <w:t>Purpose of our review</w:t>
        </w:r>
        <w:r w:rsidR="00BB6050">
          <w:rPr>
            <w:webHidden/>
          </w:rPr>
          <w:tab/>
        </w:r>
        <w:r w:rsidR="00BB6050">
          <w:rPr>
            <w:webHidden/>
          </w:rPr>
          <w:fldChar w:fldCharType="begin"/>
        </w:r>
        <w:r w:rsidR="00BB6050">
          <w:rPr>
            <w:webHidden/>
          </w:rPr>
          <w:instrText xml:space="preserve"> PAGEREF _Toc104850115 \h </w:instrText>
        </w:r>
        <w:r w:rsidR="00BB6050">
          <w:rPr>
            <w:webHidden/>
          </w:rPr>
        </w:r>
        <w:r w:rsidR="00BB6050">
          <w:rPr>
            <w:webHidden/>
          </w:rPr>
          <w:fldChar w:fldCharType="separate"/>
        </w:r>
        <w:r>
          <w:rPr>
            <w:webHidden/>
          </w:rPr>
          <w:t>27</w:t>
        </w:r>
        <w:r w:rsidR="00BB6050">
          <w:rPr>
            <w:webHidden/>
          </w:rPr>
          <w:fldChar w:fldCharType="end"/>
        </w:r>
      </w:hyperlink>
    </w:p>
    <w:p w14:paraId="0A70C701" w14:textId="606CB9B7" w:rsidR="00BB6050" w:rsidRDefault="00357DD7">
      <w:pPr>
        <w:pStyle w:val="TOC2"/>
        <w:rPr>
          <w:rFonts w:eastAsiaTheme="minorEastAsia"/>
          <w:lang w:eastAsia="en-AU"/>
        </w:rPr>
      </w:pPr>
      <w:hyperlink w:anchor="_Toc104850116" w:history="1">
        <w:r w:rsidR="00BB6050" w:rsidRPr="00944C16">
          <w:rPr>
            <w:rStyle w:val="Hyperlink"/>
          </w:rPr>
          <w:t>Our review process</w:t>
        </w:r>
        <w:r w:rsidR="00BB6050">
          <w:rPr>
            <w:webHidden/>
          </w:rPr>
          <w:tab/>
        </w:r>
        <w:r w:rsidR="00BB6050">
          <w:rPr>
            <w:webHidden/>
          </w:rPr>
          <w:fldChar w:fldCharType="begin"/>
        </w:r>
        <w:r w:rsidR="00BB6050">
          <w:rPr>
            <w:webHidden/>
          </w:rPr>
          <w:instrText xml:space="preserve"> PAGEREF _Toc104850116 \h </w:instrText>
        </w:r>
        <w:r w:rsidR="00BB6050">
          <w:rPr>
            <w:webHidden/>
          </w:rPr>
        </w:r>
        <w:r w:rsidR="00BB6050">
          <w:rPr>
            <w:webHidden/>
          </w:rPr>
          <w:fldChar w:fldCharType="separate"/>
        </w:r>
        <w:r>
          <w:rPr>
            <w:webHidden/>
          </w:rPr>
          <w:t>28</w:t>
        </w:r>
        <w:r w:rsidR="00BB6050">
          <w:rPr>
            <w:webHidden/>
          </w:rPr>
          <w:fldChar w:fldCharType="end"/>
        </w:r>
      </w:hyperlink>
    </w:p>
    <w:p w14:paraId="238F2E6F" w14:textId="74A363DD" w:rsidR="00BB6050" w:rsidRDefault="00357DD7">
      <w:pPr>
        <w:pStyle w:val="TOC2"/>
        <w:rPr>
          <w:rFonts w:eastAsiaTheme="minorEastAsia"/>
          <w:lang w:eastAsia="en-AU"/>
        </w:rPr>
      </w:pPr>
      <w:hyperlink w:anchor="_Toc104850117" w:history="1">
        <w:r w:rsidR="00BB6050" w:rsidRPr="00944C16">
          <w:rPr>
            <w:rStyle w:val="Hyperlink"/>
          </w:rPr>
          <w:t>How we assessed the framework’s implementation against its objectives</w:t>
        </w:r>
        <w:r w:rsidR="00BB6050">
          <w:rPr>
            <w:webHidden/>
          </w:rPr>
          <w:tab/>
        </w:r>
        <w:r w:rsidR="00BB6050">
          <w:rPr>
            <w:webHidden/>
          </w:rPr>
          <w:fldChar w:fldCharType="begin"/>
        </w:r>
        <w:r w:rsidR="00BB6050">
          <w:rPr>
            <w:webHidden/>
          </w:rPr>
          <w:instrText xml:space="preserve"> PAGEREF _Toc104850117 \h </w:instrText>
        </w:r>
        <w:r w:rsidR="00BB6050">
          <w:rPr>
            <w:webHidden/>
          </w:rPr>
        </w:r>
        <w:r w:rsidR="00BB6050">
          <w:rPr>
            <w:webHidden/>
          </w:rPr>
          <w:fldChar w:fldCharType="separate"/>
        </w:r>
        <w:r>
          <w:rPr>
            <w:webHidden/>
          </w:rPr>
          <w:t>30</w:t>
        </w:r>
        <w:r w:rsidR="00BB6050">
          <w:rPr>
            <w:webHidden/>
          </w:rPr>
          <w:fldChar w:fldCharType="end"/>
        </w:r>
      </w:hyperlink>
    </w:p>
    <w:p w14:paraId="46F50D39" w14:textId="61E2AE8B" w:rsidR="00BB6050" w:rsidRDefault="00357DD7">
      <w:pPr>
        <w:pStyle w:val="TOC1"/>
        <w:rPr>
          <w:rFonts w:eastAsiaTheme="minorEastAsia"/>
          <w:b w:val="0"/>
          <w:noProof/>
          <w:lang w:eastAsia="en-AU"/>
        </w:rPr>
      </w:pPr>
      <w:hyperlink w:anchor="_Toc104850118" w:history="1">
        <w:r w:rsidR="00BB6050" w:rsidRPr="00944C16">
          <w:rPr>
            <w:rStyle w:val="Hyperlink"/>
            <w:noProof/>
          </w:rPr>
          <w:t>Common themes across the framework</w:t>
        </w:r>
        <w:r w:rsidR="00BB6050">
          <w:rPr>
            <w:noProof/>
            <w:webHidden/>
          </w:rPr>
          <w:tab/>
        </w:r>
        <w:r w:rsidR="00BB6050">
          <w:rPr>
            <w:noProof/>
            <w:webHidden/>
          </w:rPr>
          <w:fldChar w:fldCharType="begin"/>
        </w:r>
        <w:r w:rsidR="00BB6050">
          <w:rPr>
            <w:noProof/>
            <w:webHidden/>
          </w:rPr>
          <w:instrText xml:space="preserve"> PAGEREF _Toc104850118 \h </w:instrText>
        </w:r>
        <w:r w:rsidR="00BB6050">
          <w:rPr>
            <w:noProof/>
            <w:webHidden/>
          </w:rPr>
        </w:r>
        <w:r w:rsidR="00BB6050">
          <w:rPr>
            <w:noProof/>
            <w:webHidden/>
          </w:rPr>
          <w:fldChar w:fldCharType="separate"/>
        </w:r>
        <w:r>
          <w:rPr>
            <w:noProof/>
            <w:webHidden/>
          </w:rPr>
          <w:t>31</w:t>
        </w:r>
        <w:r w:rsidR="00BB6050">
          <w:rPr>
            <w:noProof/>
            <w:webHidden/>
          </w:rPr>
          <w:fldChar w:fldCharType="end"/>
        </w:r>
      </w:hyperlink>
    </w:p>
    <w:p w14:paraId="420926B0" w14:textId="7D52AC25" w:rsidR="00BB6050" w:rsidRDefault="00357DD7">
      <w:pPr>
        <w:pStyle w:val="TOC2"/>
        <w:rPr>
          <w:rFonts w:eastAsiaTheme="minorEastAsia"/>
          <w:lang w:eastAsia="en-AU"/>
        </w:rPr>
      </w:pPr>
      <w:hyperlink w:anchor="_Toc104850119" w:history="1">
        <w:r w:rsidR="00BB6050" w:rsidRPr="00944C16">
          <w:rPr>
            <w:rStyle w:val="Hyperlink"/>
          </w:rPr>
          <w:t>Customer outcomes are variable across retailers</w:t>
        </w:r>
        <w:r w:rsidR="00BB6050">
          <w:rPr>
            <w:webHidden/>
          </w:rPr>
          <w:tab/>
        </w:r>
        <w:r w:rsidR="00BB6050">
          <w:rPr>
            <w:webHidden/>
          </w:rPr>
          <w:fldChar w:fldCharType="begin"/>
        </w:r>
        <w:r w:rsidR="00BB6050">
          <w:rPr>
            <w:webHidden/>
          </w:rPr>
          <w:instrText xml:space="preserve"> PAGEREF _Toc104850119 \h </w:instrText>
        </w:r>
        <w:r w:rsidR="00BB6050">
          <w:rPr>
            <w:webHidden/>
          </w:rPr>
        </w:r>
        <w:r w:rsidR="00BB6050">
          <w:rPr>
            <w:webHidden/>
          </w:rPr>
          <w:fldChar w:fldCharType="separate"/>
        </w:r>
        <w:r>
          <w:rPr>
            <w:webHidden/>
          </w:rPr>
          <w:t>31</w:t>
        </w:r>
        <w:r w:rsidR="00BB6050">
          <w:rPr>
            <w:webHidden/>
          </w:rPr>
          <w:fldChar w:fldCharType="end"/>
        </w:r>
      </w:hyperlink>
    </w:p>
    <w:p w14:paraId="741E05C0" w14:textId="72890C35" w:rsidR="00BB6050" w:rsidRDefault="00357DD7">
      <w:pPr>
        <w:pStyle w:val="TOC2"/>
        <w:rPr>
          <w:rFonts w:eastAsiaTheme="minorEastAsia"/>
          <w:lang w:eastAsia="en-AU"/>
        </w:rPr>
      </w:pPr>
      <w:hyperlink w:anchor="_Toc104850120" w:history="1">
        <w:r w:rsidR="00BB6050" w:rsidRPr="00944C16">
          <w:rPr>
            <w:rStyle w:val="Hyperlink"/>
          </w:rPr>
          <w:t>Customer awareness of their entitlements is critical for success</w:t>
        </w:r>
        <w:r w:rsidR="00BB6050">
          <w:rPr>
            <w:webHidden/>
          </w:rPr>
          <w:tab/>
        </w:r>
        <w:r w:rsidR="00BB6050">
          <w:rPr>
            <w:webHidden/>
          </w:rPr>
          <w:fldChar w:fldCharType="begin"/>
        </w:r>
        <w:r w:rsidR="00BB6050">
          <w:rPr>
            <w:webHidden/>
          </w:rPr>
          <w:instrText xml:space="preserve"> PAGEREF _Toc104850120 \h </w:instrText>
        </w:r>
        <w:r w:rsidR="00BB6050">
          <w:rPr>
            <w:webHidden/>
          </w:rPr>
        </w:r>
        <w:r w:rsidR="00BB6050">
          <w:rPr>
            <w:webHidden/>
          </w:rPr>
          <w:fldChar w:fldCharType="separate"/>
        </w:r>
        <w:r>
          <w:rPr>
            <w:webHidden/>
          </w:rPr>
          <w:t>32</w:t>
        </w:r>
        <w:r w:rsidR="00BB6050">
          <w:rPr>
            <w:webHidden/>
          </w:rPr>
          <w:fldChar w:fldCharType="end"/>
        </w:r>
      </w:hyperlink>
    </w:p>
    <w:p w14:paraId="3ECF9275" w14:textId="1C8BF81D" w:rsidR="00BB6050" w:rsidRDefault="00357DD7">
      <w:pPr>
        <w:pStyle w:val="TOC2"/>
        <w:rPr>
          <w:rFonts w:eastAsiaTheme="minorEastAsia"/>
          <w:lang w:eastAsia="en-AU"/>
        </w:rPr>
      </w:pPr>
      <w:hyperlink w:anchor="_Toc104850121" w:history="1">
        <w:r w:rsidR="00BB6050" w:rsidRPr="00944C16">
          <w:rPr>
            <w:rStyle w:val="Hyperlink"/>
          </w:rPr>
          <w:t>Many customers experiencing vulnerability are also disproportionately facing barriers to accessing and receiving assistance</w:t>
        </w:r>
        <w:r w:rsidR="00BB6050">
          <w:rPr>
            <w:webHidden/>
          </w:rPr>
          <w:tab/>
        </w:r>
        <w:r w:rsidR="00BB6050">
          <w:rPr>
            <w:webHidden/>
          </w:rPr>
          <w:fldChar w:fldCharType="begin"/>
        </w:r>
        <w:r w:rsidR="00BB6050">
          <w:rPr>
            <w:webHidden/>
          </w:rPr>
          <w:instrText xml:space="preserve"> PAGEREF _Toc104850121 \h </w:instrText>
        </w:r>
        <w:r w:rsidR="00BB6050">
          <w:rPr>
            <w:webHidden/>
          </w:rPr>
        </w:r>
        <w:r w:rsidR="00BB6050">
          <w:rPr>
            <w:webHidden/>
          </w:rPr>
          <w:fldChar w:fldCharType="separate"/>
        </w:r>
        <w:r>
          <w:rPr>
            <w:webHidden/>
          </w:rPr>
          <w:t>33</w:t>
        </w:r>
        <w:r w:rsidR="00BB6050">
          <w:rPr>
            <w:webHidden/>
          </w:rPr>
          <w:fldChar w:fldCharType="end"/>
        </w:r>
      </w:hyperlink>
    </w:p>
    <w:p w14:paraId="3C326826" w14:textId="41E4632A" w:rsidR="00BB6050" w:rsidRDefault="00357DD7">
      <w:pPr>
        <w:pStyle w:val="TOC1"/>
        <w:rPr>
          <w:rFonts w:eastAsiaTheme="minorEastAsia"/>
          <w:b w:val="0"/>
          <w:noProof/>
          <w:lang w:eastAsia="en-AU"/>
        </w:rPr>
      </w:pPr>
      <w:hyperlink w:anchor="_Toc104850122" w:history="1">
        <w:r w:rsidR="00BB6050" w:rsidRPr="00944C16">
          <w:rPr>
            <w:rStyle w:val="Hyperlink"/>
            <w:noProof/>
          </w:rPr>
          <w:t>Are residential energy customers avoiding getting into arrears with their retailer?</w:t>
        </w:r>
        <w:r w:rsidR="00BB6050">
          <w:rPr>
            <w:noProof/>
            <w:webHidden/>
          </w:rPr>
          <w:tab/>
        </w:r>
        <w:r w:rsidR="00BB6050">
          <w:rPr>
            <w:noProof/>
            <w:webHidden/>
          </w:rPr>
          <w:fldChar w:fldCharType="begin"/>
        </w:r>
        <w:r w:rsidR="00BB6050">
          <w:rPr>
            <w:noProof/>
            <w:webHidden/>
          </w:rPr>
          <w:instrText xml:space="preserve"> PAGEREF _Toc104850122 \h </w:instrText>
        </w:r>
        <w:r w:rsidR="00BB6050">
          <w:rPr>
            <w:noProof/>
            <w:webHidden/>
          </w:rPr>
        </w:r>
        <w:r w:rsidR="00BB6050">
          <w:rPr>
            <w:noProof/>
            <w:webHidden/>
          </w:rPr>
          <w:fldChar w:fldCharType="separate"/>
        </w:r>
        <w:r>
          <w:rPr>
            <w:noProof/>
            <w:webHidden/>
          </w:rPr>
          <w:t>37</w:t>
        </w:r>
        <w:r w:rsidR="00BB6050">
          <w:rPr>
            <w:noProof/>
            <w:webHidden/>
          </w:rPr>
          <w:fldChar w:fldCharType="end"/>
        </w:r>
      </w:hyperlink>
    </w:p>
    <w:p w14:paraId="74D244E1" w14:textId="7F339984" w:rsidR="00BB6050" w:rsidRDefault="00357DD7">
      <w:pPr>
        <w:pStyle w:val="TOC2"/>
        <w:rPr>
          <w:rFonts w:eastAsiaTheme="minorEastAsia"/>
          <w:lang w:eastAsia="en-AU"/>
        </w:rPr>
      </w:pPr>
      <w:hyperlink w:anchor="_Toc104850123" w:history="1">
        <w:r w:rsidR="00BB6050" w:rsidRPr="00944C16">
          <w:rPr>
            <w:rStyle w:val="Hyperlink"/>
          </w:rPr>
          <w:t>Our key findings: standard assistance</w:t>
        </w:r>
        <w:r w:rsidR="00BB6050">
          <w:rPr>
            <w:webHidden/>
          </w:rPr>
          <w:tab/>
        </w:r>
        <w:r w:rsidR="00BB6050">
          <w:rPr>
            <w:webHidden/>
          </w:rPr>
          <w:fldChar w:fldCharType="begin"/>
        </w:r>
        <w:r w:rsidR="00BB6050">
          <w:rPr>
            <w:webHidden/>
          </w:rPr>
          <w:instrText xml:space="preserve"> PAGEREF _Toc104850123 \h </w:instrText>
        </w:r>
        <w:r w:rsidR="00BB6050">
          <w:rPr>
            <w:webHidden/>
          </w:rPr>
        </w:r>
        <w:r w:rsidR="00BB6050">
          <w:rPr>
            <w:webHidden/>
          </w:rPr>
          <w:fldChar w:fldCharType="separate"/>
        </w:r>
        <w:r>
          <w:rPr>
            <w:webHidden/>
          </w:rPr>
          <w:t>37</w:t>
        </w:r>
        <w:r w:rsidR="00BB6050">
          <w:rPr>
            <w:webHidden/>
          </w:rPr>
          <w:fldChar w:fldCharType="end"/>
        </w:r>
      </w:hyperlink>
    </w:p>
    <w:p w14:paraId="41A96C17" w14:textId="73E4051A" w:rsidR="00BB6050" w:rsidRDefault="00357DD7">
      <w:pPr>
        <w:pStyle w:val="TOC2"/>
        <w:rPr>
          <w:rFonts w:eastAsiaTheme="minorEastAsia"/>
          <w:lang w:eastAsia="en-AU"/>
        </w:rPr>
      </w:pPr>
      <w:hyperlink w:anchor="_Toc104850124" w:history="1">
        <w:r w:rsidR="00BB6050" w:rsidRPr="00944C16">
          <w:rPr>
            <w:rStyle w:val="Hyperlink"/>
          </w:rPr>
          <w:t>Standard assistance</w:t>
        </w:r>
        <w:r w:rsidR="00BB6050">
          <w:rPr>
            <w:webHidden/>
          </w:rPr>
          <w:tab/>
        </w:r>
        <w:r w:rsidR="00BB6050">
          <w:rPr>
            <w:webHidden/>
          </w:rPr>
          <w:fldChar w:fldCharType="begin"/>
        </w:r>
        <w:r w:rsidR="00BB6050">
          <w:rPr>
            <w:webHidden/>
          </w:rPr>
          <w:instrText xml:space="preserve"> PAGEREF _Toc104850124 \h </w:instrText>
        </w:r>
        <w:r w:rsidR="00BB6050">
          <w:rPr>
            <w:webHidden/>
          </w:rPr>
        </w:r>
        <w:r w:rsidR="00BB6050">
          <w:rPr>
            <w:webHidden/>
          </w:rPr>
          <w:fldChar w:fldCharType="separate"/>
        </w:r>
        <w:r>
          <w:rPr>
            <w:webHidden/>
          </w:rPr>
          <w:t>37</w:t>
        </w:r>
        <w:r w:rsidR="00BB6050">
          <w:rPr>
            <w:webHidden/>
          </w:rPr>
          <w:fldChar w:fldCharType="end"/>
        </w:r>
      </w:hyperlink>
    </w:p>
    <w:p w14:paraId="1BA48E0B" w14:textId="7FA176D8" w:rsidR="00BB6050" w:rsidRDefault="00357DD7">
      <w:pPr>
        <w:pStyle w:val="TOC2"/>
        <w:rPr>
          <w:rFonts w:eastAsiaTheme="minorEastAsia"/>
          <w:lang w:eastAsia="en-AU"/>
        </w:rPr>
      </w:pPr>
      <w:hyperlink w:anchor="_Toc104850125" w:history="1">
        <w:r w:rsidR="00BB6050" w:rsidRPr="00944C16">
          <w:rPr>
            <w:rStyle w:val="Hyperlink"/>
          </w:rPr>
          <w:t>How customers are offered standard assistance</w:t>
        </w:r>
        <w:r w:rsidR="00BB6050">
          <w:rPr>
            <w:webHidden/>
          </w:rPr>
          <w:tab/>
        </w:r>
        <w:r w:rsidR="00BB6050">
          <w:rPr>
            <w:webHidden/>
          </w:rPr>
          <w:fldChar w:fldCharType="begin"/>
        </w:r>
        <w:r w:rsidR="00BB6050">
          <w:rPr>
            <w:webHidden/>
          </w:rPr>
          <w:instrText xml:space="preserve"> PAGEREF _Toc104850125 \h </w:instrText>
        </w:r>
        <w:r w:rsidR="00BB6050">
          <w:rPr>
            <w:webHidden/>
          </w:rPr>
        </w:r>
        <w:r w:rsidR="00BB6050">
          <w:rPr>
            <w:webHidden/>
          </w:rPr>
          <w:fldChar w:fldCharType="separate"/>
        </w:r>
        <w:r>
          <w:rPr>
            <w:webHidden/>
          </w:rPr>
          <w:t>38</w:t>
        </w:r>
        <w:r w:rsidR="00BB6050">
          <w:rPr>
            <w:webHidden/>
          </w:rPr>
          <w:fldChar w:fldCharType="end"/>
        </w:r>
      </w:hyperlink>
    </w:p>
    <w:p w14:paraId="12E9EDC0" w14:textId="2CC0EA0E" w:rsidR="00BB6050" w:rsidRDefault="00357DD7">
      <w:pPr>
        <w:pStyle w:val="TOC2"/>
        <w:rPr>
          <w:rFonts w:eastAsiaTheme="minorEastAsia"/>
          <w:lang w:eastAsia="en-AU"/>
        </w:rPr>
      </w:pPr>
      <w:hyperlink w:anchor="_Toc104850126" w:history="1">
        <w:r w:rsidR="00BB6050" w:rsidRPr="00944C16">
          <w:rPr>
            <w:rStyle w:val="Hyperlink"/>
          </w:rPr>
          <w:t>Supporting customers through standard assistance</w:t>
        </w:r>
        <w:r w:rsidR="00BB6050">
          <w:rPr>
            <w:webHidden/>
          </w:rPr>
          <w:tab/>
        </w:r>
        <w:r w:rsidR="00BB6050">
          <w:rPr>
            <w:webHidden/>
          </w:rPr>
          <w:fldChar w:fldCharType="begin"/>
        </w:r>
        <w:r w:rsidR="00BB6050">
          <w:rPr>
            <w:webHidden/>
          </w:rPr>
          <w:instrText xml:space="preserve"> PAGEREF _Toc104850126 \h </w:instrText>
        </w:r>
        <w:r w:rsidR="00BB6050">
          <w:rPr>
            <w:webHidden/>
          </w:rPr>
        </w:r>
        <w:r w:rsidR="00BB6050">
          <w:rPr>
            <w:webHidden/>
          </w:rPr>
          <w:fldChar w:fldCharType="separate"/>
        </w:r>
        <w:r>
          <w:rPr>
            <w:webHidden/>
          </w:rPr>
          <w:t>40</w:t>
        </w:r>
        <w:r w:rsidR="00BB6050">
          <w:rPr>
            <w:webHidden/>
          </w:rPr>
          <w:fldChar w:fldCharType="end"/>
        </w:r>
      </w:hyperlink>
    </w:p>
    <w:p w14:paraId="3352A99B" w14:textId="4B2917C6" w:rsidR="00BB6050" w:rsidRDefault="00357DD7">
      <w:pPr>
        <w:pStyle w:val="TOC2"/>
        <w:rPr>
          <w:rFonts w:eastAsiaTheme="minorEastAsia"/>
          <w:lang w:eastAsia="en-AU"/>
        </w:rPr>
      </w:pPr>
      <w:hyperlink w:anchor="_Toc104850127" w:history="1">
        <w:r w:rsidR="00BB6050" w:rsidRPr="00944C16">
          <w:rPr>
            <w:rStyle w:val="Hyperlink"/>
          </w:rPr>
          <w:t>Improving the operation of the framework: supporting customers’ entitlements to assistance</w:t>
        </w:r>
        <w:r w:rsidR="00BB6050">
          <w:rPr>
            <w:webHidden/>
          </w:rPr>
          <w:tab/>
        </w:r>
        <w:r w:rsidR="00BB6050">
          <w:rPr>
            <w:webHidden/>
          </w:rPr>
          <w:fldChar w:fldCharType="begin"/>
        </w:r>
        <w:r w:rsidR="00BB6050">
          <w:rPr>
            <w:webHidden/>
          </w:rPr>
          <w:instrText xml:space="preserve"> PAGEREF _Toc104850127 \h </w:instrText>
        </w:r>
        <w:r w:rsidR="00BB6050">
          <w:rPr>
            <w:webHidden/>
          </w:rPr>
        </w:r>
        <w:r w:rsidR="00BB6050">
          <w:rPr>
            <w:webHidden/>
          </w:rPr>
          <w:fldChar w:fldCharType="separate"/>
        </w:r>
        <w:r>
          <w:rPr>
            <w:webHidden/>
          </w:rPr>
          <w:t>42</w:t>
        </w:r>
        <w:r w:rsidR="00BB6050">
          <w:rPr>
            <w:webHidden/>
          </w:rPr>
          <w:fldChar w:fldCharType="end"/>
        </w:r>
      </w:hyperlink>
    </w:p>
    <w:p w14:paraId="05416465" w14:textId="4B1A3CEE" w:rsidR="00BB6050" w:rsidRDefault="00357DD7">
      <w:pPr>
        <w:pStyle w:val="TOC1"/>
        <w:rPr>
          <w:rFonts w:eastAsiaTheme="minorEastAsia"/>
          <w:b w:val="0"/>
          <w:noProof/>
          <w:lang w:eastAsia="en-AU"/>
        </w:rPr>
      </w:pPr>
      <w:hyperlink w:anchor="_Toc104850128" w:history="1">
        <w:r w:rsidR="00BB6050" w:rsidRPr="00944C16">
          <w:rPr>
            <w:rStyle w:val="Hyperlink"/>
            <w:noProof/>
          </w:rPr>
          <w:t>Are residential energy customers supported to pay their ongoing energy use, repay their arrears and lower their energy costs?</w:t>
        </w:r>
        <w:r w:rsidR="00BB6050">
          <w:rPr>
            <w:noProof/>
            <w:webHidden/>
          </w:rPr>
          <w:tab/>
        </w:r>
        <w:r w:rsidR="00BB6050">
          <w:rPr>
            <w:noProof/>
            <w:webHidden/>
          </w:rPr>
          <w:fldChar w:fldCharType="begin"/>
        </w:r>
        <w:r w:rsidR="00BB6050">
          <w:rPr>
            <w:noProof/>
            <w:webHidden/>
          </w:rPr>
          <w:instrText xml:space="preserve"> PAGEREF _Toc104850128 \h </w:instrText>
        </w:r>
        <w:r w:rsidR="00BB6050">
          <w:rPr>
            <w:noProof/>
            <w:webHidden/>
          </w:rPr>
        </w:r>
        <w:r w:rsidR="00BB6050">
          <w:rPr>
            <w:noProof/>
            <w:webHidden/>
          </w:rPr>
          <w:fldChar w:fldCharType="separate"/>
        </w:r>
        <w:r>
          <w:rPr>
            <w:noProof/>
            <w:webHidden/>
          </w:rPr>
          <w:t>44</w:t>
        </w:r>
        <w:r w:rsidR="00BB6050">
          <w:rPr>
            <w:noProof/>
            <w:webHidden/>
          </w:rPr>
          <w:fldChar w:fldCharType="end"/>
        </w:r>
      </w:hyperlink>
    </w:p>
    <w:p w14:paraId="38B53C4D" w14:textId="4791D587" w:rsidR="00BB6050" w:rsidRDefault="00357DD7">
      <w:pPr>
        <w:pStyle w:val="TOC2"/>
        <w:rPr>
          <w:rFonts w:eastAsiaTheme="minorEastAsia"/>
          <w:lang w:eastAsia="en-AU"/>
        </w:rPr>
      </w:pPr>
      <w:hyperlink w:anchor="_Toc104850129" w:history="1">
        <w:r w:rsidR="00BB6050" w:rsidRPr="00944C16">
          <w:rPr>
            <w:rStyle w:val="Hyperlink"/>
          </w:rPr>
          <w:t>Our key findings: tailored assistance</w:t>
        </w:r>
        <w:r w:rsidR="00BB6050">
          <w:rPr>
            <w:webHidden/>
          </w:rPr>
          <w:tab/>
        </w:r>
        <w:r w:rsidR="00BB6050">
          <w:rPr>
            <w:webHidden/>
          </w:rPr>
          <w:fldChar w:fldCharType="begin"/>
        </w:r>
        <w:r w:rsidR="00BB6050">
          <w:rPr>
            <w:webHidden/>
          </w:rPr>
          <w:instrText xml:space="preserve"> PAGEREF _Toc104850129 \h </w:instrText>
        </w:r>
        <w:r w:rsidR="00BB6050">
          <w:rPr>
            <w:webHidden/>
          </w:rPr>
        </w:r>
        <w:r w:rsidR="00BB6050">
          <w:rPr>
            <w:webHidden/>
          </w:rPr>
          <w:fldChar w:fldCharType="separate"/>
        </w:r>
        <w:r>
          <w:rPr>
            <w:webHidden/>
          </w:rPr>
          <w:t>44</w:t>
        </w:r>
        <w:r w:rsidR="00BB6050">
          <w:rPr>
            <w:webHidden/>
          </w:rPr>
          <w:fldChar w:fldCharType="end"/>
        </w:r>
      </w:hyperlink>
    </w:p>
    <w:p w14:paraId="1BD72600" w14:textId="286D33EF" w:rsidR="00BB6050" w:rsidRDefault="00357DD7">
      <w:pPr>
        <w:pStyle w:val="TOC2"/>
        <w:rPr>
          <w:rFonts w:eastAsiaTheme="minorEastAsia"/>
          <w:lang w:eastAsia="en-AU"/>
        </w:rPr>
      </w:pPr>
      <w:hyperlink w:anchor="_Toc104850130" w:history="1">
        <w:r w:rsidR="00BB6050" w:rsidRPr="00944C16">
          <w:rPr>
            <w:rStyle w:val="Hyperlink"/>
          </w:rPr>
          <w:t>Tailored assistance</w:t>
        </w:r>
        <w:r w:rsidR="00BB6050">
          <w:rPr>
            <w:webHidden/>
          </w:rPr>
          <w:tab/>
        </w:r>
        <w:r w:rsidR="00BB6050">
          <w:rPr>
            <w:webHidden/>
          </w:rPr>
          <w:fldChar w:fldCharType="begin"/>
        </w:r>
        <w:r w:rsidR="00BB6050">
          <w:rPr>
            <w:webHidden/>
          </w:rPr>
          <w:instrText xml:space="preserve"> PAGEREF _Toc104850130 \h </w:instrText>
        </w:r>
        <w:r w:rsidR="00BB6050">
          <w:rPr>
            <w:webHidden/>
          </w:rPr>
        </w:r>
        <w:r w:rsidR="00BB6050">
          <w:rPr>
            <w:webHidden/>
          </w:rPr>
          <w:fldChar w:fldCharType="separate"/>
        </w:r>
        <w:r>
          <w:rPr>
            <w:webHidden/>
          </w:rPr>
          <w:t>46</w:t>
        </w:r>
        <w:r w:rsidR="00BB6050">
          <w:rPr>
            <w:webHidden/>
          </w:rPr>
          <w:fldChar w:fldCharType="end"/>
        </w:r>
      </w:hyperlink>
    </w:p>
    <w:p w14:paraId="27D9812E" w14:textId="1EA4F63C" w:rsidR="00BB6050" w:rsidRDefault="00357DD7">
      <w:pPr>
        <w:pStyle w:val="TOC2"/>
        <w:rPr>
          <w:rFonts w:eastAsiaTheme="minorEastAsia"/>
          <w:lang w:eastAsia="en-AU"/>
        </w:rPr>
      </w:pPr>
      <w:hyperlink w:anchor="_Toc104850131" w:history="1">
        <w:r w:rsidR="00BB6050" w:rsidRPr="00944C16">
          <w:rPr>
            <w:rStyle w:val="Hyperlink"/>
          </w:rPr>
          <w:t>How customers are informed about their tailored assistance entitlements</w:t>
        </w:r>
        <w:r w:rsidR="00BB6050">
          <w:rPr>
            <w:webHidden/>
          </w:rPr>
          <w:tab/>
        </w:r>
        <w:r w:rsidR="00BB6050">
          <w:rPr>
            <w:webHidden/>
          </w:rPr>
          <w:fldChar w:fldCharType="begin"/>
        </w:r>
        <w:r w:rsidR="00BB6050">
          <w:rPr>
            <w:webHidden/>
          </w:rPr>
          <w:instrText xml:space="preserve"> PAGEREF _Toc104850131 \h </w:instrText>
        </w:r>
        <w:r w:rsidR="00BB6050">
          <w:rPr>
            <w:webHidden/>
          </w:rPr>
        </w:r>
        <w:r w:rsidR="00BB6050">
          <w:rPr>
            <w:webHidden/>
          </w:rPr>
          <w:fldChar w:fldCharType="separate"/>
        </w:r>
        <w:r>
          <w:rPr>
            <w:webHidden/>
          </w:rPr>
          <w:t>47</w:t>
        </w:r>
        <w:r w:rsidR="00BB6050">
          <w:rPr>
            <w:webHidden/>
          </w:rPr>
          <w:fldChar w:fldCharType="end"/>
        </w:r>
      </w:hyperlink>
    </w:p>
    <w:p w14:paraId="5E3D7782" w14:textId="0E5062DF" w:rsidR="00BB6050" w:rsidRDefault="00357DD7">
      <w:pPr>
        <w:pStyle w:val="TOC2"/>
        <w:rPr>
          <w:rFonts w:eastAsiaTheme="minorEastAsia"/>
          <w:lang w:eastAsia="en-AU"/>
        </w:rPr>
      </w:pPr>
      <w:hyperlink w:anchor="_Toc104850132" w:history="1">
        <w:r w:rsidR="00BB6050" w:rsidRPr="00944C16">
          <w:rPr>
            <w:rStyle w:val="Hyperlink"/>
          </w:rPr>
          <w:t>Payment plans and advice on repaying arrears</w:t>
        </w:r>
        <w:r w:rsidR="00BB6050">
          <w:rPr>
            <w:webHidden/>
          </w:rPr>
          <w:tab/>
        </w:r>
        <w:r w:rsidR="00BB6050">
          <w:rPr>
            <w:webHidden/>
          </w:rPr>
          <w:fldChar w:fldCharType="begin"/>
        </w:r>
        <w:r w:rsidR="00BB6050">
          <w:rPr>
            <w:webHidden/>
          </w:rPr>
          <w:instrText xml:space="preserve"> PAGEREF _Toc104850132 \h </w:instrText>
        </w:r>
        <w:r w:rsidR="00BB6050">
          <w:rPr>
            <w:webHidden/>
          </w:rPr>
        </w:r>
        <w:r w:rsidR="00BB6050">
          <w:rPr>
            <w:webHidden/>
          </w:rPr>
          <w:fldChar w:fldCharType="separate"/>
        </w:r>
        <w:r>
          <w:rPr>
            <w:webHidden/>
          </w:rPr>
          <w:t>61</w:t>
        </w:r>
        <w:r w:rsidR="00BB6050">
          <w:rPr>
            <w:webHidden/>
          </w:rPr>
          <w:fldChar w:fldCharType="end"/>
        </w:r>
      </w:hyperlink>
    </w:p>
    <w:p w14:paraId="771EA019" w14:textId="096926F4" w:rsidR="00BB6050" w:rsidRDefault="00357DD7">
      <w:pPr>
        <w:pStyle w:val="TOC2"/>
        <w:rPr>
          <w:rFonts w:eastAsiaTheme="minorEastAsia"/>
          <w:lang w:eastAsia="en-AU"/>
        </w:rPr>
      </w:pPr>
      <w:hyperlink w:anchor="_Toc104850133" w:history="1">
        <w:r w:rsidR="00BB6050" w:rsidRPr="00944C16">
          <w:rPr>
            <w:rStyle w:val="Hyperlink"/>
          </w:rPr>
          <w:t>Information on future energy use and how this cost could be lowered</w:t>
        </w:r>
        <w:r w:rsidR="00BB6050">
          <w:rPr>
            <w:webHidden/>
          </w:rPr>
          <w:tab/>
        </w:r>
        <w:r w:rsidR="00BB6050">
          <w:rPr>
            <w:webHidden/>
          </w:rPr>
          <w:fldChar w:fldCharType="begin"/>
        </w:r>
        <w:r w:rsidR="00BB6050">
          <w:rPr>
            <w:webHidden/>
          </w:rPr>
          <w:instrText xml:space="preserve"> PAGEREF _Toc104850133 \h </w:instrText>
        </w:r>
        <w:r w:rsidR="00BB6050">
          <w:rPr>
            <w:webHidden/>
          </w:rPr>
        </w:r>
        <w:r w:rsidR="00BB6050">
          <w:rPr>
            <w:webHidden/>
          </w:rPr>
          <w:fldChar w:fldCharType="separate"/>
        </w:r>
        <w:r>
          <w:rPr>
            <w:webHidden/>
          </w:rPr>
          <w:t>73</w:t>
        </w:r>
        <w:r w:rsidR="00BB6050">
          <w:rPr>
            <w:webHidden/>
          </w:rPr>
          <w:fldChar w:fldCharType="end"/>
        </w:r>
      </w:hyperlink>
    </w:p>
    <w:p w14:paraId="6CF0D22B" w14:textId="2A6F7D4A" w:rsidR="00BB6050" w:rsidRDefault="00357DD7">
      <w:pPr>
        <w:pStyle w:val="TOC2"/>
        <w:rPr>
          <w:rFonts w:eastAsiaTheme="minorEastAsia"/>
          <w:lang w:eastAsia="en-AU"/>
        </w:rPr>
      </w:pPr>
      <w:hyperlink w:anchor="_Toc104850134" w:history="1">
        <w:r w:rsidR="00BB6050" w:rsidRPr="00944C16">
          <w:rPr>
            <w:rStyle w:val="Hyperlink"/>
          </w:rPr>
          <w:t>Help to lodge and apply for a utility relief grant</w:t>
        </w:r>
        <w:r w:rsidR="00BB6050">
          <w:rPr>
            <w:webHidden/>
          </w:rPr>
          <w:tab/>
        </w:r>
        <w:r w:rsidR="00BB6050">
          <w:rPr>
            <w:webHidden/>
          </w:rPr>
          <w:fldChar w:fldCharType="begin"/>
        </w:r>
        <w:r w:rsidR="00BB6050">
          <w:rPr>
            <w:webHidden/>
          </w:rPr>
          <w:instrText xml:space="preserve"> PAGEREF _Toc104850134 \h </w:instrText>
        </w:r>
        <w:r w:rsidR="00BB6050">
          <w:rPr>
            <w:webHidden/>
          </w:rPr>
        </w:r>
        <w:r w:rsidR="00BB6050">
          <w:rPr>
            <w:webHidden/>
          </w:rPr>
          <w:fldChar w:fldCharType="separate"/>
        </w:r>
        <w:r>
          <w:rPr>
            <w:webHidden/>
          </w:rPr>
          <w:t>79</w:t>
        </w:r>
        <w:r w:rsidR="00BB6050">
          <w:rPr>
            <w:webHidden/>
          </w:rPr>
          <w:fldChar w:fldCharType="end"/>
        </w:r>
      </w:hyperlink>
    </w:p>
    <w:p w14:paraId="6DBBBBD2" w14:textId="5FF471ED" w:rsidR="00BB6050" w:rsidRDefault="00357DD7">
      <w:pPr>
        <w:pStyle w:val="TOC2"/>
        <w:rPr>
          <w:rFonts w:eastAsiaTheme="minorEastAsia"/>
          <w:lang w:eastAsia="en-AU"/>
        </w:rPr>
      </w:pPr>
      <w:hyperlink w:anchor="_Toc104850135" w:history="1">
        <w:r w:rsidR="00BB6050" w:rsidRPr="00944C16">
          <w:rPr>
            <w:rStyle w:val="Hyperlink"/>
          </w:rPr>
          <w:t>Practical assistance to help customers reduce their energy costs, such as checking current energy offers and providing advice on the best energy offer available</w:t>
        </w:r>
        <w:r w:rsidR="00BB6050">
          <w:rPr>
            <w:webHidden/>
          </w:rPr>
          <w:tab/>
        </w:r>
        <w:r w:rsidR="00BB6050">
          <w:rPr>
            <w:webHidden/>
          </w:rPr>
          <w:fldChar w:fldCharType="begin"/>
        </w:r>
        <w:r w:rsidR="00BB6050">
          <w:rPr>
            <w:webHidden/>
          </w:rPr>
          <w:instrText xml:space="preserve"> PAGEREF _Toc104850135 \h </w:instrText>
        </w:r>
        <w:r w:rsidR="00BB6050">
          <w:rPr>
            <w:webHidden/>
          </w:rPr>
        </w:r>
        <w:r w:rsidR="00BB6050">
          <w:rPr>
            <w:webHidden/>
          </w:rPr>
          <w:fldChar w:fldCharType="separate"/>
        </w:r>
        <w:r>
          <w:rPr>
            <w:webHidden/>
          </w:rPr>
          <w:t>85</w:t>
        </w:r>
        <w:r w:rsidR="00BB6050">
          <w:rPr>
            <w:webHidden/>
          </w:rPr>
          <w:fldChar w:fldCharType="end"/>
        </w:r>
      </w:hyperlink>
    </w:p>
    <w:p w14:paraId="56215F66" w14:textId="4A2345BE" w:rsidR="00BB6050" w:rsidRDefault="00357DD7">
      <w:pPr>
        <w:pStyle w:val="TOC2"/>
        <w:rPr>
          <w:rFonts w:eastAsiaTheme="minorEastAsia"/>
          <w:lang w:eastAsia="en-AU"/>
        </w:rPr>
      </w:pPr>
      <w:hyperlink w:anchor="_Toc104850136" w:history="1">
        <w:r w:rsidR="00BB6050" w:rsidRPr="00944C16">
          <w:rPr>
            <w:rStyle w:val="Hyperlink"/>
          </w:rPr>
          <w:t>Practical assistance to help customers reduce their energy use, such as energy audits or energy efficiency products</w:t>
        </w:r>
        <w:r w:rsidR="00BB6050">
          <w:rPr>
            <w:webHidden/>
          </w:rPr>
          <w:tab/>
        </w:r>
        <w:r w:rsidR="00BB6050">
          <w:rPr>
            <w:webHidden/>
          </w:rPr>
          <w:fldChar w:fldCharType="begin"/>
        </w:r>
        <w:r w:rsidR="00BB6050">
          <w:rPr>
            <w:webHidden/>
          </w:rPr>
          <w:instrText xml:space="preserve"> PAGEREF _Toc104850136 \h </w:instrText>
        </w:r>
        <w:r w:rsidR="00BB6050">
          <w:rPr>
            <w:webHidden/>
          </w:rPr>
        </w:r>
        <w:r w:rsidR="00BB6050">
          <w:rPr>
            <w:webHidden/>
          </w:rPr>
          <w:fldChar w:fldCharType="separate"/>
        </w:r>
        <w:r>
          <w:rPr>
            <w:webHidden/>
          </w:rPr>
          <w:t>90</w:t>
        </w:r>
        <w:r w:rsidR="00BB6050">
          <w:rPr>
            <w:webHidden/>
          </w:rPr>
          <w:fldChar w:fldCharType="end"/>
        </w:r>
      </w:hyperlink>
    </w:p>
    <w:p w14:paraId="5955AC7C" w14:textId="56E7BC7B" w:rsidR="00BB6050" w:rsidRDefault="00357DD7">
      <w:pPr>
        <w:pStyle w:val="TOC2"/>
        <w:rPr>
          <w:rFonts w:eastAsiaTheme="minorEastAsia"/>
          <w:lang w:eastAsia="en-AU"/>
        </w:rPr>
      </w:pPr>
      <w:hyperlink w:anchor="_Toc104850137" w:history="1">
        <w:r w:rsidR="00BB6050" w:rsidRPr="00944C16">
          <w:rPr>
            <w:rStyle w:val="Hyperlink"/>
          </w:rPr>
          <w:t>Pause on arrears payments for up to six months and part-payments of future bills</w:t>
        </w:r>
        <w:r w:rsidR="00BB6050">
          <w:rPr>
            <w:webHidden/>
          </w:rPr>
          <w:tab/>
        </w:r>
        <w:r w:rsidR="00BB6050">
          <w:rPr>
            <w:webHidden/>
          </w:rPr>
          <w:fldChar w:fldCharType="begin"/>
        </w:r>
        <w:r w:rsidR="00BB6050">
          <w:rPr>
            <w:webHidden/>
          </w:rPr>
          <w:instrText xml:space="preserve"> PAGEREF _Toc104850137 \h </w:instrText>
        </w:r>
        <w:r w:rsidR="00BB6050">
          <w:rPr>
            <w:webHidden/>
          </w:rPr>
        </w:r>
        <w:r w:rsidR="00BB6050">
          <w:rPr>
            <w:webHidden/>
          </w:rPr>
          <w:fldChar w:fldCharType="separate"/>
        </w:r>
        <w:r>
          <w:rPr>
            <w:webHidden/>
          </w:rPr>
          <w:t>94</w:t>
        </w:r>
        <w:r w:rsidR="00BB6050">
          <w:rPr>
            <w:webHidden/>
          </w:rPr>
          <w:fldChar w:fldCharType="end"/>
        </w:r>
      </w:hyperlink>
    </w:p>
    <w:p w14:paraId="46C7087C" w14:textId="31933758" w:rsidR="00BB6050" w:rsidRDefault="00357DD7">
      <w:pPr>
        <w:pStyle w:val="TOC1"/>
        <w:rPr>
          <w:rFonts w:eastAsiaTheme="minorEastAsia"/>
          <w:b w:val="0"/>
          <w:noProof/>
          <w:lang w:eastAsia="en-AU"/>
        </w:rPr>
      </w:pPr>
      <w:hyperlink w:anchor="_Toc104850138" w:history="1">
        <w:r w:rsidR="00BB6050" w:rsidRPr="00944C16">
          <w:rPr>
            <w:rStyle w:val="Hyperlink"/>
            <w:noProof/>
          </w:rPr>
          <w:t>Are residential energy customers only disconnected for non-payment as a last resort?</w:t>
        </w:r>
        <w:r w:rsidR="00BB6050">
          <w:rPr>
            <w:noProof/>
            <w:webHidden/>
          </w:rPr>
          <w:tab/>
        </w:r>
        <w:r w:rsidR="00BB6050">
          <w:rPr>
            <w:noProof/>
            <w:webHidden/>
          </w:rPr>
          <w:fldChar w:fldCharType="begin"/>
        </w:r>
        <w:r w:rsidR="00BB6050">
          <w:rPr>
            <w:noProof/>
            <w:webHidden/>
          </w:rPr>
          <w:instrText xml:space="preserve"> PAGEREF _Toc104850138 \h </w:instrText>
        </w:r>
        <w:r w:rsidR="00BB6050">
          <w:rPr>
            <w:noProof/>
            <w:webHidden/>
          </w:rPr>
        </w:r>
        <w:r w:rsidR="00BB6050">
          <w:rPr>
            <w:noProof/>
            <w:webHidden/>
          </w:rPr>
          <w:fldChar w:fldCharType="separate"/>
        </w:r>
        <w:r>
          <w:rPr>
            <w:noProof/>
            <w:webHidden/>
          </w:rPr>
          <w:t>99</w:t>
        </w:r>
        <w:r w:rsidR="00BB6050">
          <w:rPr>
            <w:noProof/>
            <w:webHidden/>
          </w:rPr>
          <w:fldChar w:fldCharType="end"/>
        </w:r>
      </w:hyperlink>
    </w:p>
    <w:p w14:paraId="5C9D450D" w14:textId="718AE005" w:rsidR="00BB6050" w:rsidRDefault="00357DD7">
      <w:pPr>
        <w:pStyle w:val="TOC2"/>
        <w:rPr>
          <w:rFonts w:eastAsiaTheme="minorEastAsia"/>
          <w:lang w:eastAsia="en-AU"/>
        </w:rPr>
      </w:pPr>
      <w:hyperlink w:anchor="_Toc104850139" w:history="1">
        <w:r w:rsidR="00BB6050" w:rsidRPr="00944C16">
          <w:rPr>
            <w:rStyle w:val="Hyperlink"/>
          </w:rPr>
          <w:t>Our key findings: disconnection as a last resort</w:t>
        </w:r>
        <w:r w:rsidR="00BB6050">
          <w:rPr>
            <w:webHidden/>
          </w:rPr>
          <w:tab/>
        </w:r>
        <w:r w:rsidR="00BB6050">
          <w:rPr>
            <w:webHidden/>
          </w:rPr>
          <w:fldChar w:fldCharType="begin"/>
        </w:r>
        <w:r w:rsidR="00BB6050">
          <w:rPr>
            <w:webHidden/>
          </w:rPr>
          <w:instrText xml:space="preserve"> PAGEREF _Toc104850139 \h </w:instrText>
        </w:r>
        <w:r w:rsidR="00BB6050">
          <w:rPr>
            <w:webHidden/>
          </w:rPr>
        </w:r>
        <w:r w:rsidR="00BB6050">
          <w:rPr>
            <w:webHidden/>
          </w:rPr>
          <w:fldChar w:fldCharType="separate"/>
        </w:r>
        <w:r>
          <w:rPr>
            <w:webHidden/>
          </w:rPr>
          <w:t>99</w:t>
        </w:r>
        <w:r w:rsidR="00BB6050">
          <w:rPr>
            <w:webHidden/>
          </w:rPr>
          <w:fldChar w:fldCharType="end"/>
        </w:r>
      </w:hyperlink>
    </w:p>
    <w:p w14:paraId="186EF2EB" w14:textId="47C52840" w:rsidR="00BB6050" w:rsidRDefault="00357DD7">
      <w:pPr>
        <w:pStyle w:val="TOC2"/>
        <w:rPr>
          <w:rFonts w:eastAsiaTheme="minorEastAsia"/>
          <w:lang w:eastAsia="en-AU"/>
        </w:rPr>
      </w:pPr>
      <w:hyperlink w:anchor="_Toc104850140" w:history="1">
        <w:r w:rsidR="00BB6050" w:rsidRPr="00944C16">
          <w:rPr>
            <w:rStyle w:val="Hyperlink"/>
            <w:rFonts w:cs="Tahoma"/>
            <w:bCs/>
          </w:rPr>
          <w:t>Key finding: The level and quality of retailer-customer engagement affects customer outcomes</w:t>
        </w:r>
        <w:r w:rsidR="00BB6050">
          <w:rPr>
            <w:webHidden/>
          </w:rPr>
          <w:tab/>
        </w:r>
        <w:r w:rsidR="00BB6050">
          <w:rPr>
            <w:webHidden/>
          </w:rPr>
          <w:fldChar w:fldCharType="begin"/>
        </w:r>
        <w:r w:rsidR="00BB6050">
          <w:rPr>
            <w:webHidden/>
          </w:rPr>
          <w:instrText xml:space="preserve"> PAGEREF _Toc104850140 \h </w:instrText>
        </w:r>
        <w:r w:rsidR="00BB6050">
          <w:rPr>
            <w:webHidden/>
          </w:rPr>
        </w:r>
        <w:r w:rsidR="00BB6050">
          <w:rPr>
            <w:webHidden/>
          </w:rPr>
          <w:fldChar w:fldCharType="separate"/>
        </w:r>
        <w:r>
          <w:rPr>
            <w:webHidden/>
          </w:rPr>
          <w:t>99</w:t>
        </w:r>
        <w:r w:rsidR="00BB6050">
          <w:rPr>
            <w:webHidden/>
          </w:rPr>
          <w:fldChar w:fldCharType="end"/>
        </w:r>
      </w:hyperlink>
    </w:p>
    <w:p w14:paraId="7369EA20" w14:textId="09D59C10" w:rsidR="00BB6050" w:rsidRDefault="00357DD7">
      <w:pPr>
        <w:pStyle w:val="TOC2"/>
        <w:rPr>
          <w:rFonts w:eastAsiaTheme="minorEastAsia"/>
          <w:lang w:eastAsia="en-AU"/>
        </w:rPr>
      </w:pPr>
      <w:hyperlink w:anchor="_Toc104850141" w:history="1">
        <w:r w:rsidR="00BB6050" w:rsidRPr="00944C16">
          <w:rPr>
            <w:rStyle w:val="Hyperlink"/>
          </w:rPr>
          <w:t>Disconnection for non-payment under the framework</w:t>
        </w:r>
        <w:r w:rsidR="00BB6050">
          <w:rPr>
            <w:webHidden/>
          </w:rPr>
          <w:tab/>
        </w:r>
        <w:r w:rsidR="00BB6050">
          <w:rPr>
            <w:webHidden/>
          </w:rPr>
          <w:fldChar w:fldCharType="begin"/>
        </w:r>
        <w:r w:rsidR="00BB6050">
          <w:rPr>
            <w:webHidden/>
          </w:rPr>
          <w:instrText xml:space="preserve"> PAGEREF _Toc104850141 \h </w:instrText>
        </w:r>
        <w:r w:rsidR="00BB6050">
          <w:rPr>
            <w:webHidden/>
          </w:rPr>
        </w:r>
        <w:r w:rsidR="00BB6050">
          <w:rPr>
            <w:webHidden/>
          </w:rPr>
          <w:fldChar w:fldCharType="separate"/>
        </w:r>
        <w:r>
          <w:rPr>
            <w:webHidden/>
          </w:rPr>
          <w:t>100</w:t>
        </w:r>
        <w:r w:rsidR="00BB6050">
          <w:rPr>
            <w:webHidden/>
          </w:rPr>
          <w:fldChar w:fldCharType="end"/>
        </w:r>
      </w:hyperlink>
    </w:p>
    <w:p w14:paraId="4147B5C7" w14:textId="7DC5FE35" w:rsidR="00BB6050" w:rsidRDefault="00357DD7">
      <w:pPr>
        <w:pStyle w:val="TOC2"/>
        <w:rPr>
          <w:rFonts w:eastAsiaTheme="minorEastAsia"/>
          <w:lang w:eastAsia="en-AU"/>
        </w:rPr>
      </w:pPr>
      <w:hyperlink w:anchor="_Toc104850142" w:history="1">
        <w:r w:rsidR="00BB6050" w:rsidRPr="00944C16">
          <w:rPr>
            <w:rStyle w:val="Hyperlink"/>
          </w:rPr>
          <w:t>Levels of disconnection of residential energy customers</w:t>
        </w:r>
        <w:r w:rsidR="00BB6050">
          <w:rPr>
            <w:webHidden/>
          </w:rPr>
          <w:tab/>
        </w:r>
        <w:r w:rsidR="00BB6050">
          <w:rPr>
            <w:webHidden/>
          </w:rPr>
          <w:fldChar w:fldCharType="begin"/>
        </w:r>
        <w:r w:rsidR="00BB6050">
          <w:rPr>
            <w:webHidden/>
          </w:rPr>
          <w:instrText xml:space="preserve"> PAGEREF _Toc104850142 \h </w:instrText>
        </w:r>
        <w:r w:rsidR="00BB6050">
          <w:rPr>
            <w:webHidden/>
          </w:rPr>
        </w:r>
        <w:r w:rsidR="00BB6050">
          <w:rPr>
            <w:webHidden/>
          </w:rPr>
          <w:fldChar w:fldCharType="separate"/>
        </w:r>
        <w:r>
          <w:rPr>
            <w:webHidden/>
          </w:rPr>
          <w:t>102</w:t>
        </w:r>
        <w:r w:rsidR="00BB6050">
          <w:rPr>
            <w:webHidden/>
          </w:rPr>
          <w:fldChar w:fldCharType="end"/>
        </w:r>
      </w:hyperlink>
    </w:p>
    <w:p w14:paraId="77155959" w14:textId="7BA59ED1" w:rsidR="00BB6050" w:rsidRDefault="00357DD7">
      <w:pPr>
        <w:pStyle w:val="TOC2"/>
        <w:rPr>
          <w:rFonts w:eastAsiaTheme="minorEastAsia"/>
          <w:lang w:eastAsia="en-AU"/>
        </w:rPr>
      </w:pPr>
      <w:hyperlink w:anchor="_Toc104850143" w:history="1">
        <w:r w:rsidR="00BB6050" w:rsidRPr="00944C16">
          <w:rPr>
            <w:rStyle w:val="Hyperlink"/>
          </w:rPr>
          <w:t>Improving the operation of the framework: disconnections</w:t>
        </w:r>
        <w:r w:rsidR="00BB6050">
          <w:rPr>
            <w:webHidden/>
          </w:rPr>
          <w:tab/>
        </w:r>
        <w:r w:rsidR="00BB6050">
          <w:rPr>
            <w:webHidden/>
          </w:rPr>
          <w:fldChar w:fldCharType="begin"/>
        </w:r>
        <w:r w:rsidR="00BB6050">
          <w:rPr>
            <w:webHidden/>
          </w:rPr>
          <w:instrText xml:space="preserve"> PAGEREF _Toc104850143 \h </w:instrText>
        </w:r>
        <w:r w:rsidR="00BB6050">
          <w:rPr>
            <w:webHidden/>
          </w:rPr>
        </w:r>
        <w:r w:rsidR="00BB6050">
          <w:rPr>
            <w:webHidden/>
          </w:rPr>
          <w:fldChar w:fldCharType="separate"/>
        </w:r>
        <w:r>
          <w:rPr>
            <w:webHidden/>
          </w:rPr>
          <w:t>111</w:t>
        </w:r>
        <w:r w:rsidR="00BB6050">
          <w:rPr>
            <w:webHidden/>
          </w:rPr>
          <w:fldChar w:fldCharType="end"/>
        </w:r>
      </w:hyperlink>
    </w:p>
    <w:p w14:paraId="0911A52B" w14:textId="4BB5F3C5" w:rsidR="00BB6050" w:rsidRDefault="00357DD7">
      <w:pPr>
        <w:pStyle w:val="TOC1"/>
        <w:rPr>
          <w:rFonts w:eastAsiaTheme="minorEastAsia"/>
          <w:b w:val="0"/>
          <w:noProof/>
          <w:lang w:eastAsia="en-AU"/>
        </w:rPr>
      </w:pPr>
      <w:hyperlink w:anchor="_Toc104850144" w:history="1">
        <w:r w:rsidR="00BB6050" w:rsidRPr="00944C16">
          <w:rPr>
            <w:rStyle w:val="Hyperlink"/>
            <w:noProof/>
          </w:rPr>
          <w:t>Improving the operation of the framework</w:t>
        </w:r>
        <w:r w:rsidR="00BB6050">
          <w:rPr>
            <w:noProof/>
            <w:webHidden/>
          </w:rPr>
          <w:tab/>
        </w:r>
        <w:r w:rsidR="00BB6050">
          <w:rPr>
            <w:noProof/>
            <w:webHidden/>
          </w:rPr>
          <w:fldChar w:fldCharType="begin"/>
        </w:r>
        <w:r w:rsidR="00BB6050">
          <w:rPr>
            <w:noProof/>
            <w:webHidden/>
          </w:rPr>
          <w:instrText xml:space="preserve"> PAGEREF _Toc104850144 \h </w:instrText>
        </w:r>
        <w:r w:rsidR="00BB6050">
          <w:rPr>
            <w:noProof/>
            <w:webHidden/>
          </w:rPr>
        </w:r>
        <w:r w:rsidR="00BB6050">
          <w:rPr>
            <w:noProof/>
            <w:webHidden/>
          </w:rPr>
          <w:fldChar w:fldCharType="separate"/>
        </w:r>
        <w:r>
          <w:rPr>
            <w:noProof/>
            <w:webHidden/>
          </w:rPr>
          <w:t>112</w:t>
        </w:r>
        <w:r w:rsidR="00BB6050">
          <w:rPr>
            <w:noProof/>
            <w:webHidden/>
          </w:rPr>
          <w:fldChar w:fldCharType="end"/>
        </w:r>
      </w:hyperlink>
    </w:p>
    <w:p w14:paraId="04FA2396" w14:textId="595EB89D" w:rsidR="00BB6050" w:rsidRDefault="00357DD7">
      <w:pPr>
        <w:pStyle w:val="TOC2"/>
        <w:rPr>
          <w:rFonts w:eastAsiaTheme="minorEastAsia"/>
          <w:lang w:eastAsia="en-AU"/>
        </w:rPr>
      </w:pPr>
      <w:hyperlink w:anchor="_Toc104850145" w:history="1">
        <w:r w:rsidR="00BB6050" w:rsidRPr="00944C16">
          <w:rPr>
            <w:rStyle w:val="Hyperlink"/>
          </w:rPr>
          <w:t>Identifying areas to improve the framework’s implementation</w:t>
        </w:r>
        <w:r w:rsidR="00BB6050">
          <w:rPr>
            <w:webHidden/>
          </w:rPr>
          <w:tab/>
        </w:r>
        <w:r w:rsidR="00BB6050">
          <w:rPr>
            <w:webHidden/>
          </w:rPr>
          <w:fldChar w:fldCharType="begin"/>
        </w:r>
        <w:r w:rsidR="00BB6050">
          <w:rPr>
            <w:webHidden/>
          </w:rPr>
          <w:instrText xml:space="preserve"> PAGEREF _Toc104850145 \h </w:instrText>
        </w:r>
        <w:r w:rsidR="00BB6050">
          <w:rPr>
            <w:webHidden/>
          </w:rPr>
        </w:r>
        <w:r w:rsidR="00BB6050">
          <w:rPr>
            <w:webHidden/>
          </w:rPr>
          <w:fldChar w:fldCharType="separate"/>
        </w:r>
        <w:r>
          <w:rPr>
            <w:webHidden/>
          </w:rPr>
          <w:t>112</w:t>
        </w:r>
        <w:r w:rsidR="00BB6050">
          <w:rPr>
            <w:webHidden/>
          </w:rPr>
          <w:fldChar w:fldCharType="end"/>
        </w:r>
      </w:hyperlink>
    </w:p>
    <w:p w14:paraId="0B33F77B" w14:textId="3F0C98D9" w:rsidR="00BB6050" w:rsidRDefault="00357DD7">
      <w:pPr>
        <w:pStyle w:val="TOC1"/>
        <w:rPr>
          <w:rFonts w:eastAsiaTheme="minorEastAsia"/>
          <w:b w:val="0"/>
          <w:noProof/>
          <w:lang w:eastAsia="en-AU"/>
        </w:rPr>
      </w:pPr>
      <w:hyperlink w:anchor="_Toc104850146" w:history="1">
        <w:r w:rsidR="00BB6050" w:rsidRPr="00944C16">
          <w:rPr>
            <w:rStyle w:val="Hyperlink"/>
            <w:noProof/>
          </w:rPr>
          <w:t>Next steps</w:t>
        </w:r>
        <w:r w:rsidR="00BB6050">
          <w:rPr>
            <w:noProof/>
            <w:webHidden/>
          </w:rPr>
          <w:tab/>
        </w:r>
        <w:r w:rsidR="00BB6050">
          <w:rPr>
            <w:noProof/>
            <w:webHidden/>
          </w:rPr>
          <w:fldChar w:fldCharType="begin"/>
        </w:r>
        <w:r w:rsidR="00BB6050">
          <w:rPr>
            <w:noProof/>
            <w:webHidden/>
          </w:rPr>
          <w:instrText xml:space="preserve"> PAGEREF _Toc104850146 \h </w:instrText>
        </w:r>
        <w:r w:rsidR="00BB6050">
          <w:rPr>
            <w:noProof/>
            <w:webHidden/>
          </w:rPr>
        </w:r>
        <w:r w:rsidR="00BB6050">
          <w:rPr>
            <w:noProof/>
            <w:webHidden/>
          </w:rPr>
          <w:fldChar w:fldCharType="separate"/>
        </w:r>
        <w:r>
          <w:rPr>
            <w:noProof/>
            <w:webHidden/>
          </w:rPr>
          <w:t>118</w:t>
        </w:r>
        <w:r w:rsidR="00BB6050">
          <w:rPr>
            <w:noProof/>
            <w:webHidden/>
          </w:rPr>
          <w:fldChar w:fldCharType="end"/>
        </w:r>
      </w:hyperlink>
    </w:p>
    <w:p w14:paraId="63A9CFD2" w14:textId="6C9FAB6B" w:rsidR="00BB6050" w:rsidRDefault="00357DD7">
      <w:pPr>
        <w:pStyle w:val="TOC2"/>
        <w:rPr>
          <w:rFonts w:eastAsiaTheme="minorEastAsia"/>
          <w:lang w:eastAsia="en-AU"/>
        </w:rPr>
      </w:pPr>
      <w:hyperlink w:anchor="_Toc104850147" w:history="1">
        <w:r w:rsidR="00BB6050" w:rsidRPr="00944C16">
          <w:rPr>
            <w:rStyle w:val="Hyperlink"/>
          </w:rPr>
          <w:t>Second phase of the implementation review (June to August 2022)</w:t>
        </w:r>
        <w:r w:rsidR="00BB6050">
          <w:rPr>
            <w:webHidden/>
          </w:rPr>
          <w:tab/>
        </w:r>
        <w:r w:rsidR="00BB6050">
          <w:rPr>
            <w:webHidden/>
          </w:rPr>
          <w:fldChar w:fldCharType="begin"/>
        </w:r>
        <w:r w:rsidR="00BB6050">
          <w:rPr>
            <w:webHidden/>
          </w:rPr>
          <w:instrText xml:space="preserve"> PAGEREF _Toc104850147 \h </w:instrText>
        </w:r>
        <w:r w:rsidR="00BB6050">
          <w:rPr>
            <w:webHidden/>
          </w:rPr>
        </w:r>
        <w:r w:rsidR="00BB6050">
          <w:rPr>
            <w:webHidden/>
          </w:rPr>
          <w:fldChar w:fldCharType="separate"/>
        </w:r>
        <w:r>
          <w:rPr>
            <w:webHidden/>
          </w:rPr>
          <w:t>118</w:t>
        </w:r>
        <w:r w:rsidR="00BB6050">
          <w:rPr>
            <w:webHidden/>
          </w:rPr>
          <w:fldChar w:fldCharType="end"/>
        </w:r>
      </w:hyperlink>
    </w:p>
    <w:p w14:paraId="04969697" w14:textId="03F88DCB" w:rsidR="00BB6050" w:rsidRDefault="00357DD7">
      <w:pPr>
        <w:pStyle w:val="TOC2"/>
        <w:rPr>
          <w:rFonts w:eastAsiaTheme="minorEastAsia"/>
          <w:lang w:eastAsia="en-AU"/>
        </w:rPr>
      </w:pPr>
      <w:hyperlink w:anchor="_Toc104850148" w:history="1">
        <w:r w:rsidR="00BB6050" w:rsidRPr="00944C16">
          <w:rPr>
            <w:rStyle w:val="Hyperlink"/>
          </w:rPr>
          <w:t>Our on-going role in regulating the implementation of the framework</w:t>
        </w:r>
        <w:r w:rsidR="00BB6050">
          <w:rPr>
            <w:webHidden/>
          </w:rPr>
          <w:tab/>
        </w:r>
        <w:r w:rsidR="00BB6050">
          <w:rPr>
            <w:webHidden/>
          </w:rPr>
          <w:fldChar w:fldCharType="begin"/>
        </w:r>
        <w:r w:rsidR="00BB6050">
          <w:rPr>
            <w:webHidden/>
          </w:rPr>
          <w:instrText xml:space="preserve"> PAGEREF _Toc104850148 \h </w:instrText>
        </w:r>
        <w:r w:rsidR="00BB6050">
          <w:rPr>
            <w:webHidden/>
          </w:rPr>
        </w:r>
        <w:r w:rsidR="00BB6050">
          <w:rPr>
            <w:webHidden/>
          </w:rPr>
          <w:fldChar w:fldCharType="separate"/>
        </w:r>
        <w:r>
          <w:rPr>
            <w:webHidden/>
          </w:rPr>
          <w:t>118</w:t>
        </w:r>
        <w:r w:rsidR="00BB6050">
          <w:rPr>
            <w:webHidden/>
          </w:rPr>
          <w:fldChar w:fldCharType="end"/>
        </w:r>
      </w:hyperlink>
    </w:p>
    <w:p w14:paraId="201BD688" w14:textId="31AD737A" w:rsidR="00BB6050" w:rsidRDefault="00357DD7">
      <w:pPr>
        <w:pStyle w:val="TOC1"/>
        <w:rPr>
          <w:rFonts w:eastAsiaTheme="minorEastAsia"/>
          <w:b w:val="0"/>
          <w:noProof/>
          <w:lang w:eastAsia="en-AU"/>
        </w:rPr>
      </w:pPr>
      <w:hyperlink w:anchor="_Toc104850149" w:history="1">
        <w:r w:rsidR="00BB6050" w:rsidRPr="00944C16">
          <w:rPr>
            <w:rStyle w:val="Hyperlink"/>
            <w:noProof/>
          </w:rPr>
          <w:t>Appendix 1: Call recordings study scope and methodology</w:t>
        </w:r>
        <w:r w:rsidR="00BB6050">
          <w:rPr>
            <w:noProof/>
            <w:webHidden/>
          </w:rPr>
          <w:tab/>
        </w:r>
        <w:r w:rsidR="00BB6050">
          <w:rPr>
            <w:noProof/>
            <w:webHidden/>
          </w:rPr>
          <w:fldChar w:fldCharType="begin"/>
        </w:r>
        <w:r w:rsidR="00BB6050">
          <w:rPr>
            <w:noProof/>
            <w:webHidden/>
          </w:rPr>
          <w:instrText xml:space="preserve"> PAGEREF _Toc104850149 \h </w:instrText>
        </w:r>
        <w:r w:rsidR="00BB6050">
          <w:rPr>
            <w:noProof/>
            <w:webHidden/>
          </w:rPr>
        </w:r>
        <w:r w:rsidR="00BB6050">
          <w:rPr>
            <w:noProof/>
            <w:webHidden/>
          </w:rPr>
          <w:fldChar w:fldCharType="separate"/>
        </w:r>
        <w:r>
          <w:rPr>
            <w:noProof/>
            <w:webHidden/>
          </w:rPr>
          <w:t>120</w:t>
        </w:r>
        <w:r w:rsidR="00BB6050">
          <w:rPr>
            <w:noProof/>
            <w:webHidden/>
          </w:rPr>
          <w:fldChar w:fldCharType="end"/>
        </w:r>
      </w:hyperlink>
    </w:p>
    <w:p w14:paraId="6701D14E" w14:textId="6C238E00" w:rsidR="00BB6050" w:rsidRDefault="00357DD7">
      <w:pPr>
        <w:pStyle w:val="TOC2"/>
        <w:rPr>
          <w:rFonts w:eastAsiaTheme="minorEastAsia"/>
          <w:lang w:eastAsia="en-AU"/>
        </w:rPr>
      </w:pPr>
      <w:hyperlink w:anchor="_Toc104850150" w:history="1">
        <w:r w:rsidR="00BB6050" w:rsidRPr="00944C16">
          <w:rPr>
            <w:rStyle w:val="Hyperlink"/>
          </w:rPr>
          <w:t>Context of the call recordings study</w:t>
        </w:r>
        <w:r w:rsidR="00BB6050">
          <w:rPr>
            <w:webHidden/>
          </w:rPr>
          <w:tab/>
        </w:r>
        <w:r w:rsidR="00BB6050">
          <w:rPr>
            <w:webHidden/>
          </w:rPr>
          <w:fldChar w:fldCharType="begin"/>
        </w:r>
        <w:r w:rsidR="00BB6050">
          <w:rPr>
            <w:webHidden/>
          </w:rPr>
          <w:instrText xml:space="preserve"> PAGEREF _Toc104850150 \h </w:instrText>
        </w:r>
        <w:r w:rsidR="00BB6050">
          <w:rPr>
            <w:webHidden/>
          </w:rPr>
        </w:r>
        <w:r w:rsidR="00BB6050">
          <w:rPr>
            <w:webHidden/>
          </w:rPr>
          <w:fldChar w:fldCharType="separate"/>
        </w:r>
        <w:r>
          <w:rPr>
            <w:webHidden/>
          </w:rPr>
          <w:t>120</w:t>
        </w:r>
        <w:r w:rsidR="00BB6050">
          <w:rPr>
            <w:webHidden/>
          </w:rPr>
          <w:fldChar w:fldCharType="end"/>
        </w:r>
      </w:hyperlink>
    </w:p>
    <w:p w14:paraId="4BC79C7D" w14:textId="75E1A265" w:rsidR="00BB6050" w:rsidRDefault="00357DD7">
      <w:pPr>
        <w:pStyle w:val="TOC2"/>
        <w:rPr>
          <w:rFonts w:eastAsiaTheme="minorEastAsia"/>
          <w:lang w:eastAsia="en-AU"/>
        </w:rPr>
      </w:pPr>
      <w:hyperlink w:anchor="_Toc104850151" w:history="1">
        <w:r w:rsidR="00BB6050" w:rsidRPr="00944C16">
          <w:rPr>
            <w:rStyle w:val="Hyperlink"/>
            <w:lang w:val="en-US"/>
          </w:rPr>
          <w:t>Sample selection</w:t>
        </w:r>
        <w:r w:rsidR="00BB6050">
          <w:rPr>
            <w:webHidden/>
          </w:rPr>
          <w:tab/>
        </w:r>
        <w:r w:rsidR="00BB6050">
          <w:rPr>
            <w:webHidden/>
          </w:rPr>
          <w:fldChar w:fldCharType="begin"/>
        </w:r>
        <w:r w:rsidR="00BB6050">
          <w:rPr>
            <w:webHidden/>
          </w:rPr>
          <w:instrText xml:space="preserve"> PAGEREF _Toc104850151 \h </w:instrText>
        </w:r>
        <w:r w:rsidR="00BB6050">
          <w:rPr>
            <w:webHidden/>
          </w:rPr>
        </w:r>
        <w:r w:rsidR="00BB6050">
          <w:rPr>
            <w:webHidden/>
          </w:rPr>
          <w:fldChar w:fldCharType="separate"/>
        </w:r>
        <w:r>
          <w:rPr>
            <w:webHidden/>
          </w:rPr>
          <w:t>120</w:t>
        </w:r>
        <w:r w:rsidR="00BB6050">
          <w:rPr>
            <w:webHidden/>
          </w:rPr>
          <w:fldChar w:fldCharType="end"/>
        </w:r>
      </w:hyperlink>
    </w:p>
    <w:p w14:paraId="43CB4A9E" w14:textId="1FFF687E" w:rsidR="00BB6050" w:rsidRDefault="00357DD7">
      <w:pPr>
        <w:pStyle w:val="TOC2"/>
        <w:rPr>
          <w:rFonts w:eastAsiaTheme="minorEastAsia"/>
          <w:lang w:eastAsia="en-AU"/>
        </w:rPr>
      </w:pPr>
      <w:hyperlink w:anchor="_Toc104850152" w:history="1">
        <w:r w:rsidR="00BB6050" w:rsidRPr="00944C16">
          <w:rPr>
            <w:rStyle w:val="Hyperlink"/>
            <w:lang w:val="en-US"/>
          </w:rPr>
          <w:t>Scope of services provided by ORIMA Research</w:t>
        </w:r>
        <w:r w:rsidR="00BB6050">
          <w:rPr>
            <w:webHidden/>
          </w:rPr>
          <w:tab/>
        </w:r>
        <w:r w:rsidR="00BB6050">
          <w:rPr>
            <w:webHidden/>
          </w:rPr>
          <w:fldChar w:fldCharType="begin"/>
        </w:r>
        <w:r w:rsidR="00BB6050">
          <w:rPr>
            <w:webHidden/>
          </w:rPr>
          <w:instrText xml:space="preserve"> PAGEREF _Toc104850152 \h </w:instrText>
        </w:r>
        <w:r w:rsidR="00BB6050">
          <w:rPr>
            <w:webHidden/>
          </w:rPr>
        </w:r>
        <w:r w:rsidR="00BB6050">
          <w:rPr>
            <w:webHidden/>
          </w:rPr>
          <w:fldChar w:fldCharType="separate"/>
        </w:r>
        <w:r>
          <w:rPr>
            <w:webHidden/>
          </w:rPr>
          <w:t>121</w:t>
        </w:r>
        <w:r w:rsidR="00BB6050">
          <w:rPr>
            <w:webHidden/>
          </w:rPr>
          <w:fldChar w:fldCharType="end"/>
        </w:r>
      </w:hyperlink>
    </w:p>
    <w:p w14:paraId="68FA55C1" w14:textId="6FF50FC7" w:rsidR="00BB6050" w:rsidRDefault="00357DD7">
      <w:pPr>
        <w:pStyle w:val="TOC1"/>
        <w:rPr>
          <w:rFonts w:eastAsiaTheme="minorEastAsia"/>
          <w:b w:val="0"/>
          <w:noProof/>
          <w:lang w:eastAsia="en-AU"/>
        </w:rPr>
      </w:pPr>
      <w:hyperlink w:anchor="_Toc104850153" w:history="1">
        <w:r w:rsidR="00BB6050" w:rsidRPr="00944C16">
          <w:rPr>
            <w:rStyle w:val="Hyperlink"/>
            <w:noProof/>
          </w:rPr>
          <w:t>Appendix 2: Additional customer outcomes analysis</w:t>
        </w:r>
        <w:r w:rsidR="00BB6050">
          <w:rPr>
            <w:noProof/>
            <w:webHidden/>
          </w:rPr>
          <w:tab/>
        </w:r>
        <w:r w:rsidR="00BB6050">
          <w:rPr>
            <w:noProof/>
            <w:webHidden/>
          </w:rPr>
          <w:fldChar w:fldCharType="begin"/>
        </w:r>
        <w:r w:rsidR="00BB6050">
          <w:rPr>
            <w:noProof/>
            <w:webHidden/>
          </w:rPr>
          <w:instrText xml:space="preserve"> PAGEREF _Toc104850153 \h </w:instrText>
        </w:r>
        <w:r w:rsidR="00BB6050">
          <w:rPr>
            <w:noProof/>
            <w:webHidden/>
          </w:rPr>
        </w:r>
        <w:r w:rsidR="00BB6050">
          <w:rPr>
            <w:noProof/>
            <w:webHidden/>
          </w:rPr>
          <w:fldChar w:fldCharType="separate"/>
        </w:r>
        <w:r>
          <w:rPr>
            <w:noProof/>
            <w:webHidden/>
          </w:rPr>
          <w:t>122</w:t>
        </w:r>
        <w:r w:rsidR="00BB6050">
          <w:rPr>
            <w:noProof/>
            <w:webHidden/>
          </w:rPr>
          <w:fldChar w:fldCharType="end"/>
        </w:r>
      </w:hyperlink>
    </w:p>
    <w:p w14:paraId="66B8BC74" w14:textId="5733C374" w:rsidR="00BB6050" w:rsidRDefault="00357DD7">
      <w:pPr>
        <w:pStyle w:val="TOC2"/>
        <w:rPr>
          <w:rFonts w:eastAsiaTheme="minorEastAsia"/>
          <w:lang w:eastAsia="en-AU"/>
        </w:rPr>
      </w:pPr>
      <w:hyperlink w:anchor="_Toc104850154" w:history="1">
        <w:r w:rsidR="00BB6050" w:rsidRPr="00944C16">
          <w:rPr>
            <w:rStyle w:val="Hyperlink"/>
          </w:rPr>
          <w:t>Standard assistance</w:t>
        </w:r>
        <w:r w:rsidR="00BB6050">
          <w:rPr>
            <w:webHidden/>
          </w:rPr>
          <w:tab/>
        </w:r>
        <w:r w:rsidR="00BB6050">
          <w:rPr>
            <w:webHidden/>
          </w:rPr>
          <w:fldChar w:fldCharType="begin"/>
        </w:r>
        <w:r w:rsidR="00BB6050">
          <w:rPr>
            <w:webHidden/>
          </w:rPr>
          <w:instrText xml:space="preserve"> PAGEREF _Toc104850154 \h </w:instrText>
        </w:r>
        <w:r w:rsidR="00BB6050">
          <w:rPr>
            <w:webHidden/>
          </w:rPr>
        </w:r>
        <w:r w:rsidR="00BB6050">
          <w:rPr>
            <w:webHidden/>
          </w:rPr>
          <w:fldChar w:fldCharType="separate"/>
        </w:r>
        <w:r>
          <w:rPr>
            <w:webHidden/>
          </w:rPr>
          <w:t>123</w:t>
        </w:r>
        <w:r w:rsidR="00BB6050">
          <w:rPr>
            <w:webHidden/>
          </w:rPr>
          <w:fldChar w:fldCharType="end"/>
        </w:r>
      </w:hyperlink>
    </w:p>
    <w:p w14:paraId="5822AB32" w14:textId="20E0B273" w:rsidR="00BB6050" w:rsidRDefault="00357DD7">
      <w:pPr>
        <w:pStyle w:val="TOC2"/>
        <w:rPr>
          <w:rFonts w:eastAsiaTheme="minorEastAsia"/>
          <w:lang w:eastAsia="en-AU"/>
        </w:rPr>
      </w:pPr>
      <w:hyperlink w:anchor="_Toc104850155" w:history="1">
        <w:r w:rsidR="00BB6050" w:rsidRPr="00944C16">
          <w:rPr>
            <w:rStyle w:val="Hyperlink"/>
          </w:rPr>
          <w:t>Tailored assistance</w:t>
        </w:r>
        <w:r w:rsidR="00BB6050">
          <w:rPr>
            <w:webHidden/>
          </w:rPr>
          <w:tab/>
        </w:r>
        <w:r w:rsidR="00BB6050">
          <w:rPr>
            <w:webHidden/>
          </w:rPr>
          <w:fldChar w:fldCharType="begin"/>
        </w:r>
        <w:r w:rsidR="00BB6050">
          <w:rPr>
            <w:webHidden/>
          </w:rPr>
          <w:instrText xml:space="preserve"> PAGEREF _Toc104850155 \h </w:instrText>
        </w:r>
        <w:r w:rsidR="00BB6050">
          <w:rPr>
            <w:webHidden/>
          </w:rPr>
        </w:r>
        <w:r w:rsidR="00BB6050">
          <w:rPr>
            <w:webHidden/>
          </w:rPr>
          <w:fldChar w:fldCharType="separate"/>
        </w:r>
        <w:r>
          <w:rPr>
            <w:webHidden/>
          </w:rPr>
          <w:t>123</w:t>
        </w:r>
        <w:r w:rsidR="00BB6050">
          <w:rPr>
            <w:webHidden/>
          </w:rPr>
          <w:fldChar w:fldCharType="end"/>
        </w:r>
      </w:hyperlink>
    </w:p>
    <w:p w14:paraId="450E7D13" w14:textId="68C49E98" w:rsidR="00BB6050" w:rsidRDefault="00357DD7">
      <w:pPr>
        <w:pStyle w:val="TOC2"/>
        <w:rPr>
          <w:rFonts w:eastAsiaTheme="minorEastAsia"/>
          <w:lang w:eastAsia="en-AU"/>
        </w:rPr>
      </w:pPr>
      <w:hyperlink w:anchor="_Toc104850156" w:history="1">
        <w:r w:rsidR="00BB6050" w:rsidRPr="00944C16">
          <w:rPr>
            <w:rStyle w:val="Hyperlink"/>
          </w:rPr>
          <w:t>Customer arrears</w:t>
        </w:r>
        <w:r w:rsidR="00BB6050">
          <w:rPr>
            <w:webHidden/>
          </w:rPr>
          <w:tab/>
        </w:r>
        <w:r w:rsidR="00BB6050">
          <w:rPr>
            <w:webHidden/>
          </w:rPr>
          <w:fldChar w:fldCharType="begin"/>
        </w:r>
        <w:r w:rsidR="00BB6050">
          <w:rPr>
            <w:webHidden/>
          </w:rPr>
          <w:instrText xml:space="preserve"> PAGEREF _Toc104850156 \h </w:instrText>
        </w:r>
        <w:r w:rsidR="00BB6050">
          <w:rPr>
            <w:webHidden/>
          </w:rPr>
        </w:r>
        <w:r w:rsidR="00BB6050">
          <w:rPr>
            <w:webHidden/>
          </w:rPr>
          <w:fldChar w:fldCharType="separate"/>
        </w:r>
        <w:r>
          <w:rPr>
            <w:webHidden/>
          </w:rPr>
          <w:t>132</w:t>
        </w:r>
        <w:r w:rsidR="00BB6050">
          <w:rPr>
            <w:webHidden/>
          </w:rPr>
          <w:fldChar w:fldCharType="end"/>
        </w:r>
      </w:hyperlink>
    </w:p>
    <w:p w14:paraId="57E1088F" w14:textId="0F6DCACB" w:rsidR="00BB6050" w:rsidRDefault="00357DD7">
      <w:pPr>
        <w:pStyle w:val="TOC2"/>
        <w:rPr>
          <w:rFonts w:eastAsiaTheme="minorEastAsia"/>
          <w:lang w:eastAsia="en-AU"/>
        </w:rPr>
      </w:pPr>
      <w:hyperlink w:anchor="_Toc104850157" w:history="1">
        <w:r w:rsidR="00BB6050" w:rsidRPr="00944C16">
          <w:rPr>
            <w:rStyle w:val="Hyperlink"/>
          </w:rPr>
          <w:t>Disconnections</w:t>
        </w:r>
        <w:r w:rsidR="00BB6050">
          <w:rPr>
            <w:webHidden/>
          </w:rPr>
          <w:tab/>
        </w:r>
        <w:r w:rsidR="00BB6050">
          <w:rPr>
            <w:webHidden/>
          </w:rPr>
          <w:fldChar w:fldCharType="begin"/>
        </w:r>
        <w:r w:rsidR="00BB6050">
          <w:rPr>
            <w:webHidden/>
          </w:rPr>
          <w:instrText xml:space="preserve"> PAGEREF _Toc104850157 \h </w:instrText>
        </w:r>
        <w:r w:rsidR="00BB6050">
          <w:rPr>
            <w:webHidden/>
          </w:rPr>
        </w:r>
        <w:r w:rsidR="00BB6050">
          <w:rPr>
            <w:webHidden/>
          </w:rPr>
          <w:fldChar w:fldCharType="separate"/>
        </w:r>
        <w:r>
          <w:rPr>
            <w:webHidden/>
          </w:rPr>
          <w:t>134</w:t>
        </w:r>
        <w:r w:rsidR="00BB6050">
          <w:rPr>
            <w:webHidden/>
          </w:rPr>
          <w:fldChar w:fldCharType="end"/>
        </w:r>
      </w:hyperlink>
    </w:p>
    <w:p w14:paraId="6F123ACD" w14:textId="45191210" w:rsidR="00BB6050" w:rsidRDefault="00357DD7">
      <w:pPr>
        <w:pStyle w:val="TOC2"/>
        <w:rPr>
          <w:rFonts w:eastAsiaTheme="minorEastAsia"/>
          <w:lang w:eastAsia="en-AU"/>
        </w:rPr>
      </w:pPr>
      <w:hyperlink w:anchor="_Toc104850158" w:history="1">
        <w:r w:rsidR="00BB6050" w:rsidRPr="00944C16">
          <w:rPr>
            <w:rStyle w:val="Hyperlink"/>
          </w:rPr>
          <w:t>Variability of outcomes by retailer</w:t>
        </w:r>
        <w:r w:rsidR="00BB6050">
          <w:rPr>
            <w:webHidden/>
          </w:rPr>
          <w:tab/>
        </w:r>
        <w:r w:rsidR="00BB6050">
          <w:rPr>
            <w:webHidden/>
          </w:rPr>
          <w:fldChar w:fldCharType="begin"/>
        </w:r>
        <w:r w:rsidR="00BB6050">
          <w:rPr>
            <w:webHidden/>
          </w:rPr>
          <w:instrText xml:space="preserve"> PAGEREF _Toc104850158 \h </w:instrText>
        </w:r>
        <w:r w:rsidR="00BB6050">
          <w:rPr>
            <w:webHidden/>
          </w:rPr>
        </w:r>
        <w:r w:rsidR="00BB6050">
          <w:rPr>
            <w:webHidden/>
          </w:rPr>
          <w:fldChar w:fldCharType="separate"/>
        </w:r>
        <w:r>
          <w:rPr>
            <w:webHidden/>
          </w:rPr>
          <w:t>135</w:t>
        </w:r>
        <w:r w:rsidR="00BB6050">
          <w:rPr>
            <w:webHidden/>
          </w:rPr>
          <w:fldChar w:fldCharType="end"/>
        </w:r>
      </w:hyperlink>
    </w:p>
    <w:p w14:paraId="2966B70C" w14:textId="65EB9E5B" w:rsidR="00BB6050" w:rsidRDefault="00357DD7">
      <w:pPr>
        <w:pStyle w:val="TOC2"/>
        <w:rPr>
          <w:rFonts w:eastAsiaTheme="minorEastAsia"/>
          <w:lang w:eastAsia="en-AU"/>
        </w:rPr>
      </w:pPr>
      <w:hyperlink w:anchor="_Toc104850159" w:history="1">
        <w:r w:rsidR="00BB6050" w:rsidRPr="00944C16">
          <w:rPr>
            <w:rStyle w:val="Hyperlink"/>
          </w:rPr>
          <w:t>Variability of outcomes by retailer, based on invoice data</w:t>
        </w:r>
        <w:r w:rsidR="00BB6050">
          <w:rPr>
            <w:webHidden/>
          </w:rPr>
          <w:tab/>
        </w:r>
        <w:r w:rsidR="00BB6050">
          <w:rPr>
            <w:webHidden/>
          </w:rPr>
          <w:fldChar w:fldCharType="begin"/>
        </w:r>
        <w:r w:rsidR="00BB6050">
          <w:rPr>
            <w:webHidden/>
          </w:rPr>
          <w:instrText xml:space="preserve"> PAGEREF _Toc104850159 \h </w:instrText>
        </w:r>
        <w:r w:rsidR="00BB6050">
          <w:rPr>
            <w:webHidden/>
          </w:rPr>
        </w:r>
        <w:r w:rsidR="00BB6050">
          <w:rPr>
            <w:webHidden/>
          </w:rPr>
          <w:fldChar w:fldCharType="separate"/>
        </w:r>
        <w:r>
          <w:rPr>
            <w:webHidden/>
          </w:rPr>
          <w:t>140</w:t>
        </w:r>
        <w:r w:rsidR="00BB6050">
          <w:rPr>
            <w:webHidden/>
          </w:rPr>
          <w:fldChar w:fldCharType="end"/>
        </w:r>
      </w:hyperlink>
    </w:p>
    <w:p w14:paraId="6489027A" w14:textId="40AFC2A3" w:rsidR="00BB6050" w:rsidRDefault="00357DD7">
      <w:pPr>
        <w:pStyle w:val="TOC1"/>
        <w:rPr>
          <w:rFonts w:eastAsiaTheme="minorEastAsia"/>
          <w:b w:val="0"/>
          <w:noProof/>
          <w:lang w:eastAsia="en-AU"/>
        </w:rPr>
      </w:pPr>
      <w:hyperlink w:anchor="_Toc104850160" w:history="1">
        <w:r w:rsidR="00BB6050" w:rsidRPr="00944C16">
          <w:rPr>
            <w:rStyle w:val="Hyperlink"/>
            <w:noProof/>
          </w:rPr>
          <w:t>Appendix 3: Early observations workshop report</w:t>
        </w:r>
        <w:r w:rsidR="00BB6050">
          <w:rPr>
            <w:noProof/>
            <w:webHidden/>
          </w:rPr>
          <w:tab/>
        </w:r>
        <w:r w:rsidR="00BB6050">
          <w:rPr>
            <w:noProof/>
            <w:webHidden/>
          </w:rPr>
          <w:fldChar w:fldCharType="begin"/>
        </w:r>
        <w:r w:rsidR="00BB6050">
          <w:rPr>
            <w:noProof/>
            <w:webHidden/>
          </w:rPr>
          <w:instrText xml:space="preserve"> PAGEREF _Toc104850160 \h </w:instrText>
        </w:r>
        <w:r w:rsidR="00BB6050">
          <w:rPr>
            <w:noProof/>
            <w:webHidden/>
          </w:rPr>
        </w:r>
        <w:r w:rsidR="00BB6050">
          <w:rPr>
            <w:noProof/>
            <w:webHidden/>
          </w:rPr>
          <w:fldChar w:fldCharType="separate"/>
        </w:r>
        <w:r>
          <w:rPr>
            <w:noProof/>
            <w:webHidden/>
          </w:rPr>
          <w:t>141</w:t>
        </w:r>
        <w:r w:rsidR="00BB6050">
          <w:rPr>
            <w:noProof/>
            <w:webHidden/>
          </w:rPr>
          <w:fldChar w:fldCharType="end"/>
        </w:r>
      </w:hyperlink>
    </w:p>
    <w:p w14:paraId="7730E838" w14:textId="49E44D30" w:rsidR="00BB6050" w:rsidRDefault="00357DD7">
      <w:pPr>
        <w:pStyle w:val="TOC2"/>
        <w:rPr>
          <w:rFonts w:eastAsiaTheme="minorEastAsia"/>
          <w:lang w:eastAsia="en-AU"/>
        </w:rPr>
      </w:pPr>
      <w:hyperlink w:anchor="_Toc104850161" w:history="1">
        <w:r w:rsidR="00BB6050" w:rsidRPr="00944C16">
          <w:rPr>
            <w:rStyle w:val="Hyperlink"/>
          </w:rPr>
          <w:t>Participant feedback</w:t>
        </w:r>
        <w:r w:rsidR="00BB6050">
          <w:rPr>
            <w:webHidden/>
          </w:rPr>
          <w:tab/>
        </w:r>
        <w:r w:rsidR="00BB6050">
          <w:rPr>
            <w:webHidden/>
          </w:rPr>
          <w:fldChar w:fldCharType="begin"/>
        </w:r>
        <w:r w:rsidR="00BB6050">
          <w:rPr>
            <w:webHidden/>
          </w:rPr>
          <w:instrText xml:space="preserve"> PAGEREF _Toc104850161 \h </w:instrText>
        </w:r>
        <w:r w:rsidR="00BB6050">
          <w:rPr>
            <w:webHidden/>
          </w:rPr>
        </w:r>
        <w:r w:rsidR="00BB6050">
          <w:rPr>
            <w:webHidden/>
          </w:rPr>
          <w:fldChar w:fldCharType="separate"/>
        </w:r>
        <w:r>
          <w:rPr>
            <w:webHidden/>
          </w:rPr>
          <w:t>142</w:t>
        </w:r>
        <w:r w:rsidR="00BB6050">
          <w:rPr>
            <w:webHidden/>
          </w:rPr>
          <w:fldChar w:fldCharType="end"/>
        </w:r>
      </w:hyperlink>
    </w:p>
    <w:p w14:paraId="07735FF7" w14:textId="2A49ADBF" w:rsidR="00C43F4C" w:rsidRPr="00C118E0" w:rsidRDefault="00C43F4C" w:rsidP="00C43F4C">
      <w:pPr>
        <w:pStyle w:val="ListNumber2"/>
        <w:numPr>
          <w:ilvl w:val="0"/>
          <w:numId w:val="0"/>
        </w:numPr>
      </w:pPr>
      <w:r>
        <w:fldChar w:fldCharType="end"/>
      </w:r>
    </w:p>
    <w:p w14:paraId="70353BDA" w14:textId="77777777" w:rsidR="00C43F4C" w:rsidRDefault="00C43F4C" w:rsidP="00C43F4C">
      <w:pPr>
        <w:pStyle w:val="Heading1"/>
        <w:sectPr w:rsidR="00C43F4C" w:rsidSect="00DC3F20">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1134" w:left="1134" w:header="709" w:footer="692" w:gutter="0"/>
          <w:cols w:space="720"/>
          <w:docGrid w:linePitch="299"/>
        </w:sectPr>
      </w:pPr>
    </w:p>
    <w:p w14:paraId="45461215" w14:textId="77777777" w:rsidR="00C43F4C" w:rsidRPr="00BE1D2C" w:rsidRDefault="00C43F4C" w:rsidP="00C43F4C">
      <w:pPr>
        <w:pStyle w:val="Heading1"/>
      </w:pPr>
      <w:bookmarkStart w:id="15" w:name="_Toc104850103"/>
      <w:r w:rsidRPr="00BE1D2C">
        <w:lastRenderedPageBreak/>
        <w:t>Executive summary</w:t>
      </w:r>
      <w:bookmarkEnd w:id="15"/>
    </w:p>
    <w:p w14:paraId="2C307B15" w14:textId="77777777" w:rsidR="00C43F4C" w:rsidRPr="002979F7" w:rsidRDefault="00C43F4C" w:rsidP="00C43F4C">
      <w:pPr>
        <w:rPr>
          <w:lang w:val="en-US"/>
        </w:rPr>
      </w:pPr>
      <w:r>
        <w:t>The Essential Services Commission promotes protections for consumers experiencing vulnerability and supports access to regulated essential services for all Victorian consumers</w:t>
      </w:r>
      <w:r w:rsidRPr="002979F7">
        <w:rPr>
          <w:lang w:val="en-US"/>
        </w:rPr>
        <w:t xml:space="preserve">. </w:t>
      </w:r>
      <w:r w:rsidRPr="0E2D3ABB">
        <w:rPr>
          <w:lang w:val="en-US"/>
        </w:rPr>
        <w:t>A key objective of the commission</w:t>
      </w:r>
      <w:r w:rsidRPr="002979F7">
        <w:rPr>
          <w:lang w:val="en-US"/>
        </w:rPr>
        <w:t xml:space="preserve"> is breaking down the barriers consumers can face </w:t>
      </w:r>
      <w:r w:rsidRPr="0E2D3ABB">
        <w:rPr>
          <w:lang w:val="en-US"/>
        </w:rPr>
        <w:t>when</w:t>
      </w:r>
      <w:r w:rsidRPr="002979F7">
        <w:rPr>
          <w:lang w:val="en-US"/>
        </w:rPr>
        <w:t xml:space="preserve"> </w:t>
      </w:r>
      <w:r w:rsidRPr="0E2D3ABB">
        <w:rPr>
          <w:lang w:val="en-US"/>
        </w:rPr>
        <w:t>seeking</w:t>
      </w:r>
      <w:r w:rsidRPr="002979F7">
        <w:rPr>
          <w:lang w:val="en-US"/>
        </w:rPr>
        <w:t xml:space="preserve"> information and </w:t>
      </w:r>
      <w:r w:rsidRPr="0E2D3ABB">
        <w:rPr>
          <w:lang w:val="en-US"/>
        </w:rPr>
        <w:t>assistance</w:t>
      </w:r>
      <w:r w:rsidRPr="002979F7">
        <w:rPr>
          <w:lang w:val="en-US"/>
        </w:rPr>
        <w:t>.</w:t>
      </w:r>
    </w:p>
    <w:p w14:paraId="5AEEAB18" w14:textId="3BF4397B" w:rsidR="00C43F4C" w:rsidRDefault="00C43F4C" w:rsidP="00C43F4C">
      <w:pPr>
        <w:rPr>
          <w:lang w:val="en-US"/>
        </w:rPr>
      </w:pPr>
      <w:r>
        <w:rPr>
          <w:lang w:val="en-US"/>
        </w:rPr>
        <w:t xml:space="preserve">One of our </w:t>
      </w:r>
      <w:r w:rsidRPr="002979F7">
        <w:rPr>
          <w:lang w:val="en-US"/>
        </w:rPr>
        <w:t>role</w:t>
      </w:r>
      <w:r>
        <w:rPr>
          <w:lang w:val="en-US"/>
        </w:rPr>
        <w:t>s</w:t>
      </w:r>
      <w:r w:rsidRPr="002979F7">
        <w:rPr>
          <w:lang w:val="en-US"/>
        </w:rPr>
        <w:t xml:space="preserve"> is to facilitate the effective implementation of </w:t>
      </w:r>
      <w:r w:rsidRPr="0E2D3ABB">
        <w:rPr>
          <w:lang w:val="en-US"/>
        </w:rPr>
        <w:t>regulations</w:t>
      </w:r>
      <w:r w:rsidRPr="002979F7">
        <w:rPr>
          <w:lang w:val="en-US"/>
        </w:rPr>
        <w:t xml:space="preserve"> for the energy industry</w:t>
      </w:r>
      <w:r>
        <w:rPr>
          <w:lang w:val="en-US"/>
        </w:rPr>
        <w:t>,</w:t>
      </w:r>
      <w:r w:rsidRPr="002979F7">
        <w:rPr>
          <w:lang w:val="en-US"/>
        </w:rPr>
        <w:t xml:space="preserve"> </w:t>
      </w:r>
      <w:r>
        <w:rPr>
          <w:lang w:val="en-US"/>
        </w:rPr>
        <w:t xml:space="preserve">which includes support for customers </w:t>
      </w:r>
      <w:r w:rsidRPr="0E2D3ABB">
        <w:rPr>
          <w:lang w:val="en-US"/>
        </w:rPr>
        <w:t xml:space="preserve">who are </w:t>
      </w:r>
      <w:r>
        <w:rPr>
          <w:lang w:val="en-US"/>
        </w:rPr>
        <w:t>having trouble paying</w:t>
      </w:r>
      <w:r w:rsidRPr="002979F7">
        <w:rPr>
          <w:lang w:val="en-US"/>
        </w:rPr>
        <w:t xml:space="preserve"> their energy bills.</w:t>
      </w:r>
      <w:r>
        <w:rPr>
          <w:lang w:val="en-US"/>
        </w:rPr>
        <w:t xml:space="preserve"> The </w:t>
      </w:r>
      <w:r w:rsidRPr="00EB2467">
        <w:rPr>
          <w:lang w:val="en-US"/>
        </w:rPr>
        <w:t xml:space="preserve">energy </w:t>
      </w:r>
      <w:r>
        <w:rPr>
          <w:lang w:val="en-US"/>
        </w:rPr>
        <w:t>p</w:t>
      </w:r>
      <w:r w:rsidRPr="00EB2467">
        <w:rPr>
          <w:lang w:val="en-US"/>
        </w:rPr>
        <w:t xml:space="preserve">ayment </w:t>
      </w:r>
      <w:r>
        <w:rPr>
          <w:lang w:val="en-US"/>
        </w:rPr>
        <w:t>d</w:t>
      </w:r>
      <w:r w:rsidRPr="00EB2467">
        <w:rPr>
          <w:lang w:val="en-US"/>
        </w:rPr>
        <w:t>ifficulty</w:t>
      </w:r>
      <w:r>
        <w:rPr>
          <w:lang w:val="en-US"/>
        </w:rPr>
        <w:t xml:space="preserve"> framework (the framework) </w:t>
      </w:r>
      <w:r w:rsidR="00F10D84">
        <w:rPr>
          <w:lang w:val="en-US"/>
        </w:rPr>
        <w:t>was</w:t>
      </w:r>
      <w:r>
        <w:rPr>
          <w:lang w:val="en-US"/>
        </w:rPr>
        <w:t xml:space="preserve"> developed by the commission to reduce these barriers and support</w:t>
      </w:r>
      <w:r w:rsidR="00EA3FC6">
        <w:rPr>
          <w:lang w:val="en-US"/>
        </w:rPr>
        <w:t xml:space="preserve"> resi</w:t>
      </w:r>
      <w:r w:rsidR="002F12DF">
        <w:rPr>
          <w:lang w:val="en-US"/>
        </w:rPr>
        <w:t>dential</w:t>
      </w:r>
      <w:r>
        <w:rPr>
          <w:lang w:val="en-US"/>
        </w:rPr>
        <w:t xml:space="preserve"> Victorian </w:t>
      </w:r>
      <w:r w:rsidR="00EA3FC6">
        <w:rPr>
          <w:lang w:val="en-US"/>
        </w:rPr>
        <w:t>customers</w:t>
      </w:r>
      <w:r>
        <w:rPr>
          <w:lang w:val="en-US"/>
        </w:rPr>
        <w:t xml:space="preserve"> experiencing vulnerability.</w:t>
      </w:r>
    </w:p>
    <w:p w14:paraId="1126A917" w14:textId="62304553" w:rsidR="00C43F4C" w:rsidRDefault="00C43F4C" w:rsidP="00C43F4C">
      <w:pPr>
        <w:rPr>
          <w:lang w:val="en-US"/>
        </w:rPr>
      </w:pPr>
      <w:r>
        <w:rPr>
          <w:lang w:val="en-US"/>
        </w:rPr>
        <w:t>The framework was introduced in 2017 and came into effect on 1 January 2019 through amendments to the Energy Retail Code (now Energy Retail Code of Practice).</w:t>
      </w:r>
      <w:r>
        <w:rPr>
          <w:rStyle w:val="FootnoteReference"/>
          <w:lang w:val="en-US"/>
        </w:rPr>
        <w:footnoteReference w:id="2"/>
      </w:r>
      <w:r>
        <w:rPr>
          <w:lang w:val="en-US"/>
        </w:rPr>
        <w:t xml:space="preserve"> The framework seeks </w:t>
      </w:r>
      <w:r w:rsidRPr="00D87BBF">
        <w:rPr>
          <w:lang w:val="en-US"/>
        </w:rPr>
        <w:t xml:space="preserve">to </w:t>
      </w:r>
      <w:r w:rsidR="00876027" w:rsidRPr="00E7691F">
        <w:rPr>
          <w:lang w:val="en-US"/>
        </w:rPr>
        <w:t>reduce the number of</w:t>
      </w:r>
      <w:r w:rsidRPr="00E7691F">
        <w:rPr>
          <w:lang w:val="en-US"/>
        </w:rPr>
        <w:t xml:space="preserve"> customers b</w:t>
      </w:r>
      <w:r w:rsidRPr="00D87BBF">
        <w:rPr>
          <w:lang w:val="en-US"/>
        </w:rPr>
        <w:t>eing disconnected</w:t>
      </w:r>
      <w:r>
        <w:rPr>
          <w:lang w:val="en-US"/>
        </w:rPr>
        <w:t xml:space="preserve"> for having energy </w:t>
      </w:r>
      <w:bookmarkStart w:id="17" w:name="_Int_beQr8kEr"/>
      <w:r w:rsidR="0015558C">
        <w:rPr>
          <w:lang w:val="en-US"/>
        </w:rPr>
        <w:t>arrears</w:t>
      </w:r>
      <w:r>
        <w:rPr>
          <w:lang w:val="en-US"/>
        </w:rPr>
        <w:t xml:space="preserve"> and</w:t>
      </w:r>
      <w:bookmarkEnd w:id="17"/>
      <w:r>
        <w:rPr>
          <w:lang w:val="en-US"/>
        </w:rPr>
        <w:t xml:space="preserve"> does this by protecting and supporting residential customers to help pay their energy bills. </w:t>
      </w:r>
      <w:r w:rsidR="00EF7121">
        <w:rPr>
          <w:lang w:val="en-US"/>
        </w:rPr>
        <w:t>The framework entitles Victorian energy customers</w:t>
      </w:r>
      <w:r w:rsidR="00AB7AC1">
        <w:rPr>
          <w:lang w:val="en-US"/>
        </w:rPr>
        <w:t xml:space="preserve"> anticipating or experiencing payment difficulty</w:t>
      </w:r>
      <w:r w:rsidR="00EF7121">
        <w:rPr>
          <w:lang w:val="en-US"/>
        </w:rPr>
        <w:t xml:space="preserve"> to </w:t>
      </w:r>
      <w:r w:rsidR="00384D41" w:rsidRPr="00384D41">
        <w:rPr>
          <w:lang w:val="en-US"/>
        </w:rPr>
        <w:t xml:space="preserve">minimum </w:t>
      </w:r>
      <w:r>
        <w:rPr>
          <w:lang w:val="en-US"/>
        </w:rPr>
        <w:t>level</w:t>
      </w:r>
      <w:r w:rsidR="00E71651">
        <w:rPr>
          <w:lang w:val="en-US"/>
        </w:rPr>
        <w:t>s</w:t>
      </w:r>
      <w:r>
        <w:rPr>
          <w:lang w:val="en-US"/>
        </w:rPr>
        <w:t xml:space="preserve"> of assistance</w:t>
      </w:r>
      <w:r w:rsidR="00120419">
        <w:rPr>
          <w:lang w:val="en-US"/>
        </w:rPr>
        <w:t xml:space="preserve">. These minimum </w:t>
      </w:r>
      <w:r w:rsidR="00EF6B8A">
        <w:rPr>
          <w:lang w:val="en-US"/>
        </w:rPr>
        <w:t>standards</w:t>
      </w:r>
      <w:r>
        <w:rPr>
          <w:lang w:val="en-US"/>
        </w:rPr>
        <w:t xml:space="preserve"> of assistance and the obligations for retailers in providing that assistance, are set out in the code.</w:t>
      </w:r>
    </w:p>
    <w:p w14:paraId="13318404" w14:textId="77777777" w:rsidR="00C43F4C" w:rsidRDefault="00C43F4C" w:rsidP="00C43F4C">
      <w:pPr>
        <w:rPr>
          <w:lang w:val="en-US"/>
        </w:rPr>
      </w:pPr>
      <w:r>
        <w:rPr>
          <w:lang w:val="en-US"/>
        </w:rPr>
        <w:t>The framework was developed to meet the following objectives:</w:t>
      </w:r>
    </w:p>
    <w:p w14:paraId="6DA24AD1" w14:textId="05F3D7F6" w:rsidR="00C43F4C" w:rsidRPr="007476B9" w:rsidRDefault="00C43F4C" w:rsidP="008E42FA">
      <w:pPr>
        <w:pStyle w:val="ListParagraph"/>
        <w:numPr>
          <w:ilvl w:val="0"/>
          <w:numId w:val="12"/>
        </w:numPr>
      </w:pPr>
      <w:r w:rsidRPr="007476B9">
        <w:t xml:space="preserve">To help residential customers avoid getting into </w:t>
      </w:r>
      <w:r w:rsidR="0015558C">
        <w:t>arrears</w:t>
      </w:r>
      <w:r w:rsidRPr="007476B9">
        <w:t xml:space="preserve"> with their retailer.</w:t>
      </w:r>
    </w:p>
    <w:p w14:paraId="061D2B11" w14:textId="6EB8767D" w:rsidR="00C43F4C" w:rsidRDefault="00C43F4C" w:rsidP="008E42FA">
      <w:pPr>
        <w:pStyle w:val="ListParagraph"/>
        <w:numPr>
          <w:ilvl w:val="0"/>
          <w:numId w:val="12"/>
        </w:numPr>
      </w:pPr>
      <w:r w:rsidRPr="007476B9">
        <w:t xml:space="preserve">To make it easier for residential customers to pay for their ongoing energy use, repay their </w:t>
      </w:r>
      <w:r w:rsidR="0015558C">
        <w:t>arrears</w:t>
      </w:r>
      <w:r w:rsidRPr="007476B9">
        <w:t xml:space="preserve"> when they have missed a bill</w:t>
      </w:r>
      <w:r>
        <w:t>,</w:t>
      </w:r>
      <w:r w:rsidRPr="007476B9">
        <w:t xml:space="preserve"> and lower their energy costs.</w:t>
      </w:r>
    </w:p>
    <w:p w14:paraId="2809D776" w14:textId="77777777" w:rsidR="00C43F4C" w:rsidRPr="007476B9" w:rsidRDefault="00C43F4C" w:rsidP="008E42FA">
      <w:pPr>
        <w:pStyle w:val="ListParagraph"/>
        <w:numPr>
          <w:ilvl w:val="0"/>
          <w:numId w:val="12"/>
        </w:numPr>
      </w:pPr>
      <w:r w:rsidRPr="007476B9">
        <w:t>To ensure residential customers are only disconnected for non-payment of a bill as a measure of last resort.</w:t>
      </w:r>
    </w:p>
    <w:p w14:paraId="1C9B8AC2" w14:textId="77777777" w:rsidR="00C43F4C" w:rsidRDefault="00C43F4C" w:rsidP="00C43F4C">
      <w:pPr>
        <w:pStyle w:val="Heading2"/>
        <w:rPr>
          <w:lang w:val="en-US"/>
        </w:rPr>
      </w:pPr>
      <w:bookmarkStart w:id="18" w:name="_Toc104850104"/>
      <w:r>
        <w:rPr>
          <w:lang w:val="en-US"/>
        </w:rPr>
        <w:t>Our review of the effectiveness of the framework’s implementation</w:t>
      </w:r>
      <w:bookmarkEnd w:id="18"/>
    </w:p>
    <w:p w14:paraId="1626F37E" w14:textId="77777777" w:rsidR="00C43F4C" w:rsidRDefault="00C43F4C" w:rsidP="00C43F4C">
      <w:r>
        <w:t xml:space="preserve">We committed to holding a review into how energy retailers were applying the framework in </w:t>
      </w:r>
      <w:r w:rsidRPr="00FB17E5">
        <w:rPr>
          <w:lang w:val="en-US"/>
        </w:rPr>
        <w:t>practice</w:t>
      </w:r>
      <w:r>
        <w:t xml:space="preserve"> two years after its introduction. The aim was to consider the effectiveness of the framework as implemented by energy retailers against its objectives, and to identify areas for improvement. </w:t>
      </w:r>
    </w:p>
    <w:p w14:paraId="6F57F965" w14:textId="201DB5FE" w:rsidR="00C43F4C" w:rsidRDefault="00C43F4C" w:rsidP="00C43F4C">
      <w:r>
        <w:lastRenderedPageBreak/>
        <w:t xml:space="preserve">Since September 2021, we have been gathering information to inform our review. This involved receiving and evaluating feedback and data </w:t>
      </w:r>
      <w:r w:rsidR="00597B42">
        <w:t xml:space="preserve">directly from </w:t>
      </w:r>
      <w:r>
        <w:t>stakeholder</w:t>
      </w:r>
      <w:r w:rsidR="00597B42">
        <w:t>s</w:t>
      </w:r>
      <w:r>
        <w:t>, retailer data, publicly available consumers insights research, and analysis of call recordings between retailers and customers receiving payment assistance.</w:t>
      </w:r>
    </w:p>
    <w:p w14:paraId="1D07829E" w14:textId="375692AC" w:rsidR="00C43F4C" w:rsidRPr="00BD7D58" w:rsidRDefault="00C43F4C" w:rsidP="008E0B2F">
      <w:pPr>
        <w:pStyle w:val="Figure-Table-BoxHeading"/>
        <w:numPr>
          <w:ilvl w:val="0"/>
          <w:numId w:val="0"/>
        </w:numPr>
        <w:ind w:left="851" w:hanging="851"/>
      </w:pPr>
      <w:bookmarkStart w:id="19" w:name="_Ref103611256"/>
      <w:bookmarkStart w:id="20" w:name="_Toc102095465"/>
      <w:bookmarkStart w:id="21" w:name="_Ref99709330"/>
      <w:bookmarkStart w:id="22" w:name="_Ref103942618"/>
      <w:bookmarkStart w:id="23" w:name="_Ref103942620"/>
      <w:bookmarkStart w:id="24" w:name="_Toc103943771"/>
      <w:r>
        <w:t xml:space="preserve">Figure </w:t>
      </w:r>
      <w:r>
        <w:fldChar w:fldCharType="begin"/>
      </w:r>
      <w:r>
        <w:instrText>SEQ Figure \* ARABIC</w:instrText>
      </w:r>
      <w:r>
        <w:fldChar w:fldCharType="separate"/>
      </w:r>
      <w:r w:rsidR="00357DD7">
        <w:rPr>
          <w:noProof/>
        </w:rPr>
        <w:t>1</w:t>
      </w:r>
      <w:r>
        <w:fldChar w:fldCharType="end"/>
      </w:r>
      <w:bookmarkEnd w:id="19"/>
      <w:r>
        <w:tab/>
        <w:t>Our review timeline</w:t>
      </w:r>
      <w:bookmarkEnd w:id="20"/>
      <w:bookmarkEnd w:id="21"/>
      <w:bookmarkEnd w:id="22"/>
      <w:bookmarkEnd w:id="23"/>
      <w:bookmarkEnd w:id="24"/>
    </w:p>
    <w:p w14:paraId="58A81482" w14:textId="59B142F2" w:rsidR="00983F38" w:rsidRDefault="00945CD0" w:rsidP="00C43F4C">
      <w:r>
        <w:rPr>
          <w:noProof/>
        </w:rPr>
        <w:drawing>
          <wp:inline distT="0" distB="0" distL="0" distR="0" wp14:anchorId="0EC10644" wp14:editId="40942B03">
            <wp:extent cx="6120000" cy="2901192"/>
            <wp:effectExtent l="0" t="0" r="0" b="0"/>
            <wp:docPr id="100646" name="Picture 100646" descr="The timeline of the implementation review divided in two phases. The review launched in September 2021 and ended in May 2022 with the release of the findings report. The second phase involves a better practice program, ending in Augu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6" name="Picture 100646" descr="The timeline of the implementation review divided in two phases. The review launched in September 2021 and ended in May 2022 with the release of the findings report. The second phase involves a better practice program, ending in August 20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2901192"/>
                    </a:xfrm>
                    <a:prstGeom prst="rect">
                      <a:avLst/>
                    </a:prstGeom>
                    <a:noFill/>
                  </pic:spPr>
                </pic:pic>
              </a:graphicData>
            </a:graphic>
          </wp:inline>
        </w:drawing>
      </w:r>
    </w:p>
    <w:p w14:paraId="442AA2AB" w14:textId="631285E9" w:rsidR="00C43F4C" w:rsidRDefault="00C43F4C" w:rsidP="00C43F4C">
      <w:r>
        <w:t>This report presents the key information and insights we have collected through this process. Our key findings provide the basis of our assessment of how effectively the framework has been implemented against its objectives since 2019.</w:t>
      </w:r>
    </w:p>
    <w:p w14:paraId="32AF4799" w14:textId="7B659453" w:rsidR="00C43F4C" w:rsidRDefault="00C43F4C" w:rsidP="00C43F4C">
      <w:r>
        <w:t>It is important to note that the framework’s implementation coincided with stay-at-home orders issued by the Victorian government to help contain the spread of COVID-19 during 2020 and 2021. Various temporary measures and supports providing financial assistance to individuals, households and businesses affected by the pandemic have</w:t>
      </w:r>
      <w:r w:rsidDel="00EB0138">
        <w:t xml:space="preserve"> </w:t>
      </w:r>
      <w:r w:rsidR="00876027">
        <w:t xml:space="preserve">affected how </w:t>
      </w:r>
      <w:r>
        <w:t>energy retailer responses</w:t>
      </w:r>
      <w:r w:rsidR="00533A8A">
        <w:t xml:space="preserve"> </w:t>
      </w:r>
      <w:r w:rsidR="00876027">
        <w:t>operate</w:t>
      </w:r>
      <w:r>
        <w:t>, as well as customer needs and experiences during this period. We have considered this when making our key findings.</w:t>
      </w:r>
    </w:p>
    <w:p w14:paraId="095A8B62" w14:textId="642F7E29" w:rsidR="00C43F4C" w:rsidRDefault="00C43F4C" w:rsidP="00C43F4C">
      <w:r>
        <w:t xml:space="preserve">We have also highlighted opportunities for further collaboration </w:t>
      </w:r>
      <w:r w:rsidR="00597B42">
        <w:t xml:space="preserve">across the sector, particularly </w:t>
      </w:r>
      <w:r>
        <w:t xml:space="preserve">between the commission, energy retailers, </w:t>
      </w:r>
      <w:r w:rsidR="00A073FE">
        <w:t xml:space="preserve">and </w:t>
      </w:r>
      <w:r>
        <w:t>consumer groups and advocates</w:t>
      </w:r>
      <w:r w:rsidR="00A073FE">
        <w:t xml:space="preserve"> </w:t>
      </w:r>
      <w:r>
        <w:t xml:space="preserve">to improve the framework’s support of </w:t>
      </w:r>
      <w:r w:rsidR="00BB19BF">
        <w:t xml:space="preserve">customers </w:t>
      </w:r>
      <w:r>
        <w:t xml:space="preserve">experiencing vulnerability. </w:t>
      </w:r>
    </w:p>
    <w:p w14:paraId="71A1D70F" w14:textId="5F2C9148" w:rsidR="00C43F4C" w:rsidRDefault="00C43F4C" w:rsidP="00C43F4C">
      <w:bookmarkStart w:id="25" w:name="_Toc100135058"/>
      <w:bookmarkStart w:id="26" w:name="_Toc100098126"/>
      <w:bookmarkStart w:id="27" w:name="_Toc100145009"/>
      <w:r w:rsidRPr="00967DEE">
        <w:t xml:space="preserve">The release of this report marks the beginning of the next phase of our review. From June to August 2022, we will </w:t>
      </w:r>
      <w:r w:rsidR="00A3587E" w:rsidRPr="00967DEE">
        <w:t>engage</w:t>
      </w:r>
      <w:r w:rsidRPr="00967DEE">
        <w:t xml:space="preserve"> with stakeholders to </w:t>
      </w:r>
      <w:r w:rsidR="00A3587E" w:rsidRPr="00967DEE">
        <w:t xml:space="preserve">facilitate discussions about better practice and to </w:t>
      </w:r>
      <w:r w:rsidR="00D14B51" w:rsidRPr="00967DEE">
        <w:t>develop practical</w:t>
      </w:r>
      <w:r w:rsidRPr="00967DEE">
        <w:t xml:space="preserve"> actions that focus on </w:t>
      </w:r>
      <w:r w:rsidR="00A073FE" w:rsidRPr="00967DEE">
        <w:t xml:space="preserve">improving the operation of the framework, as </w:t>
      </w:r>
      <w:r w:rsidRPr="00967DEE">
        <w:t xml:space="preserve">identified in </w:t>
      </w:r>
      <w:r w:rsidRPr="00967DEE">
        <w:lastRenderedPageBreak/>
        <w:t>this report.</w:t>
      </w:r>
      <w:r w:rsidR="009E44BF" w:rsidRPr="00967DEE">
        <w:t xml:space="preserve"> The findings from our review, and the </w:t>
      </w:r>
      <w:r w:rsidR="00D14B51" w:rsidRPr="00967DEE">
        <w:t>actions</w:t>
      </w:r>
      <w:r w:rsidR="009E44BF" w:rsidRPr="00967DEE">
        <w:t xml:space="preserve"> we </w:t>
      </w:r>
      <w:r w:rsidR="00D14B51" w:rsidRPr="00967DEE">
        <w:t>develop</w:t>
      </w:r>
      <w:r w:rsidR="009E44BF" w:rsidRPr="00967DEE">
        <w:t xml:space="preserve"> with stakeholders will then inform our on-going regulatory work to implement the framework.</w:t>
      </w:r>
    </w:p>
    <w:p w14:paraId="68C45DF2" w14:textId="6B1716B1" w:rsidR="00C43F4C" w:rsidRDefault="001D0D36" w:rsidP="00A26AC4">
      <w:pPr>
        <w:pStyle w:val="Heading2"/>
        <w:pageBreakBefore/>
        <w:spacing w:before="0" w:after="0"/>
      </w:pPr>
      <w:bookmarkStart w:id="28" w:name="_Toc104850105"/>
      <w:r>
        <w:lastRenderedPageBreak/>
        <w:t xml:space="preserve">Victoria’s energy payment difficulty framework: </w:t>
      </w:r>
      <w:r w:rsidR="00C43F4C">
        <w:t>At a</w:t>
      </w:r>
      <w:r w:rsidR="00C43F4C" w:rsidRPr="006A67CD">
        <w:t xml:space="preserve"> </w:t>
      </w:r>
      <w:r w:rsidR="00C43F4C">
        <w:t>glance</w:t>
      </w:r>
      <w:bookmarkEnd w:id="28"/>
    </w:p>
    <w:p w14:paraId="505504B9" w14:textId="77777777" w:rsidR="00C43F4C" w:rsidRPr="006A1639" w:rsidRDefault="00C43F4C" w:rsidP="00C43F4C">
      <w:pPr>
        <w:pStyle w:val="Heading2"/>
        <w:spacing w:before="0" w:after="0"/>
        <w:rPr>
          <w:bCs/>
        </w:rPr>
      </w:pPr>
      <w:bookmarkStart w:id="29" w:name="_Toc104850106"/>
      <w:r w:rsidRPr="006A1639">
        <w:rPr>
          <w:rFonts w:cs="Tahoma"/>
          <w:bCs/>
          <w:color w:val="4986A0" w:themeColor="text2"/>
          <w:sz w:val="24"/>
          <w:szCs w:val="24"/>
          <w:lang w:val="en-US"/>
        </w:rPr>
        <w:t>Positive and improved customer outcomes</w:t>
      </w:r>
      <w:bookmarkEnd w:id="29"/>
    </w:p>
    <w:p w14:paraId="68A3180D" w14:textId="3125048A" w:rsidR="00C43F4C" w:rsidRDefault="009B50C0" w:rsidP="00C43F4C">
      <w:pPr>
        <w:spacing w:before="0" w:after="0" w:line="240" w:lineRule="auto"/>
        <w:jc w:val="center"/>
      </w:pPr>
      <w:r>
        <w:rPr>
          <w:noProof/>
        </w:rPr>
        <w:drawing>
          <wp:inline distT="0" distB="0" distL="0" distR="0" wp14:anchorId="4FDC1D4A" wp14:editId="1C484243">
            <wp:extent cx="2772000" cy="1486800"/>
            <wp:effectExtent l="0" t="0" r="0" b="0"/>
            <wp:docPr id="35" name="Chart 35" descr="Bar chart comparing hardship program customers before the framework in 2017-18 and tailored assistance customers in 2020-21. The number of customers receiving assistance increased by nearly 23000 people.">
              <a:extLst xmlns:a="http://schemas.openxmlformats.org/drawingml/2006/main">
                <a:ext uri="{FF2B5EF4-FFF2-40B4-BE49-F238E27FC236}">
                  <a16:creationId xmlns:a16="http://schemas.microsoft.com/office/drawing/2014/main" id="{BA6DA1CA-AE36-4697-9C24-48923F09F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C43F4C">
        <w:tab/>
      </w:r>
      <w:r w:rsidR="00495AE6">
        <w:rPr>
          <w:noProof/>
        </w:rPr>
        <w:drawing>
          <wp:inline distT="0" distB="0" distL="0" distR="0" wp14:anchorId="6BCC101A" wp14:editId="3D62C284">
            <wp:extent cx="2772000" cy="1486800"/>
            <wp:effectExtent l="0" t="0" r="0" b="0"/>
            <wp:docPr id="78" name="Chart 78" descr="Bar chat comparing electricity disconnections for unpaid bills over two time periods of July 2013 to June 2014, and April 2019 to March 2020. The launch of the framework saw a 34% decrease in disconnections.">
              <a:extLst xmlns:a="http://schemas.openxmlformats.org/drawingml/2006/main">
                <a:ext uri="{FF2B5EF4-FFF2-40B4-BE49-F238E27FC236}">
                  <a16:creationId xmlns:a16="http://schemas.microsoft.com/office/drawing/2014/main" id="{512C6F74-FC92-4EC8-ACDE-B3FD6274FA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DEABAC" w14:textId="08204106" w:rsidR="00C43F4C" w:rsidRDefault="006B1346" w:rsidP="00C43F4C">
      <w:pPr>
        <w:spacing w:before="0" w:after="0" w:line="240" w:lineRule="auto"/>
        <w:jc w:val="center"/>
        <w:rPr>
          <w:noProof/>
        </w:rPr>
      </w:pPr>
      <w:r>
        <w:rPr>
          <w:noProof/>
        </w:rPr>
        <w:drawing>
          <wp:inline distT="0" distB="0" distL="0" distR="0" wp14:anchorId="0606339A" wp14:editId="50F96219">
            <wp:extent cx="2772000" cy="1486800"/>
            <wp:effectExtent l="0" t="0" r="0" b="0"/>
            <wp:docPr id="99976" name="Chart 99976" descr="Bar chart comparing the proportion of applications for utility relief grants after requesting forms from the Department of Families, Fairness, and Housing over two time periods of 2018-19 and 2021-22. There was a 34% increase.">
              <a:extLst xmlns:a="http://schemas.openxmlformats.org/drawingml/2006/main">
                <a:ext uri="{FF2B5EF4-FFF2-40B4-BE49-F238E27FC236}">
                  <a16:creationId xmlns:a16="http://schemas.microsoft.com/office/drawing/2014/main" id="{3AF02D23-3070-4D9D-A3C5-2A9BD26CF1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C43F4C">
        <w:rPr>
          <w:noProof/>
        </w:rPr>
        <w:tab/>
      </w:r>
      <w:r w:rsidR="000928DF">
        <w:rPr>
          <w:noProof/>
        </w:rPr>
        <w:drawing>
          <wp:inline distT="0" distB="0" distL="0" distR="0" wp14:anchorId="53417C3B" wp14:editId="1D3AE7CC">
            <wp:extent cx="2772000" cy="1486800"/>
            <wp:effectExtent l="0" t="0" r="0" b="0"/>
            <wp:docPr id="99983" name="Chart 99983" descr="Bar chart comparing the cost of electricity in dollars per kilo watt hour for tailored assistance customers and customers not receiving assistance in 2019 and 2020. Tailored assistance customers paid 30 cents, while customers not receiving assistance paid 33 cents.">
              <a:extLst xmlns:a="http://schemas.openxmlformats.org/drawingml/2006/main">
                <a:ext uri="{FF2B5EF4-FFF2-40B4-BE49-F238E27FC236}">
                  <a16:creationId xmlns:a16="http://schemas.microsoft.com/office/drawing/2014/main" id="{265C2DCB-0749-4924-A0D4-BB437FF6A4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6CD67A" w14:textId="39778CA6" w:rsidR="00C43F4C" w:rsidRDefault="00C43F4C" w:rsidP="00C43F4C">
      <w:pPr>
        <w:spacing w:before="0" w:after="120" w:line="259" w:lineRule="auto"/>
        <w:jc w:val="center"/>
      </w:pPr>
      <w:r>
        <w:rPr>
          <w:noProof/>
        </w:rPr>
        <mc:AlternateContent>
          <mc:Choice Requires="wps">
            <w:drawing>
              <wp:anchor distT="0" distB="0" distL="114300" distR="114300" simplePos="0" relativeHeight="251650048" behindDoc="1" locked="0" layoutInCell="1" allowOverlap="1" wp14:anchorId="3717391C" wp14:editId="1FFBF1DE">
                <wp:simplePos x="0" y="0"/>
                <wp:positionH relativeFrom="column">
                  <wp:posOffset>-92293</wp:posOffset>
                </wp:positionH>
                <wp:positionV relativeFrom="paragraph">
                  <wp:posOffset>1487198</wp:posOffset>
                </wp:positionV>
                <wp:extent cx="6168390" cy="3385432"/>
                <wp:effectExtent l="0" t="0" r="3810" b="5715"/>
                <wp:wrapNone/>
                <wp:docPr id="99984" name="Rectangle 999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8390" cy="3385432"/>
                        </a:xfrm>
                        <a:prstGeom prst="rect">
                          <a:avLst/>
                        </a:prstGeom>
                        <a:solidFill>
                          <a:srgbClr val="FBFB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1E5279" id="Rectangle 99984" o:spid="_x0000_s1026" alt="&quot;&quot;" style="position:absolute;margin-left:-7.25pt;margin-top:117.1pt;width:485.7pt;height:266.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" fillcolor="#fbfbfb" stroked="f" strokeweight="1pt"/>
            </w:pict>
          </mc:Fallback>
        </mc:AlternateContent>
      </w:r>
      <w:r w:rsidR="004A314C">
        <w:rPr>
          <w:noProof/>
        </w:rPr>
        <w:drawing>
          <wp:inline distT="0" distB="0" distL="0" distR="0" wp14:anchorId="13D4DCDB" wp14:editId="7A531DCF">
            <wp:extent cx="1368000" cy="1486800"/>
            <wp:effectExtent l="0" t="0" r="3810" b="0"/>
            <wp:docPr id="117" name="Chart 117" descr="Infographic illustrating that 30% of customers cleared their arrears on exiting tailored assistance in 2020-21.">
              <a:extLst xmlns:a="http://schemas.openxmlformats.org/drawingml/2006/main">
                <a:ext uri="{FF2B5EF4-FFF2-40B4-BE49-F238E27FC236}">
                  <a16:creationId xmlns:a16="http://schemas.microsoft.com/office/drawing/2014/main" id="{57F24375-2841-48CD-B98D-FF3823259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tab/>
      </w:r>
      <w:r>
        <w:rPr>
          <w:noProof/>
        </w:rPr>
        <w:drawing>
          <wp:inline distT="0" distB="0" distL="0" distR="0" wp14:anchorId="7B0A156E" wp14:editId="61AB8BA1">
            <wp:extent cx="1368000" cy="1486800"/>
            <wp:effectExtent l="0" t="0" r="3810" b="0"/>
            <wp:docPr id="99969" name="Chart 99969" descr="Infographic illustrating that 75% of customers accepted the assistance offered by retailers (based on the call recordings study)">
              <a:extLst xmlns:a="http://schemas.openxmlformats.org/drawingml/2006/main">
                <a:ext uri="{FF2B5EF4-FFF2-40B4-BE49-F238E27FC236}">
                  <a16:creationId xmlns:a16="http://schemas.microsoft.com/office/drawing/2014/main" id="{6198BC60-3D5B-4401-A452-3CAD4FC97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tab/>
      </w:r>
      <w:r>
        <w:rPr>
          <w:noProof/>
        </w:rPr>
        <w:drawing>
          <wp:inline distT="0" distB="0" distL="0" distR="0" wp14:anchorId="0BBF500B" wp14:editId="0D187C07">
            <wp:extent cx="1368000" cy="1486800"/>
            <wp:effectExtent l="0" t="0" r="3810" b="0"/>
            <wp:docPr id="53" name="Chart 53" descr="Infographic illustrating that 98% of operators showed respect for the customer (based on the call recording study)">
              <a:extLst xmlns:a="http://schemas.openxmlformats.org/drawingml/2006/main">
                <a:ext uri="{FF2B5EF4-FFF2-40B4-BE49-F238E27FC236}">
                  <a16:creationId xmlns:a16="http://schemas.microsoft.com/office/drawing/2014/main" id="{309882D4-7025-4BBC-A275-5345F8C28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A6CDCDE" w14:textId="1DBBFF66" w:rsidR="00C43F4C" w:rsidRPr="0087247B" w:rsidRDefault="00C43F4C" w:rsidP="00C43F4C">
      <w:pPr>
        <w:spacing w:before="80" w:after="80" w:line="240" w:lineRule="auto"/>
        <w:rPr>
          <w:rFonts w:ascii="Tahoma" w:hAnsi="Tahoma" w:cs="Tahoma"/>
          <w:b/>
          <w:bCs/>
          <w:color w:val="CE0058" w:themeColor="accent2"/>
          <w:sz w:val="24"/>
          <w:szCs w:val="24"/>
          <w:lang w:val="en-US"/>
        </w:rPr>
      </w:pPr>
      <w:r w:rsidRPr="0087247B">
        <w:rPr>
          <w:rFonts w:ascii="Tahoma" w:hAnsi="Tahoma" w:cs="Tahoma"/>
          <w:b/>
          <w:bCs/>
          <w:color w:val="CE0058" w:themeColor="accent2"/>
          <w:sz w:val="24"/>
          <w:szCs w:val="24"/>
          <w:lang w:val="en-US"/>
        </w:rPr>
        <w:t>Negative customer outcomes</w:t>
      </w:r>
    </w:p>
    <w:p w14:paraId="0D61DC43" w14:textId="0541C15C" w:rsidR="00C43F4C" w:rsidRDefault="009C5AA1" w:rsidP="00C43F4C">
      <w:pPr>
        <w:spacing w:before="0" w:after="0" w:line="259" w:lineRule="auto"/>
        <w:jc w:val="center"/>
        <w:rPr>
          <w:noProof/>
        </w:rPr>
      </w:pPr>
      <w:r>
        <w:rPr>
          <w:noProof/>
        </w:rPr>
        <w:drawing>
          <wp:inline distT="0" distB="0" distL="0" distR="0" wp14:anchorId="281180EB" wp14:editId="7F5AD887">
            <wp:extent cx="2772000" cy="1486800"/>
            <wp:effectExtent l="0" t="0" r="0" b="0"/>
            <wp:docPr id="99987" name="Chart 99987" descr="Bar chart comparing the median customer electricity usage of tailored assistance customers with customers not receiving assistance. Tailored assistance customers use 5 kilo watt hour per day more than customers not receiving assistance.">
              <a:extLst xmlns:a="http://schemas.openxmlformats.org/drawingml/2006/main">
                <a:ext uri="{FF2B5EF4-FFF2-40B4-BE49-F238E27FC236}">
                  <a16:creationId xmlns:a16="http://schemas.microsoft.com/office/drawing/2014/main" id="{02E37B3E-DABE-4742-A702-9DA10157DF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C43F4C">
        <w:rPr>
          <w:noProof/>
        </w:rPr>
        <w:tab/>
      </w:r>
      <w:r w:rsidR="00C43F4C">
        <w:rPr>
          <w:noProof/>
        </w:rPr>
        <w:drawing>
          <wp:inline distT="0" distB="0" distL="0" distR="0" wp14:anchorId="11EE5BD5" wp14:editId="5B31B7E4">
            <wp:extent cx="2772000" cy="1484850"/>
            <wp:effectExtent l="0" t="0" r="0" b="0"/>
            <wp:docPr id="99978" name="Chart 99978" descr="Bar chart comparing the average customer arrears when starting tailored assistance over two time periods of 2018-19 and 2020-21. There has been a 16% increase.">
              <a:extLst xmlns:a="http://schemas.openxmlformats.org/drawingml/2006/main">
                <a:ext uri="{FF2B5EF4-FFF2-40B4-BE49-F238E27FC236}">
                  <a16:creationId xmlns:a16="http://schemas.microsoft.com/office/drawing/2014/main" id="{B063E7D1-4428-4E96-8E8F-15A884914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4B9EDF" w14:textId="100B22E2" w:rsidR="00C43F4C" w:rsidRDefault="00C43F4C" w:rsidP="00C43F4C">
      <w:pPr>
        <w:spacing w:before="0" w:after="0" w:line="240" w:lineRule="auto"/>
        <w:jc w:val="center"/>
        <w:rPr>
          <w:noProof/>
        </w:rPr>
      </w:pPr>
      <w:r>
        <w:rPr>
          <w:noProof/>
        </w:rPr>
        <mc:AlternateContent>
          <mc:Choice Requires="wps">
            <w:drawing>
              <wp:anchor distT="0" distB="0" distL="114300" distR="114300" simplePos="0" relativeHeight="251651072" behindDoc="0" locked="0" layoutInCell="1" allowOverlap="1" wp14:anchorId="0E2E0516" wp14:editId="01F2F6BB">
                <wp:simplePos x="0" y="0"/>
                <wp:positionH relativeFrom="column">
                  <wp:posOffset>-139066</wp:posOffset>
                </wp:positionH>
                <wp:positionV relativeFrom="page">
                  <wp:posOffset>9115425</wp:posOffset>
                </wp:positionV>
                <wp:extent cx="6216015" cy="391795"/>
                <wp:effectExtent l="0" t="0" r="0" b="8255"/>
                <wp:wrapNone/>
                <wp:docPr id="12" name="Text Box 12"/>
                <wp:cNvGraphicFramePr/>
                <a:graphic xmlns:a="http://schemas.openxmlformats.org/drawingml/2006/main">
                  <a:graphicData uri="http://schemas.microsoft.com/office/word/2010/wordprocessingShape">
                    <wps:wsp>
                      <wps:cNvSpPr txBox="1"/>
                      <wps:spPr>
                        <a:xfrm>
                          <a:off x="0" y="0"/>
                          <a:ext cx="6216015" cy="391795"/>
                        </a:xfrm>
                        <a:prstGeom prst="rect">
                          <a:avLst/>
                        </a:prstGeom>
                        <a:solidFill>
                          <a:schemeClr val="lt1"/>
                        </a:solidFill>
                        <a:ln w="6350">
                          <a:noFill/>
                        </a:ln>
                      </wps:spPr>
                      <wps:txbx>
                        <w:txbxContent>
                          <w:p w14:paraId="4FAFD60F" w14:textId="77777777" w:rsidR="00C43F4C" w:rsidRDefault="00C43F4C" w:rsidP="00C43F4C">
                            <w:pPr>
                              <w:spacing w:before="0" w:after="0" w:line="240" w:lineRule="auto"/>
                              <w:rPr>
                                <w:color w:val="A6A6A6" w:themeColor="background1" w:themeShade="A6"/>
                                <w:sz w:val="16"/>
                                <w:szCs w:val="16"/>
                                <w:lang w:val="en-US"/>
                              </w:rPr>
                            </w:pPr>
                            <w:r w:rsidRPr="007C2CF7">
                              <w:rPr>
                                <w:color w:val="A6A6A6" w:themeColor="background1" w:themeShade="A6"/>
                                <w:sz w:val="16"/>
                                <w:szCs w:val="16"/>
                                <w:lang w:val="en-US"/>
                              </w:rPr>
                              <w:t>*</w:t>
                            </w:r>
                            <w:r>
                              <w:rPr>
                                <w:color w:val="A6A6A6" w:themeColor="background1" w:themeShade="A6"/>
                                <w:sz w:val="16"/>
                                <w:szCs w:val="16"/>
                                <w:lang w:val="en-US"/>
                              </w:rPr>
                              <w:t>D</w:t>
                            </w:r>
                            <w:r w:rsidRPr="007C2CF7">
                              <w:rPr>
                                <w:color w:val="A6A6A6" w:themeColor="background1" w:themeShade="A6"/>
                                <w:sz w:val="16"/>
                                <w:szCs w:val="16"/>
                                <w:lang w:val="en-US"/>
                              </w:rPr>
                              <w:t xml:space="preserve">efined as hardship customers </w:t>
                            </w:r>
                            <w:r>
                              <w:rPr>
                                <w:color w:val="A6A6A6" w:themeColor="background1" w:themeShade="A6"/>
                                <w:sz w:val="16"/>
                                <w:szCs w:val="16"/>
                                <w:lang w:val="en-US"/>
                              </w:rPr>
                              <w:t xml:space="preserve">in the </w:t>
                            </w:r>
                            <w:r w:rsidRPr="007C2CF7">
                              <w:rPr>
                                <w:color w:val="A6A6A6" w:themeColor="background1" w:themeShade="A6"/>
                                <w:sz w:val="16"/>
                                <w:szCs w:val="16"/>
                                <w:lang w:val="en-US"/>
                              </w:rPr>
                              <w:t>data</w:t>
                            </w:r>
                          </w:p>
                          <w:p w14:paraId="6E9E9DA3" w14:textId="4463520B" w:rsidR="00C43F4C" w:rsidRPr="007C2CF7" w:rsidRDefault="00FB56B6" w:rsidP="00C43F4C">
                            <w:pPr>
                              <w:spacing w:before="0" w:after="0" w:line="240" w:lineRule="auto"/>
                              <w:rPr>
                                <w:color w:val="A6A6A6" w:themeColor="background1" w:themeShade="A6"/>
                                <w:sz w:val="16"/>
                                <w:szCs w:val="16"/>
                                <w:lang w:val="en-US"/>
                              </w:rPr>
                            </w:pPr>
                            <w:r>
                              <w:rPr>
                                <w:color w:val="A6A6A6" w:themeColor="background1" w:themeShade="A6"/>
                                <w:sz w:val="16"/>
                                <w:szCs w:val="16"/>
                                <w:lang w:val="en-US"/>
                              </w:rPr>
                              <w:t>**Between January 2019 and June 2020</w:t>
                            </w:r>
                            <w:r w:rsidR="000B61C9">
                              <w:rPr>
                                <w:color w:val="A6A6A6" w:themeColor="background1" w:themeShade="A6"/>
                                <w:sz w:val="16"/>
                                <w:szCs w:val="16"/>
                                <w:lang w:val="en-US"/>
                              </w:rPr>
                              <w:t xml:space="preserve">, which captures the disconnections that occurred </w:t>
                            </w:r>
                            <w:r w:rsidR="0046638B">
                              <w:rPr>
                                <w:color w:val="A6A6A6" w:themeColor="background1" w:themeShade="A6"/>
                                <w:sz w:val="16"/>
                                <w:szCs w:val="16"/>
                                <w:lang w:val="en-US"/>
                              </w:rPr>
                              <w:t xml:space="preserve">in the period </w:t>
                            </w:r>
                            <w:r w:rsidR="000B61C9">
                              <w:rPr>
                                <w:color w:val="A6A6A6" w:themeColor="background1" w:themeShade="A6"/>
                                <w:sz w:val="16"/>
                                <w:szCs w:val="16"/>
                                <w:lang w:val="en-US"/>
                              </w:rPr>
                              <w:t>prior to the pandemic.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E0516" id="_x0000_t202" coordsize="21600,21600" o:spt="202" path="m,l,21600r21600,l21600,xe">
                <v:stroke joinstyle="miter"/>
                <v:path gradientshapeok="t" o:connecttype="rect"/>
              </v:shapetype>
              <v:shape id="Text Box 12" o:spid="_x0000_s1026" type="#_x0000_t202" style="position:absolute;left:0;text-align:left;margin-left:-10.95pt;margin-top:717.75pt;width:489.45pt;height:3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" fillcolor="white [3201]" stroked="f" strokeweight=".5pt">
                <v:textbox>
                  <w:txbxContent>
                    <w:p w14:paraId="4FAFD60F" w14:textId="77777777" w:rsidR="00C43F4C" w:rsidRDefault="00C43F4C" w:rsidP="00C43F4C">
                      <w:pPr>
                        <w:spacing w:before="0" w:after="0" w:line="240" w:lineRule="auto"/>
                        <w:rPr>
                          <w:color w:val="A6A6A6" w:themeColor="background1" w:themeShade="A6"/>
                          <w:sz w:val="16"/>
                          <w:szCs w:val="16"/>
                          <w:lang w:val="en-US"/>
                        </w:rPr>
                      </w:pPr>
                      <w:r w:rsidRPr="007C2CF7">
                        <w:rPr>
                          <w:color w:val="A6A6A6" w:themeColor="background1" w:themeShade="A6"/>
                          <w:sz w:val="16"/>
                          <w:szCs w:val="16"/>
                          <w:lang w:val="en-US"/>
                        </w:rPr>
                        <w:t>*</w:t>
                      </w:r>
                      <w:r>
                        <w:rPr>
                          <w:color w:val="A6A6A6" w:themeColor="background1" w:themeShade="A6"/>
                          <w:sz w:val="16"/>
                          <w:szCs w:val="16"/>
                          <w:lang w:val="en-US"/>
                        </w:rPr>
                        <w:t>D</w:t>
                      </w:r>
                      <w:r w:rsidRPr="007C2CF7">
                        <w:rPr>
                          <w:color w:val="A6A6A6" w:themeColor="background1" w:themeShade="A6"/>
                          <w:sz w:val="16"/>
                          <w:szCs w:val="16"/>
                          <w:lang w:val="en-US"/>
                        </w:rPr>
                        <w:t xml:space="preserve">efined as hardship customers </w:t>
                      </w:r>
                      <w:r>
                        <w:rPr>
                          <w:color w:val="A6A6A6" w:themeColor="background1" w:themeShade="A6"/>
                          <w:sz w:val="16"/>
                          <w:szCs w:val="16"/>
                          <w:lang w:val="en-US"/>
                        </w:rPr>
                        <w:t xml:space="preserve">in the </w:t>
                      </w:r>
                      <w:r w:rsidRPr="007C2CF7">
                        <w:rPr>
                          <w:color w:val="A6A6A6" w:themeColor="background1" w:themeShade="A6"/>
                          <w:sz w:val="16"/>
                          <w:szCs w:val="16"/>
                          <w:lang w:val="en-US"/>
                        </w:rPr>
                        <w:t>data</w:t>
                      </w:r>
                    </w:p>
                    <w:p w14:paraId="6E9E9DA3" w14:textId="4463520B" w:rsidR="00C43F4C" w:rsidRPr="007C2CF7" w:rsidRDefault="00FB56B6" w:rsidP="00C43F4C">
                      <w:pPr>
                        <w:spacing w:before="0" w:after="0" w:line="240" w:lineRule="auto"/>
                        <w:rPr>
                          <w:color w:val="A6A6A6" w:themeColor="background1" w:themeShade="A6"/>
                          <w:sz w:val="16"/>
                          <w:szCs w:val="16"/>
                          <w:lang w:val="en-US"/>
                        </w:rPr>
                      </w:pPr>
                      <w:r>
                        <w:rPr>
                          <w:color w:val="A6A6A6" w:themeColor="background1" w:themeShade="A6"/>
                          <w:sz w:val="16"/>
                          <w:szCs w:val="16"/>
                          <w:lang w:val="en-US"/>
                        </w:rPr>
                        <w:t>**Between January 2019 and June 2020</w:t>
                      </w:r>
                      <w:r w:rsidR="000B61C9">
                        <w:rPr>
                          <w:color w:val="A6A6A6" w:themeColor="background1" w:themeShade="A6"/>
                          <w:sz w:val="16"/>
                          <w:szCs w:val="16"/>
                          <w:lang w:val="en-US"/>
                        </w:rPr>
                        <w:t xml:space="preserve">, which captures the disconnections that occurred </w:t>
                      </w:r>
                      <w:r w:rsidR="0046638B">
                        <w:rPr>
                          <w:color w:val="A6A6A6" w:themeColor="background1" w:themeShade="A6"/>
                          <w:sz w:val="16"/>
                          <w:szCs w:val="16"/>
                          <w:lang w:val="en-US"/>
                        </w:rPr>
                        <w:t xml:space="preserve">in the period </w:t>
                      </w:r>
                      <w:r w:rsidR="000B61C9">
                        <w:rPr>
                          <w:color w:val="A6A6A6" w:themeColor="background1" w:themeShade="A6"/>
                          <w:sz w:val="16"/>
                          <w:szCs w:val="16"/>
                          <w:lang w:val="en-US"/>
                        </w:rPr>
                        <w:t>prior to the pandemic.</w:t>
                      </w:r>
                    </w:p>
                  </w:txbxContent>
                </v:textbox>
                <w10:wrap anchory="page"/>
              </v:shape>
            </w:pict>
          </mc:Fallback>
        </mc:AlternateContent>
      </w:r>
      <w:r w:rsidR="00FE09F3" w:rsidRPr="00FE09F3">
        <w:rPr>
          <w:noProof/>
        </w:rPr>
        <w:t xml:space="preserve"> </w:t>
      </w:r>
      <w:r w:rsidR="00FE09F3">
        <w:rPr>
          <w:noProof/>
        </w:rPr>
        <w:drawing>
          <wp:inline distT="0" distB="0" distL="0" distR="0" wp14:anchorId="64936FC0" wp14:editId="40C95077">
            <wp:extent cx="1980000" cy="1486800"/>
            <wp:effectExtent l="0" t="0" r="0" b="0"/>
            <wp:docPr id="73" name="Chart 73" descr="Infographic illustrating that 38% of customers exited tailored assistance for not making payments in 2020-2021.">
              <a:extLst xmlns:a="http://schemas.openxmlformats.org/drawingml/2006/main">
                <a:ext uri="{FF2B5EF4-FFF2-40B4-BE49-F238E27FC236}">
                  <a16:creationId xmlns:a16="http://schemas.microsoft.com/office/drawing/2014/main" id="{D26B4927-7BDA-436F-87F1-5ADA0036CC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FE09F3">
        <w:rPr>
          <w:noProof/>
        </w:rPr>
        <w:t xml:space="preserve"> </w:t>
      </w:r>
      <w:r>
        <w:rPr>
          <w:noProof/>
        </w:rPr>
        <w:drawing>
          <wp:inline distT="0" distB="0" distL="0" distR="0" wp14:anchorId="4823558F" wp14:editId="18ADFBE1">
            <wp:extent cx="1980000" cy="1486800"/>
            <wp:effectExtent l="0" t="0" r="0" b="0"/>
            <wp:docPr id="99975" name="Chart 99975" descr="Infographic illustrating that 56% of disconnected customers had not previously received assistance.">
              <a:extLst xmlns:a="http://schemas.openxmlformats.org/drawingml/2006/main">
                <a:ext uri="{FF2B5EF4-FFF2-40B4-BE49-F238E27FC236}">
                  <a16:creationId xmlns:a16="http://schemas.microsoft.com/office/drawing/2014/main" id="{34A4D2C3-D54D-421B-90C3-2740B0636B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1ADB7B" w14:textId="2310D416" w:rsidR="00C43F4C" w:rsidRPr="00397008" w:rsidRDefault="00E94F95" w:rsidP="00397008">
      <w:pPr>
        <w:pStyle w:val="Heading2"/>
        <w:rPr>
          <w:color w:val="ED8B00" w:themeColor="accent4"/>
        </w:rPr>
      </w:pPr>
      <w:bookmarkStart w:id="30" w:name="_Toc104850107"/>
      <w:r w:rsidRPr="00397008">
        <w:rPr>
          <w:color w:val="ED8B00" w:themeColor="accent4"/>
        </w:rPr>
        <w:lastRenderedPageBreak/>
        <w:t>Examples of v</w:t>
      </w:r>
      <w:r w:rsidR="00C43F4C" w:rsidRPr="00397008">
        <w:rPr>
          <w:color w:val="ED8B00" w:themeColor="accent4"/>
        </w:rPr>
        <w:t>ariable customer outcomes across retailers</w:t>
      </w:r>
      <w:bookmarkEnd w:id="30"/>
    </w:p>
    <w:p w14:paraId="4C101714" w14:textId="35D6924E" w:rsidR="00C43F4C" w:rsidRPr="00A26AC4" w:rsidRDefault="00C43F4C" w:rsidP="00397008">
      <w:pPr>
        <w:pStyle w:val="Figureheading"/>
        <w:spacing w:before="360"/>
      </w:pPr>
      <w:r w:rsidRPr="00A26AC4">
        <w:t xml:space="preserve">Average customer arrears when </w:t>
      </w:r>
      <w:r w:rsidR="001D0D36">
        <w:t>starting</w:t>
      </w:r>
      <w:r w:rsidRPr="00A26AC4">
        <w:t xml:space="preserve"> tailored assistance</w:t>
      </w:r>
      <w:r w:rsidR="00100E90">
        <w:t xml:space="preserve"> </w:t>
      </w:r>
      <w:r w:rsidR="00397008">
        <w:t>for c</w:t>
      </w:r>
      <w:r w:rsidR="00FF2EDB" w:rsidRPr="00A26AC4">
        <w:t xml:space="preserve">ustomers </w:t>
      </w:r>
      <w:r w:rsidRPr="00A26AC4">
        <w:t xml:space="preserve">who can pay for </w:t>
      </w:r>
      <w:r w:rsidR="001D0D36">
        <w:t xml:space="preserve">their </w:t>
      </w:r>
      <w:r w:rsidRPr="00A26AC4">
        <w:t>on-going usage, 2020-21, by retailer</w:t>
      </w:r>
    </w:p>
    <w:p w14:paraId="3EC9271B" w14:textId="6CDC873F" w:rsidR="00DF183A" w:rsidRDefault="00DF183A" w:rsidP="006B7038">
      <w:pPr>
        <w:pStyle w:val="Caption"/>
      </w:pPr>
      <w:r w:rsidRPr="00DF183A">
        <w:rPr>
          <w:noProof/>
        </w:rPr>
        <w:drawing>
          <wp:inline distT="0" distB="0" distL="0" distR="0" wp14:anchorId="0823528E" wp14:editId="09B8B82E">
            <wp:extent cx="6120130" cy="2376170"/>
            <wp:effectExtent l="0" t="0" r="0" b="5080"/>
            <wp:docPr id="81" name="Picture 81" descr="Bar chart showing the average electricity arrears for customers who can pay for their ongoing usage when commencing tailored assistance in 2020-21. The chart is sorted by large, medium, and small retailers. There is great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Bar chart showing the average electricity arrears for customers who can pay for their ongoing usage when commencing tailored assistance in 2020-21. The chart is sorted by large, medium, and small retailers. There is great variance in the outcom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376170"/>
                    </a:xfrm>
                    <a:prstGeom prst="rect">
                      <a:avLst/>
                    </a:prstGeom>
                    <a:noFill/>
                    <a:ln>
                      <a:noFill/>
                    </a:ln>
                  </pic:spPr>
                </pic:pic>
              </a:graphicData>
            </a:graphic>
          </wp:inline>
        </w:drawing>
      </w:r>
      <w:r w:rsidR="007217E0" w:rsidRPr="007217E0">
        <w:t xml:space="preserve"> </w:t>
      </w:r>
      <w:r w:rsidR="0016755D">
        <w:t>Source:</w:t>
      </w:r>
      <w:r w:rsidR="007217E0" w:rsidRPr="007217E0">
        <w:t xml:space="preserve"> </w:t>
      </w:r>
      <w:r w:rsidR="007217E0">
        <w:t xml:space="preserve">Voluntary data request to retailers to inform the review. </w:t>
      </w:r>
      <w:r w:rsidR="007217E0" w:rsidRPr="00F72789">
        <w:t>Note: Some small retailers are not shown due to the retailer either not having tailored assistance customers, or no applicable data relevant to this metric for this time-period.</w:t>
      </w:r>
      <w:r w:rsidR="007217E0">
        <w:t xml:space="preserve"> </w:t>
      </w:r>
    </w:p>
    <w:p w14:paraId="0CD97F28" w14:textId="45DFA5E3" w:rsidR="00C43F4C" w:rsidRPr="00397008" w:rsidRDefault="00307B2C" w:rsidP="00397008">
      <w:pPr>
        <w:pStyle w:val="Figureheading"/>
        <w:spacing w:before="360"/>
      </w:pPr>
      <w:r w:rsidRPr="00397008">
        <w:t xml:space="preserve">Proportion of applications for utility relief grants after requesting forms from the Department of </w:t>
      </w:r>
      <w:r w:rsidR="001A5413" w:rsidRPr="00397008">
        <w:t>Families, Fairness and Housing</w:t>
      </w:r>
      <w:r w:rsidR="00397008">
        <w:t xml:space="preserve">, </w:t>
      </w:r>
      <w:r w:rsidR="00C43F4C" w:rsidRPr="00397008">
        <w:t>2020-22, by retailer</w:t>
      </w:r>
    </w:p>
    <w:p w14:paraId="642531BD" w14:textId="69FCA4A3" w:rsidR="000225CC" w:rsidRDefault="00DF183A" w:rsidP="001A5413">
      <w:pPr>
        <w:spacing w:before="0" w:after="80" w:line="288" w:lineRule="auto"/>
        <w:rPr>
          <w:b/>
          <w:color w:val="4986A0" w:themeColor="accent3"/>
        </w:rPr>
      </w:pPr>
      <w:r w:rsidRPr="00DF183A">
        <w:rPr>
          <w:noProof/>
        </w:rPr>
        <w:drawing>
          <wp:inline distT="0" distB="0" distL="0" distR="0" wp14:anchorId="01774847" wp14:editId="078084C6">
            <wp:extent cx="6120130" cy="2519045"/>
            <wp:effectExtent l="0" t="0" r="0" b="0"/>
            <wp:docPr id="83" name="Picture 83" descr="Bar chart showing the Percentage of utility relief grant applications being submitted to the Department of Families, Fairness and Housing compared to number of forms being requested, by retailer for two time periods, 2020-21 and 2021-22. Retailers are  deidentified. The chart is sorted by large, medium, and small retailers. There is great variance in the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Bar chart showing the Percentage of utility relief grant applications being submitted to the Department of Families, Fairness and Housing compared to number of forms being requested, by retailer for two time periods, 2020-21 and 2021-22. Retailers are  deidentified. The chart is sorted by large, medium, and small retailers. There is great variance in the percentag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2519045"/>
                    </a:xfrm>
                    <a:prstGeom prst="rect">
                      <a:avLst/>
                    </a:prstGeom>
                    <a:noFill/>
                    <a:ln>
                      <a:noFill/>
                    </a:ln>
                  </pic:spPr>
                </pic:pic>
              </a:graphicData>
            </a:graphic>
          </wp:inline>
        </w:drawing>
      </w:r>
    </w:p>
    <w:p w14:paraId="632F2EF5" w14:textId="77777777" w:rsidR="0075603F" w:rsidRPr="002D57E3" w:rsidRDefault="0075603F" w:rsidP="006B7038">
      <w:pPr>
        <w:pStyle w:val="Caption"/>
      </w:pPr>
      <w:r w:rsidRPr="008A18B9">
        <w:t>Source</w:t>
      </w:r>
      <w:r>
        <w:t>: Data from Department of Families, Fairness and Housing Victoria</w:t>
      </w:r>
    </w:p>
    <w:p w14:paraId="195168D3" w14:textId="63F5E283" w:rsidR="005C34AF" w:rsidRDefault="005C34AF">
      <w:pPr>
        <w:spacing w:before="0" w:line="259" w:lineRule="auto"/>
        <w:rPr>
          <w:rFonts w:asciiTheme="majorHAnsi" w:eastAsiaTheme="majorEastAsia" w:hAnsiTheme="majorHAnsi" w:cstheme="majorBidi"/>
          <w:color w:val="4986A0" w:themeColor="accent3"/>
          <w:szCs w:val="24"/>
          <w:lang w:val="en-US"/>
        </w:rPr>
      </w:pPr>
      <w:r>
        <w:rPr>
          <w:b/>
          <w:color w:val="4986A0" w:themeColor="accent3"/>
        </w:rPr>
        <w:br w:type="page"/>
      </w:r>
    </w:p>
    <w:p w14:paraId="01407FA3" w14:textId="77777777" w:rsidR="005C34AF" w:rsidRDefault="005C34AF" w:rsidP="001A5413">
      <w:pPr>
        <w:spacing w:before="0" w:after="80" w:line="288" w:lineRule="auto"/>
        <w:rPr>
          <w:b/>
          <w:color w:val="4986A0" w:themeColor="accent3"/>
        </w:rPr>
      </w:pPr>
    </w:p>
    <w:p w14:paraId="2696DA62" w14:textId="23F3DA2B" w:rsidR="00C43F4C" w:rsidRPr="00397008" w:rsidRDefault="00C43F4C" w:rsidP="003A051C">
      <w:pPr>
        <w:pStyle w:val="Figureheading"/>
        <w:spacing w:before="360"/>
      </w:pPr>
      <w:r w:rsidRPr="00397008">
        <w:t xml:space="preserve">Proportion of customers </w:t>
      </w:r>
      <w:r w:rsidR="001D0D36" w:rsidRPr="00397008">
        <w:t xml:space="preserve">successfully clearing their arrears on </w:t>
      </w:r>
      <w:r w:rsidRPr="00397008">
        <w:t>exiting tailored assistance</w:t>
      </w:r>
      <w:r w:rsidR="00397008">
        <w:t xml:space="preserve"> for c</w:t>
      </w:r>
      <w:r w:rsidR="0013556F" w:rsidRPr="00397008">
        <w:t xml:space="preserve">ustomers </w:t>
      </w:r>
      <w:r w:rsidRPr="00397008">
        <w:t>who can pay for</w:t>
      </w:r>
      <w:r w:rsidR="001D0D36" w:rsidRPr="00397008">
        <w:t xml:space="preserve"> their</w:t>
      </w:r>
      <w:r w:rsidRPr="00397008">
        <w:t xml:space="preserve"> on-going usage, 2020-21, by retailer</w:t>
      </w:r>
    </w:p>
    <w:p w14:paraId="0444BA52" w14:textId="6A473A90" w:rsidR="00C43F4C" w:rsidRDefault="00D9633C" w:rsidP="001A5413">
      <w:pPr>
        <w:spacing w:before="0" w:after="80" w:line="288" w:lineRule="auto"/>
        <w:rPr>
          <w:b/>
          <w:bCs/>
        </w:rPr>
      </w:pPr>
      <w:r w:rsidRPr="00D9633C">
        <w:rPr>
          <w:noProof/>
        </w:rPr>
        <w:drawing>
          <wp:inline distT="0" distB="0" distL="0" distR="0" wp14:anchorId="0F532488" wp14:editId="727B0E7D">
            <wp:extent cx="6108065" cy="2523490"/>
            <wp:effectExtent l="0" t="0" r="6985" b="0"/>
            <wp:docPr id="84" name="Picture 84" descr="Bar chart showing Proportion of customers successfully clearing their arrears on exiting tailored assistance for customers who can pay for their on-going usage, in 2020-21, by retailer. The chart is sorted by large, medium, and small retailers. There is great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Bar chart showing Proportion of customers successfully clearing their arrears on exiting tailored assistance for customers who can pay for their on-going usage, in 2020-21, by retailer. The chart is sorted by large, medium, and small retailers. There is great variance in the outcom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8065" cy="2523490"/>
                    </a:xfrm>
                    <a:prstGeom prst="rect">
                      <a:avLst/>
                    </a:prstGeom>
                    <a:noFill/>
                    <a:ln>
                      <a:noFill/>
                    </a:ln>
                  </pic:spPr>
                </pic:pic>
              </a:graphicData>
            </a:graphic>
          </wp:inline>
        </w:drawing>
      </w:r>
    </w:p>
    <w:p w14:paraId="4E2CAC1D" w14:textId="3C52FEB2" w:rsidR="0016755D" w:rsidRPr="006B7038" w:rsidRDefault="0016755D" w:rsidP="008D156A">
      <w:pPr>
        <w:pStyle w:val="Caption"/>
      </w:pPr>
      <w:r>
        <w:t xml:space="preserve">Source: Voluntary data request to retailers to inform </w:t>
      </w:r>
      <w:r w:rsidRPr="008D156A">
        <w:t>the</w:t>
      </w:r>
      <w:r>
        <w:t xml:space="preserve"> review. </w:t>
      </w:r>
      <w:r w:rsidRPr="00F72789">
        <w:t>Note: Some small retailers are not shown due to the retailer either not having tailored assistance customers, or no applicable data relevant to this metric for this time-period.</w:t>
      </w:r>
      <w:r>
        <w:t xml:space="preserve"> </w:t>
      </w:r>
    </w:p>
    <w:p w14:paraId="0A022D1A" w14:textId="77777777" w:rsidR="003A051C" w:rsidRDefault="003A051C" w:rsidP="001A5413">
      <w:pPr>
        <w:spacing w:before="0" w:after="80" w:line="288" w:lineRule="auto"/>
        <w:rPr>
          <w:b/>
          <w:bCs/>
        </w:rPr>
      </w:pPr>
    </w:p>
    <w:p w14:paraId="79BC6D13" w14:textId="414C7D0A" w:rsidR="00404573" w:rsidRPr="00066137" w:rsidRDefault="00C43F4C" w:rsidP="00066137">
      <w:pPr>
        <w:pStyle w:val="Figureheading"/>
        <w:spacing w:before="360"/>
      </w:pPr>
      <w:r w:rsidRPr="00066137">
        <w:t xml:space="preserve">Disconnections for </w:t>
      </w:r>
      <w:r w:rsidR="001A5413" w:rsidRPr="00066137">
        <w:t>unpaid bills</w:t>
      </w:r>
      <w:r w:rsidR="00100E90" w:rsidRPr="00066137">
        <w:t xml:space="preserve"> </w:t>
      </w:r>
      <w:r w:rsidR="00100E90">
        <w:t>(</w:t>
      </w:r>
      <w:r w:rsidRPr="00066137">
        <w:t>per 100 residential electricity customers</w:t>
      </w:r>
      <w:r w:rsidR="00066137">
        <w:t>)</w:t>
      </w:r>
      <w:r w:rsidRPr="00066137">
        <w:t xml:space="preserve"> </w:t>
      </w:r>
      <w:r w:rsidR="00792B03">
        <w:t>by retailer, deidentified</w:t>
      </w:r>
    </w:p>
    <w:p w14:paraId="4165DC48" w14:textId="51D74799" w:rsidR="000225CC" w:rsidRPr="00EC6B58" w:rsidRDefault="00982E4F" w:rsidP="001A5413">
      <w:pPr>
        <w:spacing w:before="0" w:after="80" w:line="288" w:lineRule="auto"/>
        <w:rPr>
          <w:b/>
        </w:rPr>
      </w:pPr>
      <w:r w:rsidRPr="00982E4F">
        <w:rPr>
          <w:noProof/>
        </w:rPr>
        <w:drawing>
          <wp:inline distT="0" distB="0" distL="0" distR="0" wp14:anchorId="7383F030" wp14:editId="5A93B98A">
            <wp:extent cx="6120130" cy="2451735"/>
            <wp:effectExtent l="0" t="0" r="0" b="5715"/>
            <wp:docPr id="86" name="Picture 86" descr="Bar chart showing number of disconnections for unpaid bills, per 100 residential electricity customers, by retailer in 2019, 2020 and 2021.The chart is sorted by large, medium, and small retailers. Retailers are deidentified. There is great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Bar chart showing number of disconnections for unpaid bills, per 100 residential electricity customers, by retailer in 2019, 2020 and 2021.The chart is sorted by large, medium, and small retailers. Retailers are deidentified. There is great variance in the outcom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2451735"/>
                    </a:xfrm>
                    <a:prstGeom prst="rect">
                      <a:avLst/>
                    </a:prstGeom>
                    <a:noFill/>
                    <a:ln>
                      <a:noFill/>
                    </a:ln>
                  </pic:spPr>
                </pic:pic>
              </a:graphicData>
            </a:graphic>
          </wp:inline>
        </w:drawing>
      </w:r>
      <w:r w:rsidR="00F9052C">
        <w:rPr>
          <w:b/>
        </w:rPr>
        <w:t xml:space="preserve"> </w:t>
      </w:r>
    </w:p>
    <w:p w14:paraId="6363BF9F" w14:textId="77777777" w:rsidR="00066137" w:rsidRPr="00066137" w:rsidRDefault="00066137" w:rsidP="008D156A">
      <w:pPr>
        <w:pStyle w:val="Caption"/>
        <w:rPr>
          <w:lang w:val="en-US"/>
        </w:rPr>
      </w:pPr>
      <w:r w:rsidRPr="00066137">
        <w:rPr>
          <w:lang w:val="en-US"/>
        </w:rPr>
        <w:t>Note: Some small retailers are not shown due to the retailer either not having tailored assistance customers or had no applicable data relevant to this metric for this time-period.</w:t>
      </w:r>
    </w:p>
    <w:p w14:paraId="62C6917D" w14:textId="76C84312" w:rsidR="00D9633C" w:rsidRDefault="00D9633C">
      <w:pPr>
        <w:spacing w:before="0" w:line="259" w:lineRule="auto"/>
        <w:rPr>
          <w:b/>
        </w:rPr>
      </w:pPr>
      <w:r>
        <w:rPr>
          <w:b/>
        </w:rPr>
        <w:br w:type="page"/>
      </w:r>
    </w:p>
    <w:p w14:paraId="7BC2017F" w14:textId="77777777" w:rsidR="00D9633C" w:rsidRPr="00EC6B58" w:rsidRDefault="00D9633C" w:rsidP="001A5413">
      <w:pPr>
        <w:spacing w:before="0" w:after="80" w:line="288" w:lineRule="auto"/>
        <w:rPr>
          <w:b/>
        </w:rPr>
      </w:pPr>
    </w:p>
    <w:tbl>
      <w:tblPr>
        <w:tblStyle w:val="TwoColumnImage"/>
        <w:tblW w:w="9639" w:type="dxa"/>
        <w:shd w:val="clear" w:color="auto" w:fill="FFD191" w:themeFill="accent4" w:themeFillTint="66"/>
        <w:tblCellMar>
          <w:top w:w="113" w:type="dxa"/>
          <w:bottom w:w="113" w:type="dxa"/>
        </w:tblCellMar>
        <w:tblLook w:val="04A0" w:firstRow="1" w:lastRow="0" w:firstColumn="1" w:lastColumn="0" w:noHBand="0" w:noVBand="1"/>
      </w:tblPr>
      <w:tblGrid>
        <w:gridCol w:w="2144"/>
        <w:gridCol w:w="7495"/>
      </w:tblGrid>
      <w:tr w:rsidR="00C43F4C" w:rsidRPr="000179AE" w14:paraId="1F0F2E6B" w14:textId="77777777" w:rsidTr="00DC3F20">
        <w:tc>
          <w:tcPr>
            <w:tcW w:w="9639" w:type="dxa"/>
            <w:gridSpan w:val="2"/>
            <w:tcBorders>
              <w:top w:val="single" w:sz="24" w:space="0" w:color="FFBA5B" w:themeColor="accent4" w:themeTint="99"/>
              <w:left w:val="single" w:sz="24" w:space="0" w:color="FFBA5B" w:themeColor="accent4" w:themeTint="99"/>
              <w:right w:val="single" w:sz="24" w:space="0" w:color="FFBA5B" w:themeColor="accent4" w:themeTint="99"/>
            </w:tcBorders>
            <w:shd w:val="clear" w:color="auto" w:fill="FFD191" w:themeFill="accent4" w:themeFillTint="66"/>
            <w:vAlign w:val="center"/>
          </w:tcPr>
          <w:p w14:paraId="369F79C4" w14:textId="77777777" w:rsidR="00C43F4C" w:rsidRPr="000179AE" w:rsidRDefault="00C43F4C" w:rsidP="00DC3F20">
            <w:pPr>
              <w:pStyle w:val="TableBody"/>
              <w:ind w:left="142" w:right="121"/>
              <w:rPr>
                <w:rFonts w:ascii="Tahoma" w:hAnsi="Tahoma" w:cs="Tahoma"/>
                <w:color w:val="262626" w:themeColor="text1" w:themeTint="D9"/>
              </w:rPr>
            </w:pPr>
            <w:r w:rsidRPr="000179AE">
              <w:rPr>
                <w:rFonts w:ascii="Tahoma" w:hAnsi="Tahoma" w:cs="Tahoma"/>
                <w:b/>
                <w:bCs/>
                <w:color w:val="262626" w:themeColor="text1" w:themeTint="D9"/>
                <w:sz w:val="32"/>
                <w:szCs w:val="32"/>
              </w:rPr>
              <w:t>Our key findings</w:t>
            </w:r>
          </w:p>
        </w:tc>
      </w:tr>
      <w:tr w:rsidR="00C43F4C" w:rsidRPr="000179AE" w14:paraId="2652E3F7" w14:textId="77777777" w:rsidTr="00DC3F20">
        <w:tc>
          <w:tcPr>
            <w:tcW w:w="9639" w:type="dxa"/>
            <w:gridSpan w:val="2"/>
            <w:tcBorders>
              <w:left w:val="single" w:sz="24" w:space="0" w:color="FFBA5B" w:themeColor="accent4" w:themeTint="99"/>
              <w:right w:val="single" w:sz="24" w:space="0" w:color="FFBA5B" w:themeColor="accent4" w:themeTint="99"/>
            </w:tcBorders>
            <w:shd w:val="clear" w:color="auto" w:fill="FFD191" w:themeFill="accent4" w:themeFillTint="66"/>
            <w:vAlign w:val="center"/>
          </w:tcPr>
          <w:p w14:paraId="24748D06" w14:textId="77777777" w:rsidR="00C43F4C" w:rsidRPr="000179AE" w:rsidRDefault="00C43F4C" w:rsidP="008E42FA">
            <w:pPr>
              <w:pStyle w:val="TableBody"/>
              <w:numPr>
                <w:ilvl w:val="0"/>
                <w:numId w:val="15"/>
              </w:numPr>
              <w:ind w:right="121"/>
              <w:rPr>
                <w:rFonts w:ascii="Tahoma" w:hAnsi="Tahoma" w:cs="Tahoma"/>
                <w:b/>
                <w:bCs/>
                <w:color w:val="262626" w:themeColor="text1" w:themeTint="D9"/>
              </w:rPr>
            </w:pPr>
            <w:r w:rsidRPr="000179AE">
              <w:rPr>
                <w:rFonts w:ascii="Tahoma" w:hAnsi="Tahoma" w:cs="Tahoma"/>
                <w:b/>
                <w:bCs/>
                <w:color w:val="262626" w:themeColor="text1" w:themeTint="D9"/>
                <w:sz w:val="24"/>
                <w:szCs w:val="24"/>
              </w:rPr>
              <w:t>Implementation of the framework is broadly meeting its objectives</w:t>
            </w:r>
          </w:p>
        </w:tc>
      </w:tr>
      <w:tr w:rsidR="00C43F4C" w:rsidRPr="000179AE" w14:paraId="20D63818" w14:textId="77777777" w:rsidTr="00DC3F20">
        <w:tc>
          <w:tcPr>
            <w:tcW w:w="2144" w:type="dxa"/>
            <w:tcBorders>
              <w:left w:val="single" w:sz="24" w:space="0" w:color="FFBA5B" w:themeColor="accent4" w:themeTint="99"/>
              <w:bottom w:val="single" w:sz="24" w:space="0" w:color="FFBA5B" w:themeColor="accent4" w:themeTint="99"/>
            </w:tcBorders>
            <w:shd w:val="clear" w:color="auto" w:fill="FFD191" w:themeFill="accent4" w:themeFillTint="66"/>
            <w:vAlign w:val="center"/>
          </w:tcPr>
          <w:p w14:paraId="55004AD4" w14:textId="77777777" w:rsidR="00C43F4C" w:rsidRPr="000179AE" w:rsidRDefault="00C43F4C" w:rsidP="00DC3F20">
            <w:pPr>
              <w:pStyle w:val="TableBody"/>
              <w:spacing w:after="120"/>
              <w:ind w:left="284" w:right="-2"/>
              <w:rPr>
                <w:rFonts w:ascii="Tahoma" w:hAnsi="Tahoma" w:cs="Tahoma"/>
                <w:color w:val="262626" w:themeColor="text1" w:themeTint="D9"/>
              </w:rPr>
            </w:pPr>
            <w:r w:rsidRPr="000179AE">
              <w:rPr>
                <w:rFonts w:ascii="Tahoma" w:hAnsi="Tahoma" w:cs="Tahoma"/>
                <w:noProof/>
                <w:color w:val="262626" w:themeColor="text1" w:themeTint="D9"/>
              </w:rPr>
              <w:drawing>
                <wp:inline distT="0" distB="0" distL="0" distR="0" wp14:anchorId="50632342" wp14:editId="5384667A">
                  <wp:extent cx="900000" cy="900000"/>
                  <wp:effectExtent l="0" t="0" r="0"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7495" w:type="dxa"/>
            <w:tcBorders>
              <w:bottom w:val="single" w:sz="24" w:space="0" w:color="FFBA5B" w:themeColor="accent4" w:themeTint="99"/>
              <w:right w:val="single" w:sz="24" w:space="0" w:color="FFBA5B" w:themeColor="accent4" w:themeTint="99"/>
            </w:tcBorders>
            <w:shd w:val="clear" w:color="auto" w:fill="FFD191" w:themeFill="accent4" w:themeFillTint="66"/>
            <w:vAlign w:val="center"/>
          </w:tcPr>
          <w:p w14:paraId="07438787" w14:textId="7C57A01B" w:rsidR="00C43F4C" w:rsidRPr="000179AE" w:rsidRDefault="00C43F4C" w:rsidP="008E42FA">
            <w:pPr>
              <w:pStyle w:val="Pull-out2"/>
              <w:numPr>
                <w:ilvl w:val="0"/>
                <w:numId w:val="14"/>
              </w:numPr>
              <w:spacing w:before="0"/>
              <w:ind w:left="241" w:right="107" w:hanging="241"/>
              <w:contextualSpacing/>
              <w:rPr>
                <w:color w:val="262626" w:themeColor="text1" w:themeTint="D9"/>
              </w:rPr>
            </w:pPr>
            <w:r w:rsidRPr="000179AE">
              <w:rPr>
                <w:color w:val="262626" w:themeColor="text1" w:themeTint="D9"/>
              </w:rPr>
              <w:t>More customers are receiving more appropriate assistance.</w:t>
            </w:r>
          </w:p>
          <w:p w14:paraId="25DF0FA2" w14:textId="77777777" w:rsidR="00570406" w:rsidRDefault="00C43F4C" w:rsidP="00570406">
            <w:pPr>
              <w:pStyle w:val="Pull-out2"/>
              <w:numPr>
                <w:ilvl w:val="0"/>
                <w:numId w:val="14"/>
              </w:numPr>
              <w:spacing w:before="0"/>
              <w:ind w:left="241" w:right="107" w:hanging="241"/>
              <w:contextualSpacing/>
              <w:rPr>
                <w:color w:val="262626" w:themeColor="text1" w:themeTint="D9"/>
              </w:rPr>
            </w:pPr>
            <w:r w:rsidRPr="000179AE">
              <w:rPr>
                <w:color w:val="262626" w:themeColor="text1" w:themeTint="D9"/>
              </w:rPr>
              <w:t>There have been fewer disconnections</w:t>
            </w:r>
            <w:r>
              <w:rPr>
                <w:color w:val="262626" w:themeColor="text1" w:themeTint="D9"/>
              </w:rPr>
              <w:t xml:space="preserve"> for non-payment</w:t>
            </w:r>
            <w:r w:rsidRPr="000179AE">
              <w:rPr>
                <w:color w:val="262626" w:themeColor="text1" w:themeTint="D9"/>
              </w:rPr>
              <w:t>, but more than half of these customers had not received assistance beforehand.</w:t>
            </w:r>
            <w:r w:rsidR="00570406" w:rsidRPr="000179AE">
              <w:rPr>
                <w:color w:val="262626" w:themeColor="text1" w:themeTint="D9"/>
              </w:rPr>
              <w:t xml:space="preserve"> </w:t>
            </w:r>
          </w:p>
          <w:p w14:paraId="44B2F7B8" w14:textId="2FD3716D" w:rsidR="00C43F4C" w:rsidRPr="000179AE" w:rsidRDefault="00570406" w:rsidP="008E42FA">
            <w:pPr>
              <w:pStyle w:val="Pull-out2"/>
              <w:numPr>
                <w:ilvl w:val="0"/>
                <w:numId w:val="14"/>
              </w:numPr>
              <w:spacing w:before="0"/>
              <w:ind w:left="241" w:right="107" w:hanging="241"/>
              <w:contextualSpacing/>
              <w:rPr>
                <w:color w:val="262626" w:themeColor="text1" w:themeTint="D9"/>
              </w:rPr>
            </w:pPr>
            <w:r w:rsidRPr="000179AE">
              <w:rPr>
                <w:color w:val="262626" w:themeColor="text1" w:themeTint="D9"/>
              </w:rPr>
              <w:t xml:space="preserve">Energy customers’ awareness and knowledge of their entitlements </w:t>
            </w:r>
            <w:r>
              <w:rPr>
                <w:color w:val="262626" w:themeColor="text1" w:themeTint="D9"/>
              </w:rPr>
              <w:t>continues to vary</w:t>
            </w:r>
            <w:r w:rsidRPr="000179AE">
              <w:rPr>
                <w:color w:val="262626" w:themeColor="text1" w:themeTint="D9"/>
              </w:rPr>
              <w:t>.</w:t>
            </w:r>
          </w:p>
        </w:tc>
      </w:tr>
      <w:tr w:rsidR="00C43F4C" w:rsidRPr="000179AE" w14:paraId="16137E56" w14:textId="77777777" w:rsidTr="00DC3F20">
        <w:tc>
          <w:tcPr>
            <w:tcW w:w="9639" w:type="dxa"/>
            <w:gridSpan w:val="2"/>
            <w:tcBorders>
              <w:top w:val="single" w:sz="24" w:space="0" w:color="FFBA5B" w:themeColor="accent4" w:themeTint="99"/>
              <w:left w:val="single" w:sz="24" w:space="0" w:color="FFBA5B" w:themeColor="accent4" w:themeTint="99"/>
              <w:right w:val="single" w:sz="24" w:space="0" w:color="FFBA5B" w:themeColor="accent4" w:themeTint="99"/>
            </w:tcBorders>
            <w:shd w:val="clear" w:color="auto" w:fill="FFD191" w:themeFill="accent4" w:themeFillTint="66"/>
            <w:vAlign w:val="center"/>
          </w:tcPr>
          <w:p w14:paraId="5532B9EC" w14:textId="0F5401CC" w:rsidR="00C43F4C" w:rsidRPr="00A3539F" w:rsidRDefault="00C43F4C" w:rsidP="008E42FA">
            <w:pPr>
              <w:pStyle w:val="TableBody"/>
              <w:numPr>
                <w:ilvl w:val="0"/>
                <w:numId w:val="15"/>
              </w:numPr>
              <w:ind w:right="121"/>
              <w:rPr>
                <w:rFonts w:ascii="Tahoma" w:hAnsi="Tahoma" w:cs="Tahoma"/>
                <w:b/>
                <w:color w:val="262626" w:themeColor="text1" w:themeTint="D9"/>
                <w:sz w:val="24"/>
                <w:szCs w:val="24"/>
              </w:rPr>
            </w:pPr>
            <w:r w:rsidRPr="00A3539F">
              <w:rPr>
                <w:rFonts w:ascii="Tahoma" w:hAnsi="Tahoma" w:cs="Tahoma"/>
                <w:b/>
                <w:color w:val="262626" w:themeColor="text1" w:themeTint="D9"/>
                <w:sz w:val="24"/>
                <w:szCs w:val="24"/>
              </w:rPr>
              <w:t>Customer outcomes vary significantly between and within retailers</w:t>
            </w:r>
          </w:p>
        </w:tc>
      </w:tr>
      <w:tr w:rsidR="00C43F4C" w:rsidRPr="000179AE" w14:paraId="7D58D970" w14:textId="77777777" w:rsidTr="00DC3F20">
        <w:tc>
          <w:tcPr>
            <w:tcW w:w="2144" w:type="dxa"/>
            <w:tcBorders>
              <w:left w:val="single" w:sz="24" w:space="0" w:color="FFBA5B" w:themeColor="accent4" w:themeTint="99"/>
              <w:bottom w:val="single" w:sz="24" w:space="0" w:color="FFBA5B" w:themeColor="accent4" w:themeTint="99"/>
            </w:tcBorders>
            <w:shd w:val="clear" w:color="auto" w:fill="FFD191" w:themeFill="accent4" w:themeFillTint="66"/>
            <w:vAlign w:val="center"/>
          </w:tcPr>
          <w:p w14:paraId="04E2566E" w14:textId="77777777" w:rsidR="00C43F4C" w:rsidRPr="000179AE" w:rsidRDefault="00C43F4C" w:rsidP="00DC3F20">
            <w:pPr>
              <w:pStyle w:val="TableBody"/>
              <w:spacing w:after="120"/>
              <w:ind w:left="142" w:right="119"/>
              <w:jc w:val="center"/>
              <w:rPr>
                <w:rFonts w:ascii="Tahoma" w:hAnsi="Tahoma" w:cs="Tahoma"/>
                <w:color w:val="262626" w:themeColor="text1" w:themeTint="D9"/>
              </w:rPr>
            </w:pPr>
            <w:r w:rsidRPr="000179AE">
              <w:rPr>
                <w:rFonts w:ascii="Tahoma" w:hAnsi="Tahoma" w:cs="Tahoma"/>
                <w:noProof/>
                <w:color w:val="262626" w:themeColor="text1" w:themeTint="D9"/>
              </w:rPr>
              <w:drawing>
                <wp:inline distT="0" distB="0" distL="0" distR="0" wp14:anchorId="4115A5F9" wp14:editId="195C3256">
                  <wp:extent cx="936000" cy="93600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tc>
        <w:tc>
          <w:tcPr>
            <w:tcW w:w="7495" w:type="dxa"/>
            <w:tcBorders>
              <w:bottom w:val="single" w:sz="24" w:space="0" w:color="FFBA5B" w:themeColor="accent4" w:themeTint="99"/>
              <w:right w:val="single" w:sz="24" w:space="0" w:color="FFBA5B" w:themeColor="accent4" w:themeTint="99"/>
            </w:tcBorders>
            <w:shd w:val="clear" w:color="auto" w:fill="FFD191" w:themeFill="accent4" w:themeFillTint="66"/>
            <w:vAlign w:val="center"/>
          </w:tcPr>
          <w:p w14:paraId="60307286" w14:textId="68C022B4" w:rsidR="00C43F4C" w:rsidRPr="000179AE" w:rsidRDefault="00747CC4" w:rsidP="008E42FA">
            <w:pPr>
              <w:pStyle w:val="Pull-out2"/>
              <w:numPr>
                <w:ilvl w:val="0"/>
                <w:numId w:val="14"/>
              </w:numPr>
              <w:spacing w:before="0"/>
              <w:ind w:left="241" w:right="107" w:hanging="241"/>
              <w:contextualSpacing/>
              <w:rPr>
                <w:color w:val="262626" w:themeColor="text1" w:themeTint="D9"/>
              </w:rPr>
            </w:pPr>
            <w:r>
              <w:rPr>
                <w:color w:val="262626" w:themeColor="text1" w:themeTint="D9"/>
              </w:rPr>
              <w:t xml:space="preserve">Average </w:t>
            </w:r>
            <w:r w:rsidR="00C43F4C" w:rsidRPr="000179AE">
              <w:rPr>
                <w:color w:val="262626" w:themeColor="text1" w:themeTint="D9"/>
              </w:rPr>
              <w:t>customer</w:t>
            </w:r>
            <w:r>
              <w:rPr>
                <w:color w:val="262626" w:themeColor="text1" w:themeTint="D9"/>
              </w:rPr>
              <w:t xml:space="preserve"> arrears vary by retailer</w:t>
            </w:r>
            <w:r w:rsidR="00C43F4C" w:rsidRPr="000179AE">
              <w:rPr>
                <w:color w:val="262626" w:themeColor="text1" w:themeTint="D9"/>
              </w:rPr>
              <w:t>, despite assistance aiming to help customers avoid getting into arrears.</w:t>
            </w:r>
          </w:p>
          <w:p w14:paraId="3DA67A3D" w14:textId="77777777" w:rsidR="00C43F4C" w:rsidRPr="000179AE" w:rsidRDefault="00C43F4C" w:rsidP="008E42FA">
            <w:pPr>
              <w:pStyle w:val="Pull-out2"/>
              <w:numPr>
                <w:ilvl w:val="0"/>
                <w:numId w:val="14"/>
              </w:numPr>
              <w:spacing w:before="0"/>
              <w:ind w:left="241" w:right="107" w:hanging="241"/>
              <w:contextualSpacing/>
              <w:rPr>
                <w:color w:val="262626" w:themeColor="text1" w:themeTint="D9"/>
              </w:rPr>
            </w:pPr>
            <w:r w:rsidRPr="000179AE">
              <w:rPr>
                <w:color w:val="262626" w:themeColor="text1" w:themeTint="D9"/>
              </w:rPr>
              <w:t>Retailers’ use of discretion in delivering payment plans varies.</w:t>
            </w:r>
          </w:p>
          <w:p w14:paraId="36AC3DCB" w14:textId="77777777" w:rsidR="00C43F4C" w:rsidRPr="000179AE" w:rsidRDefault="00C43F4C" w:rsidP="008E42FA">
            <w:pPr>
              <w:pStyle w:val="Pull-out2"/>
              <w:numPr>
                <w:ilvl w:val="0"/>
                <w:numId w:val="14"/>
              </w:numPr>
              <w:spacing w:before="0"/>
              <w:ind w:left="241" w:right="107" w:hanging="241"/>
              <w:contextualSpacing/>
              <w:rPr>
                <w:color w:val="262626" w:themeColor="text1" w:themeTint="D9"/>
              </w:rPr>
            </w:pPr>
            <w:r w:rsidRPr="000179AE">
              <w:rPr>
                <w:color w:val="262626" w:themeColor="text1" w:themeTint="D9"/>
              </w:rPr>
              <w:t>Concessions and utility relief grants can be more effectively provided to customers as part of payment assistance.</w:t>
            </w:r>
          </w:p>
          <w:p w14:paraId="08CB611A" w14:textId="77777777" w:rsidR="00C43F4C" w:rsidRPr="000179AE" w:rsidRDefault="00C43F4C" w:rsidP="008E42FA">
            <w:pPr>
              <w:pStyle w:val="Pull-out2"/>
              <w:numPr>
                <w:ilvl w:val="0"/>
                <w:numId w:val="14"/>
              </w:numPr>
              <w:spacing w:before="0"/>
              <w:ind w:left="241" w:right="107" w:hanging="241"/>
              <w:contextualSpacing/>
              <w:rPr>
                <w:color w:val="262626" w:themeColor="text1" w:themeTint="D9"/>
              </w:rPr>
            </w:pPr>
            <w:r w:rsidRPr="000179AE">
              <w:rPr>
                <w:color w:val="262626" w:themeColor="text1" w:themeTint="D9"/>
              </w:rPr>
              <w:t>Lowering energy costs and usage is also key to supporting customers.</w:t>
            </w:r>
          </w:p>
        </w:tc>
      </w:tr>
      <w:tr w:rsidR="00C43F4C" w:rsidRPr="000179AE" w14:paraId="4C85301B" w14:textId="77777777" w:rsidTr="00DC3F20">
        <w:tc>
          <w:tcPr>
            <w:tcW w:w="9639" w:type="dxa"/>
            <w:gridSpan w:val="2"/>
            <w:tcBorders>
              <w:top w:val="single" w:sz="24" w:space="0" w:color="FFBA5B" w:themeColor="accent4" w:themeTint="99"/>
              <w:left w:val="single" w:sz="24" w:space="0" w:color="FFBA5B" w:themeColor="accent4" w:themeTint="99"/>
              <w:right w:val="single" w:sz="24" w:space="0" w:color="FFBA5B" w:themeColor="accent4" w:themeTint="99"/>
            </w:tcBorders>
            <w:shd w:val="clear" w:color="auto" w:fill="FFD191" w:themeFill="accent4" w:themeFillTint="66"/>
            <w:vAlign w:val="center"/>
          </w:tcPr>
          <w:p w14:paraId="549AAA54" w14:textId="77777777" w:rsidR="00C43F4C" w:rsidRPr="00A3539F" w:rsidRDefault="00C43F4C" w:rsidP="008E42FA">
            <w:pPr>
              <w:pStyle w:val="TableBody"/>
              <w:numPr>
                <w:ilvl w:val="0"/>
                <w:numId w:val="15"/>
              </w:numPr>
              <w:ind w:right="121"/>
              <w:rPr>
                <w:rFonts w:ascii="Tahoma" w:hAnsi="Tahoma" w:cs="Tahoma"/>
                <w:b/>
                <w:color w:val="262626" w:themeColor="text1" w:themeTint="D9"/>
                <w:sz w:val="24"/>
                <w:szCs w:val="24"/>
              </w:rPr>
            </w:pPr>
            <w:r w:rsidRPr="000179AE">
              <w:rPr>
                <w:rFonts w:ascii="Tahoma" w:hAnsi="Tahoma" w:cs="Tahoma"/>
                <w:b/>
                <w:bCs/>
                <w:color w:val="262626" w:themeColor="text1" w:themeTint="D9"/>
                <w:sz w:val="24"/>
                <w:szCs w:val="24"/>
              </w:rPr>
              <w:t xml:space="preserve">The level and quality of retailer-customer engagement </w:t>
            </w:r>
            <w:r>
              <w:rPr>
                <w:rFonts w:ascii="Tahoma" w:hAnsi="Tahoma" w:cs="Tahoma"/>
                <w:b/>
                <w:bCs/>
                <w:color w:val="262626" w:themeColor="text1" w:themeTint="D9"/>
                <w:sz w:val="24"/>
                <w:szCs w:val="24"/>
              </w:rPr>
              <w:t>a</w:t>
            </w:r>
            <w:r w:rsidRPr="000179AE">
              <w:rPr>
                <w:rFonts w:ascii="Tahoma" w:hAnsi="Tahoma" w:cs="Tahoma"/>
                <w:b/>
                <w:bCs/>
                <w:color w:val="262626" w:themeColor="text1" w:themeTint="D9"/>
                <w:sz w:val="24"/>
                <w:szCs w:val="24"/>
              </w:rPr>
              <w:t xml:space="preserve">ffects customer </w:t>
            </w:r>
            <w:r w:rsidRPr="00A3539F">
              <w:rPr>
                <w:rFonts w:ascii="Tahoma" w:hAnsi="Tahoma" w:cs="Tahoma"/>
                <w:b/>
                <w:color w:val="262626" w:themeColor="text1" w:themeTint="D9"/>
                <w:sz w:val="24"/>
                <w:szCs w:val="24"/>
              </w:rPr>
              <w:t>outcomes</w:t>
            </w:r>
          </w:p>
        </w:tc>
      </w:tr>
      <w:tr w:rsidR="00C43F4C" w:rsidRPr="000179AE" w14:paraId="1E975E80" w14:textId="77777777" w:rsidTr="00DC3F20">
        <w:tc>
          <w:tcPr>
            <w:tcW w:w="2144" w:type="dxa"/>
            <w:tcBorders>
              <w:left w:val="single" w:sz="24" w:space="0" w:color="FFBA5B" w:themeColor="accent4" w:themeTint="99"/>
              <w:bottom w:val="single" w:sz="24" w:space="0" w:color="FFBA5B" w:themeColor="accent4" w:themeTint="99"/>
            </w:tcBorders>
            <w:shd w:val="clear" w:color="auto" w:fill="FFD191" w:themeFill="accent4" w:themeFillTint="66"/>
            <w:vAlign w:val="center"/>
          </w:tcPr>
          <w:p w14:paraId="2C93629D" w14:textId="77777777" w:rsidR="00C43F4C" w:rsidRPr="000179AE" w:rsidRDefault="00C43F4C" w:rsidP="00DC3F20">
            <w:pPr>
              <w:pStyle w:val="TableBody"/>
              <w:spacing w:after="120"/>
              <w:ind w:left="142" w:right="119"/>
              <w:jc w:val="center"/>
              <w:rPr>
                <w:rFonts w:ascii="Tahoma" w:hAnsi="Tahoma" w:cs="Tahoma"/>
                <w:color w:val="262626" w:themeColor="text1" w:themeTint="D9"/>
              </w:rPr>
            </w:pPr>
            <w:r w:rsidRPr="000179AE">
              <w:rPr>
                <w:noProof/>
                <w:color w:val="262626" w:themeColor="text1" w:themeTint="D9"/>
              </w:rPr>
              <w:drawing>
                <wp:inline distT="0" distB="0" distL="0" distR="0" wp14:anchorId="1EB34067" wp14:editId="0103C2D2">
                  <wp:extent cx="972000" cy="972000"/>
                  <wp:effectExtent l="0" t="0" r="0"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p>
        </w:tc>
        <w:tc>
          <w:tcPr>
            <w:tcW w:w="7495" w:type="dxa"/>
            <w:tcBorders>
              <w:bottom w:val="single" w:sz="24" w:space="0" w:color="FFBA5B" w:themeColor="accent4" w:themeTint="99"/>
              <w:right w:val="single" w:sz="24" w:space="0" w:color="FFBA5B" w:themeColor="accent4" w:themeTint="99"/>
            </w:tcBorders>
            <w:shd w:val="clear" w:color="auto" w:fill="FFD191" w:themeFill="accent4" w:themeFillTint="66"/>
            <w:vAlign w:val="center"/>
          </w:tcPr>
          <w:p w14:paraId="462DE94B" w14:textId="77777777" w:rsidR="00C43F4C" w:rsidRPr="000179AE" w:rsidRDefault="00C43F4C" w:rsidP="008E42FA">
            <w:pPr>
              <w:pStyle w:val="Pull-out2"/>
              <w:numPr>
                <w:ilvl w:val="0"/>
                <w:numId w:val="14"/>
              </w:numPr>
              <w:spacing w:before="0"/>
              <w:ind w:left="241" w:right="107" w:hanging="241"/>
              <w:contextualSpacing/>
              <w:rPr>
                <w:color w:val="262626" w:themeColor="text1" w:themeTint="D9"/>
              </w:rPr>
            </w:pPr>
            <w:r w:rsidRPr="000179AE">
              <w:rPr>
                <w:color w:val="262626" w:themeColor="text1" w:themeTint="D9"/>
              </w:rPr>
              <w:t>The appropriateness and timing of retailer communication with customers varies.</w:t>
            </w:r>
          </w:p>
          <w:p w14:paraId="6A5BCAEB" w14:textId="77777777" w:rsidR="00C43F4C" w:rsidRPr="000179AE" w:rsidRDefault="00C43F4C" w:rsidP="008E42FA">
            <w:pPr>
              <w:pStyle w:val="Pull-out2"/>
              <w:numPr>
                <w:ilvl w:val="0"/>
                <w:numId w:val="14"/>
              </w:numPr>
              <w:spacing w:before="0"/>
              <w:ind w:left="241" w:right="107" w:hanging="241"/>
              <w:contextualSpacing/>
              <w:rPr>
                <w:color w:val="262626" w:themeColor="text1" w:themeTint="D9"/>
              </w:rPr>
            </w:pPr>
            <w:r w:rsidRPr="000179AE">
              <w:rPr>
                <w:color w:val="262626" w:themeColor="text1" w:themeTint="D9"/>
              </w:rPr>
              <w:t xml:space="preserve">Early intervention with customers </w:t>
            </w:r>
            <w:r>
              <w:rPr>
                <w:color w:val="262626" w:themeColor="text1" w:themeTint="D9"/>
              </w:rPr>
              <w:t>improves</w:t>
            </w:r>
            <w:r w:rsidRPr="000179AE">
              <w:rPr>
                <w:color w:val="262626" w:themeColor="text1" w:themeTint="D9"/>
              </w:rPr>
              <w:t xml:space="preserve"> outcomes.</w:t>
            </w:r>
          </w:p>
          <w:p w14:paraId="06D4477F" w14:textId="77777777" w:rsidR="00C43F4C" w:rsidRDefault="00C43F4C" w:rsidP="008E42FA">
            <w:pPr>
              <w:pStyle w:val="Pull-out2"/>
              <w:numPr>
                <w:ilvl w:val="0"/>
                <w:numId w:val="14"/>
              </w:numPr>
              <w:spacing w:before="0"/>
              <w:ind w:left="241" w:right="107" w:hanging="241"/>
              <w:contextualSpacing/>
              <w:rPr>
                <w:color w:val="262626" w:themeColor="text1" w:themeTint="D9"/>
              </w:rPr>
            </w:pPr>
            <w:r w:rsidRPr="000179AE">
              <w:rPr>
                <w:color w:val="262626" w:themeColor="text1" w:themeTint="D9"/>
              </w:rPr>
              <w:t>Some retailers are more successful in engaging with customers before they build up large arrears.</w:t>
            </w:r>
          </w:p>
          <w:p w14:paraId="5E84900E" w14:textId="7C49314F" w:rsidR="00FA0045" w:rsidRPr="000179AE" w:rsidRDefault="00FA0045" w:rsidP="00FA3DB2">
            <w:pPr>
              <w:pStyle w:val="Pull-out2"/>
              <w:numPr>
                <w:ilvl w:val="0"/>
                <w:numId w:val="14"/>
              </w:numPr>
              <w:spacing w:before="0" w:after="160"/>
              <w:ind w:left="241" w:right="107" w:hanging="241"/>
              <w:contextualSpacing/>
              <w:rPr>
                <w:color w:val="262626" w:themeColor="text1" w:themeTint="D9"/>
              </w:rPr>
            </w:pPr>
            <w:r w:rsidRPr="000179AE">
              <w:rPr>
                <w:color w:val="262626" w:themeColor="text1" w:themeTint="D9"/>
              </w:rPr>
              <w:t>Some customers requiring support with their energy bills may be experiencing multiple barriers.</w:t>
            </w:r>
          </w:p>
        </w:tc>
      </w:tr>
      <w:tr w:rsidR="00C43F4C" w:rsidRPr="000179AE" w14:paraId="1E74FCD9" w14:textId="77777777" w:rsidTr="00DC3F20">
        <w:tc>
          <w:tcPr>
            <w:tcW w:w="2144" w:type="dxa"/>
            <w:tcBorders>
              <w:top w:val="single" w:sz="24" w:space="0" w:color="FFBA5B" w:themeColor="accent4" w:themeTint="99"/>
              <w:left w:val="single" w:sz="24" w:space="0" w:color="FFBA5B" w:themeColor="accent4" w:themeTint="99"/>
              <w:bottom w:val="single" w:sz="24" w:space="0" w:color="FFBA5B" w:themeColor="accent4" w:themeTint="99"/>
            </w:tcBorders>
            <w:shd w:val="clear" w:color="auto" w:fill="FFD191" w:themeFill="accent4" w:themeFillTint="66"/>
            <w:vAlign w:val="center"/>
          </w:tcPr>
          <w:p w14:paraId="3011202E" w14:textId="77777777" w:rsidR="00C43F4C" w:rsidRPr="00BA09A0" w:rsidRDefault="00C43F4C" w:rsidP="00DC3F20">
            <w:pPr>
              <w:pStyle w:val="TableBody"/>
              <w:spacing w:after="120"/>
              <w:ind w:left="142" w:right="119"/>
              <w:jc w:val="center"/>
              <w:rPr>
                <w:rFonts w:ascii="Tahoma" w:hAnsi="Tahoma" w:cs="Tahoma"/>
                <w:b/>
                <w:bCs/>
                <w:color w:val="262626" w:themeColor="text1" w:themeTint="D9"/>
              </w:rPr>
            </w:pPr>
            <w:r w:rsidRPr="00BA09A0">
              <w:rPr>
                <w:rFonts w:ascii="Tahoma" w:hAnsi="Tahoma" w:cs="Tahoma"/>
                <w:b/>
                <w:bCs/>
                <w:noProof/>
                <w:color w:val="262626" w:themeColor="text1" w:themeTint="D9"/>
              </w:rPr>
              <w:drawing>
                <wp:inline distT="0" distB="0" distL="0" distR="0" wp14:anchorId="56D78A2B" wp14:editId="0855A0E6">
                  <wp:extent cx="900000" cy="900000"/>
                  <wp:effectExtent l="0" t="0" r="0"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7495" w:type="dxa"/>
            <w:tcBorders>
              <w:top w:val="single" w:sz="24" w:space="0" w:color="FFBA5B" w:themeColor="accent4" w:themeTint="99"/>
              <w:bottom w:val="single" w:sz="24" w:space="0" w:color="FFBA5B" w:themeColor="accent4" w:themeTint="99"/>
              <w:right w:val="single" w:sz="24" w:space="0" w:color="FFBA5B" w:themeColor="accent4" w:themeTint="99"/>
            </w:tcBorders>
            <w:shd w:val="clear" w:color="auto" w:fill="FFD191" w:themeFill="accent4" w:themeFillTint="66"/>
            <w:vAlign w:val="center"/>
          </w:tcPr>
          <w:p w14:paraId="1C0C49B9" w14:textId="351E4DDB" w:rsidR="00C43F4C" w:rsidRPr="00BA09A0" w:rsidRDefault="00C43F4C" w:rsidP="008E42FA">
            <w:pPr>
              <w:pStyle w:val="TableBody"/>
              <w:numPr>
                <w:ilvl w:val="0"/>
                <w:numId w:val="15"/>
              </w:numPr>
              <w:pBdr>
                <w:top w:val="single" w:sz="48" w:space="1" w:color="FFD191" w:themeColor="accent4" w:themeTint="66"/>
                <w:left w:val="single" w:sz="48" w:space="4" w:color="FFD191" w:themeColor="accent4" w:themeTint="66"/>
                <w:bottom w:val="single" w:sz="48" w:space="1" w:color="FFD191" w:themeColor="accent4" w:themeTint="66"/>
                <w:right w:val="single" w:sz="48" w:space="4" w:color="FFD191" w:themeColor="accent4" w:themeTint="66"/>
              </w:pBdr>
              <w:ind w:right="121"/>
              <w:rPr>
                <w:rFonts w:ascii="Tahoma" w:hAnsi="Tahoma" w:cs="Tahoma"/>
                <w:b/>
                <w:bCs/>
                <w:color w:val="262626" w:themeColor="text1" w:themeTint="D9"/>
              </w:rPr>
            </w:pPr>
            <w:r w:rsidRPr="00BA09A0">
              <w:rPr>
                <w:rFonts w:ascii="Tahoma" w:hAnsi="Tahoma" w:cs="Tahoma"/>
                <w:b/>
                <w:bCs/>
                <w:color w:val="262626" w:themeColor="text1" w:themeTint="D9"/>
                <w:sz w:val="24"/>
                <w:szCs w:val="24"/>
              </w:rPr>
              <w:t>Customers who can pay for their ongoing energy use benefit most</w:t>
            </w:r>
          </w:p>
        </w:tc>
      </w:tr>
    </w:tbl>
    <w:p w14:paraId="01A123FD" w14:textId="77777777" w:rsidR="00C43F4C" w:rsidRDefault="00C43F4C" w:rsidP="00C43F4C">
      <w:pPr>
        <w:pStyle w:val="Heading2"/>
      </w:pPr>
      <w:bookmarkStart w:id="31" w:name="_Toc104850108"/>
      <w:r>
        <w:lastRenderedPageBreak/>
        <w:t xml:space="preserve">Summary of </w:t>
      </w:r>
      <w:r w:rsidRPr="00AC62B7">
        <w:t>our key findings</w:t>
      </w:r>
      <w:bookmarkEnd w:id="31"/>
    </w:p>
    <w:p w14:paraId="1DEE5A3C" w14:textId="77777777" w:rsidR="00C43F4C" w:rsidRDefault="00C43F4C" w:rsidP="00C43F4C">
      <w:pPr>
        <w:pStyle w:val="Heading3"/>
      </w:pPr>
      <w:r w:rsidRPr="00E91AB8">
        <w:t>Key finding 1: Implementation of the framework is broadly meeting its objectives</w:t>
      </w:r>
      <w:r w:rsidRPr="00E91AB8" w:rsidDel="008E5CD6">
        <w:t xml:space="preserve"> </w:t>
      </w:r>
    </w:p>
    <w:p w14:paraId="5C08618D" w14:textId="276C7E03" w:rsidR="00C43F4C" w:rsidRDefault="00C43F4C" w:rsidP="00C43F4C">
      <w:r>
        <w:t>Our review suggests that over the past two years, the framework has provided a clear basis for customers to receive help when paying their energy bills, especially when they are experiencing payment difficulty.</w:t>
      </w:r>
    </w:p>
    <w:p w14:paraId="48933494" w14:textId="09E9DEC7" w:rsidR="00C43F4C" w:rsidRDefault="00C43F4C" w:rsidP="00C43F4C">
      <w:r>
        <w:t xml:space="preserve">Since the framework came into effect in 2019, more customers have been receiving tailored assistance compared to </w:t>
      </w:r>
      <w:r w:rsidR="0015558C">
        <w:t>customers in</w:t>
      </w:r>
      <w:r>
        <w:t xml:space="preserve"> past retailer hardship programs. Consumer groups we consulted with also observed a general reduction in customers being offered unmanageable payment plans by retailers by default or being required to undertake complex or difficult processes to receive assistance.</w:t>
      </w:r>
    </w:p>
    <w:p w14:paraId="5254E589" w14:textId="7551EEEF" w:rsidR="00C43F4C" w:rsidRDefault="00C43F4C" w:rsidP="00C43F4C">
      <w:r>
        <w:t xml:space="preserve">Interactions between customers and energy retailers are improving. </w:t>
      </w:r>
      <w:r w:rsidR="0016776E">
        <w:t xml:space="preserve">The representative sample of recordings of retailer calls with customers experiencing payment difficulty revealed </w:t>
      </w:r>
      <w:r>
        <w:t xml:space="preserve">constructive and friendly interactions with customers when providing support. </w:t>
      </w:r>
      <w:r w:rsidR="006F31DF">
        <w:t xml:space="preserve">Of all the call recordings we collected and reviewed, retailer staff were found to be ‘respectful’ in 98 per cent of cases. </w:t>
      </w:r>
      <w:r>
        <w:t>We also found that in 2020-21, 30 per cent of customers successfully completed their tailored assistance with the support of their retailer, resulting in no arrears.</w:t>
      </w:r>
    </w:p>
    <w:p w14:paraId="51D74A24" w14:textId="0155A3BD" w:rsidR="00F70835" w:rsidRDefault="00C43F4C" w:rsidP="00C43F4C">
      <w:r>
        <w:t xml:space="preserve">These are positive signs. Before the framework, there was little consistency across retailers on whether a customer would receive assistance, what form it would take, and when they would receive it. These factors were subject to retailer discretion. Community stakeholders recognise there have been improvements in the support offered to </w:t>
      </w:r>
      <w:r w:rsidR="00BB19BF">
        <w:t>customers</w:t>
      </w:r>
      <w:r>
        <w:t xml:space="preserve">, but also continue to observe examples of poor customer experiences for many of their most vulnerable clients. </w:t>
      </w:r>
    </w:p>
    <w:p w14:paraId="1DF69575" w14:textId="49BF34A7" w:rsidR="00C43F4C" w:rsidRDefault="00F70835" w:rsidP="00C43F4C">
      <w:r>
        <w:t xml:space="preserve">However, a significant proportion of customers </w:t>
      </w:r>
      <w:r w:rsidR="00FE3018">
        <w:t>still do not receive assistance. There are many complex reasons why a customer may not reach out to a retailer for support, but we note that the data indicates some retailers seem to be more effective than others in achieving constructive engagement.</w:t>
      </w:r>
    </w:p>
    <w:p w14:paraId="17D0776F" w14:textId="775CD5FC" w:rsidR="00C43F4C" w:rsidRDefault="00C43F4C" w:rsidP="00C43F4C">
      <w:r w:rsidRPr="00BA2079">
        <w:t xml:space="preserve">We </w:t>
      </w:r>
      <w:r>
        <w:t>remain</w:t>
      </w:r>
      <w:r w:rsidRPr="00BA2079">
        <w:t xml:space="preserve"> committed to </w:t>
      </w:r>
      <w:r>
        <w:t xml:space="preserve">improving outcomes for </w:t>
      </w:r>
      <w:r w:rsidR="00F10D84">
        <w:t>customer</w:t>
      </w:r>
      <w:r>
        <w:t xml:space="preserve">s experiencing vulnerability. This includes, where necessary, </w:t>
      </w:r>
      <w:r w:rsidRPr="00BA2079">
        <w:t xml:space="preserve">acting on </w:t>
      </w:r>
      <w:r w:rsidR="00F70835">
        <w:t xml:space="preserve">retailer </w:t>
      </w:r>
      <w:r w:rsidRPr="00BA2079">
        <w:t xml:space="preserve">non-compliance we identify. </w:t>
      </w:r>
    </w:p>
    <w:p w14:paraId="33828D34" w14:textId="0AEA2DC4" w:rsidR="00C43F4C" w:rsidRDefault="00C43F4C" w:rsidP="00C43F4C">
      <w:r w:rsidRPr="00BA2079">
        <w:t xml:space="preserve">In </w:t>
      </w:r>
      <w:r w:rsidR="00727994">
        <w:t xml:space="preserve">the last two years, </w:t>
      </w:r>
      <w:r w:rsidR="00DC4F73">
        <w:t>two retailers paid penalties for alleged actions for non-compliance with the framework.</w:t>
      </w:r>
      <w:r w:rsidRPr="00BA2079">
        <w:t xml:space="preserve"> </w:t>
      </w:r>
      <w:r>
        <w:t xml:space="preserve">Alinta Energy paid </w:t>
      </w:r>
      <w:r w:rsidRPr="00BA2079">
        <w:t xml:space="preserve">$1.125 million in penalty notices </w:t>
      </w:r>
      <w:r>
        <w:t xml:space="preserve">we issued </w:t>
      </w:r>
      <w:r w:rsidRPr="00BA2079">
        <w:t xml:space="preserve">for </w:t>
      </w:r>
      <w:r>
        <w:t xml:space="preserve">allegedly </w:t>
      </w:r>
      <w:r w:rsidRPr="00BA2079">
        <w:t>requiring customers to provide person</w:t>
      </w:r>
      <w:r>
        <w:t>al</w:t>
      </w:r>
      <w:r w:rsidRPr="00BA2079">
        <w:t xml:space="preserve"> or financial information</w:t>
      </w:r>
      <w:r>
        <w:t xml:space="preserve"> as a condition</w:t>
      </w:r>
      <w:r w:rsidRPr="00BA2079">
        <w:t xml:space="preserve"> to receive assistance</w:t>
      </w:r>
      <w:r>
        <w:t>.</w:t>
      </w:r>
      <w:r w:rsidRPr="00BA2079">
        <w:t xml:space="preserve"> </w:t>
      </w:r>
      <w:r w:rsidR="00727994">
        <w:t>Sumo paid $50</w:t>
      </w:r>
      <w:r w:rsidR="00DC4F73">
        <w:t>0</w:t>
      </w:r>
      <w:r w:rsidR="00727994">
        <w:t xml:space="preserve">,000 for </w:t>
      </w:r>
      <w:r w:rsidR="00DD5311">
        <w:t xml:space="preserve">allegedly wrongfully disconnecting 142 customers </w:t>
      </w:r>
      <w:r w:rsidR="00985F7F">
        <w:t xml:space="preserve">for </w:t>
      </w:r>
      <w:r w:rsidR="00DD5311">
        <w:t xml:space="preserve">not providing enough time </w:t>
      </w:r>
      <w:r w:rsidR="00985F7F">
        <w:t>for customers after issuing a disconnection warning notice</w:t>
      </w:r>
      <w:r>
        <w:t>.</w:t>
      </w:r>
      <w:r w:rsidRPr="00BA2079">
        <w:t xml:space="preserve"> We also issued seven </w:t>
      </w:r>
      <w:r>
        <w:t>guidelines</w:t>
      </w:r>
      <w:r w:rsidRPr="00BA2079">
        <w:t xml:space="preserve"> </w:t>
      </w:r>
      <w:r>
        <w:t xml:space="preserve">to help the </w:t>
      </w:r>
      <w:r w:rsidRPr="00BA2079">
        <w:t>industry further support customers in payment difficulty.</w:t>
      </w:r>
    </w:p>
    <w:p w14:paraId="326FE05A" w14:textId="0BA80634" w:rsidR="00C43F4C" w:rsidRDefault="00C43F4C" w:rsidP="00C43F4C">
      <w:r w:rsidRPr="00822F00">
        <w:lastRenderedPageBreak/>
        <w:t xml:space="preserve">The number of </w:t>
      </w:r>
      <w:r>
        <w:t xml:space="preserve">electricity </w:t>
      </w:r>
      <w:r w:rsidRPr="00822F00">
        <w:t>customers being disconnected for non-payment ha</w:t>
      </w:r>
      <w:r>
        <w:t>s</w:t>
      </w:r>
      <w:r w:rsidRPr="00822F00">
        <w:t xml:space="preserve"> fallen significantly since </w:t>
      </w:r>
      <w:r>
        <w:t xml:space="preserve">reaching a peak </w:t>
      </w:r>
      <w:r w:rsidRPr="00822F00">
        <w:t xml:space="preserve">of </w:t>
      </w:r>
      <w:r w:rsidR="008958B4">
        <w:t>34,496</w:t>
      </w:r>
      <w:r w:rsidRPr="00822F00">
        <w:t xml:space="preserve"> in 2013-14. Between April 2019 and March 2020,</w:t>
      </w:r>
      <w:r>
        <w:t xml:space="preserve"> electricity</w:t>
      </w:r>
      <w:r w:rsidRPr="00822F00">
        <w:t xml:space="preserve"> disconnection numbers dropped to 2</w:t>
      </w:r>
      <w:r>
        <w:t>2,795</w:t>
      </w:r>
      <w:r w:rsidRPr="00822F00">
        <w:t xml:space="preserve">, a decrease of </w:t>
      </w:r>
      <w:r w:rsidR="005C702B">
        <w:t>34</w:t>
      </w:r>
      <w:r w:rsidR="005C702B" w:rsidRPr="00822F00">
        <w:t xml:space="preserve"> </w:t>
      </w:r>
      <w:r w:rsidRPr="00822F00">
        <w:t xml:space="preserve">percent </w:t>
      </w:r>
      <w:r>
        <w:t>from</w:t>
      </w:r>
      <w:r w:rsidRPr="00822F00">
        <w:t xml:space="preserve"> 2013-14</w:t>
      </w:r>
      <w:r>
        <w:t xml:space="preserve"> levels</w:t>
      </w:r>
      <w:r w:rsidRPr="00822F00">
        <w:t>.</w:t>
      </w:r>
      <w:r>
        <w:t xml:space="preserve"> We have also seen a general reduction in wrongful disconnection payments made </w:t>
      </w:r>
      <w:r w:rsidR="00FA3C76">
        <w:t xml:space="preserve">and reported </w:t>
      </w:r>
      <w:r>
        <w:t>by retailers. During 2020-21,</w:t>
      </w:r>
      <w:r w:rsidDel="009158E6">
        <w:t xml:space="preserve"> </w:t>
      </w:r>
      <w:r w:rsidR="009158E6">
        <w:t>430</w:t>
      </w:r>
      <w:r>
        <w:t xml:space="preserve"> customers were paid a total of $</w:t>
      </w:r>
      <w:r w:rsidR="001E0D67">
        <w:t>487,403</w:t>
      </w:r>
      <w:r>
        <w:t xml:space="preserve"> in compensation, the lowest </w:t>
      </w:r>
      <w:r w:rsidR="00433638">
        <w:t xml:space="preserve">number of </w:t>
      </w:r>
      <w:r>
        <w:t>customers affected and payments made in five years.</w:t>
      </w:r>
    </w:p>
    <w:p w14:paraId="08FEBC15" w14:textId="0689B096" w:rsidR="00C43F4C" w:rsidRDefault="00C43F4C" w:rsidP="00C43F4C">
      <w:r>
        <w:t>As most retailers halted disconnections in 2020 and 2021 in line with the commission’s statement of expectations during stay-at-home public health orders, it has been difficult to confirm a trend in these figures</w:t>
      </w:r>
      <w:r w:rsidR="006E7AA6">
        <w:t xml:space="preserve"> attributable to the framework</w:t>
      </w:r>
      <w:r>
        <w:t>. The pandemic also had a profound effect on the financial capacity of many customers and are likely to have contributed to increased levels of arrears for energy customers.</w:t>
      </w:r>
    </w:p>
    <w:p w14:paraId="3ABDA2A2" w14:textId="61281A11" w:rsidR="00415A34" w:rsidRDefault="00C43F4C" w:rsidP="00C43F4C">
      <w:r>
        <w:t xml:space="preserve">Despite disruptions to their operations due to the pandemic, energy retailers continued to deliver the payment difficulty framework. More Victorian residential customers accessed tailored assistance, with 61,560 customers receiving assistance by the end of 2021, compared to 57,039 customers in March 2020. Importantly, the average arrears of customers who </w:t>
      </w:r>
      <w:r w:rsidR="00415A34">
        <w:t xml:space="preserve">can now </w:t>
      </w:r>
      <w:r>
        <w:t xml:space="preserve">pay for their ongoing </w:t>
      </w:r>
      <w:r w:rsidR="004B5454">
        <w:t>usage has</w:t>
      </w:r>
      <w:r w:rsidR="00E67520">
        <w:t xml:space="preserve"> </w:t>
      </w:r>
      <w:r w:rsidR="00415A34">
        <w:t>not grown</w:t>
      </w:r>
      <w:r>
        <w:t xml:space="preserve"> over the past two years</w:t>
      </w:r>
      <w:r w:rsidR="00415A34">
        <w:t>, despite the difficult economic circumstances</w:t>
      </w:r>
      <w:r>
        <w:t xml:space="preserve">. </w:t>
      </w:r>
    </w:p>
    <w:p w14:paraId="2F822DDF" w14:textId="2921036B" w:rsidR="00C43F4C" w:rsidRDefault="00C43F4C" w:rsidP="00C43F4C">
      <w:r>
        <w:t>These results demonstrate the durability and value of the framework, even during unpredictable and high impact events.</w:t>
      </w:r>
    </w:p>
    <w:p w14:paraId="30269F5A" w14:textId="77777777" w:rsidR="00C43F4C" w:rsidRDefault="00C43F4C" w:rsidP="00C43F4C">
      <w:pPr>
        <w:pStyle w:val="Heading3"/>
      </w:pPr>
      <w:r>
        <w:t>Key finding 2: Customer outcomes vary significantly between and within retailers</w:t>
      </w:r>
    </w:p>
    <w:p w14:paraId="54BC0348" w14:textId="77777777" w:rsidR="00C43F4C" w:rsidRDefault="00C43F4C" w:rsidP="00C43F4C">
      <w:r>
        <w:t xml:space="preserve">Before the framework’s introduction, customers experienced inconsistent approaches and responses to requests for payment assistance from Victorian energy retailers. Retailers had different eligibility criteria for customers to receive </w:t>
      </w:r>
      <w:bookmarkStart w:id="32" w:name="_Int_MpLPCZ07"/>
      <w:r>
        <w:t>assistance and</w:t>
      </w:r>
      <w:bookmarkEnd w:id="32"/>
      <w:r>
        <w:t xml:space="preserve"> offered different types of assistance. The framework sought to address these inconsistencies by providing a minimum set of standards and entitlements that Victorian customers experiencing payment difficulty can expect from their retailers. While the framework sets out the types of assistance that must be offered to customers, retailers have some flexibility regarding how some assistance is offered. </w:t>
      </w:r>
    </w:p>
    <w:p w14:paraId="4BD6B4DA" w14:textId="214AB819" w:rsidR="00C43F4C" w:rsidRDefault="00C43F4C" w:rsidP="00C43F4C">
      <w:r>
        <w:t xml:space="preserve">This report outlines the various ways the framework is being implemented by </w:t>
      </w:r>
      <w:bookmarkStart w:id="33" w:name="_Int_F0ljPLIQ"/>
      <w:r>
        <w:t>retailers and</w:t>
      </w:r>
      <w:bookmarkEnd w:id="33"/>
      <w:r>
        <w:t xml:space="preserve"> highlights positive instances that demonstrate the framework’s effectiveness. For example, some retailers have taken more proactive approaches to supporting customers with information about their eligibility for energy concessions, and some have been more effective at helping customers successfully apply for </w:t>
      </w:r>
      <w:r w:rsidR="002B7A72">
        <w:t>u</w:t>
      </w:r>
      <w:r>
        <w:t xml:space="preserve">tility </w:t>
      </w:r>
      <w:r w:rsidR="002B7A72">
        <w:t>r</w:t>
      </w:r>
      <w:r>
        <w:t xml:space="preserve">elief </w:t>
      </w:r>
      <w:r w:rsidR="002B7A72">
        <w:t>g</w:t>
      </w:r>
      <w:r>
        <w:t xml:space="preserve">rants. However, many retailers could do more. </w:t>
      </w:r>
    </w:p>
    <w:p w14:paraId="06E4E4EB" w14:textId="2ACDF3C4" w:rsidR="00C43F4C" w:rsidRDefault="00C43F4C" w:rsidP="00C43F4C">
      <w:r>
        <w:t xml:space="preserve">A critical area for further consideration is the different levels of customer arrears across retailers at the time assistance commences, as well as the timing of when </w:t>
      </w:r>
      <w:r w:rsidR="00113A5C">
        <w:t xml:space="preserve">customers commence their </w:t>
      </w:r>
      <w:r>
        <w:lastRenderedPageBreak/>
        <w:t xml:space="preserve">assistance </w:t>
      </w:r>
      <w:r w:rsidR="00113A5C">
        <w:t>with their retailer</w:t>
      </w:r>
      <w:r>
        <w:t xml:space="preserve">. In some cases, customers are entering assistance with high levels of </w:t>
      </w:r>
      <w:r w:rsidR="0015558C">
        <w:t>arrears</w:t>
      </w:r>
      <w:r>
        <w:t xml:space="preserve"> accumulated over a </w:t>
      </w:r>
      <w:r w:rsidRPr="00CD52B2">
        <w:t>long time – sometimes the equivalent of an average Victorian’s annual energy bill</w:t>
      </w:r>
      <w:r>
        <w:t xml:space="preserve"> – and that assistance might be too late to provide meaningful debt relief for the customer</w:t>
      </w:r>
      <w:r w:rsidRPr="00CD52B2">
        <w:t>.</w:t>
      </w:r>
    </w:p>
    <w:p w14:paraId="162EB70F" w14:textId="77777777" w:rsidR="00C43F4C" w:rsidRDefault="00C43F4C" w:rsidP="00C43F4C">
      <w:r w:rsidRPr="007A3CEA">
        <w:t>We also found variation in how retailers support customers to lower their energy costs and usage, which helps to directly reduce a customer’s arrears to more manageable levels. Some retailers are more effective at directly supporting customers to receive utility relief grants, checking whether they are on the best offer, checking eligibility for energy concessions, and providing practical energy efficiency options. There is also a need for better connections with, and referral to, existing government and community supports and programs, to make permanent improvements towards helping customers lower their energy usage and costs.</w:t>
      </w:r>
      <w:r>
        <w:t xml:space="preserve"> </w:t>
      </w:r>
    </w:p>
    <w:p w14:paraId="193169F5" w14:textId="77777777" w:rsidR="00C43F4C" w:rsidRDefault="00C43F4C" w:rsidP="00C43F4C">
      <w:pPr>
        <w:pStyle w:val="Heading3"/>
      </w:pPr>
      <w:r w:rsidRPr="00DF2E82">
        <w:t xml:space="preserve">Key finding 3: The level and quality of retailer-customer engagement </w:t>
      </w:r>
      <w:r>
        <w:t>a</w:t>
      </w:r>
      <w:r w:rsidRPr="00DF2E82">
        <w:t>ffects customer outcomes.</w:t>
      </w:r>
    </w:p>
    <w:p w14:paraId="17BA95A0" w14:textId="77777777" w:rsidR="00C43F4C" w:rsidRDefault="00C43F4C" w:rsidP="00C43F4C">
      <w:r>
        <w:t xml:space="preserve">The payment difficulty framework was designed to promote communication and engagement between retailers and customers. It is critical that customers can effectively engage with their retailers in order to be provided with their full entitlements. </w:t>
      </w:r>
    </w:p>
    <w:p w14:paraId="6C0AE8C0" w14:textId="77777777" w:rsidR="00C43F4C" w:rsidRDefault="00C43F4C" w:rsidP="00C43F4C">
      <w:r>
        <w:t xml:space="preserve">Important to this is customer awareness of their entitlements. We found that under the framework, this awareness has grown among customers, as well as community sector organisations and retailer staff. However, there </w:t>
      </w:r>
      <w:r w:rsidRPr="003672D1">
        <w:t xml:space="preserve">are opportunities to improve awareness, which would </w:t>
      </w:r>
      <w:r>
        <w:t xml:space="preserve">better </w:t>
      </w:r>
      <w:r w:rsidRPr="003672D1">
        <w:t xml:space="preserve">enable customers to engage with their retailers earlier, </w:t>
      </w:r>
      <w:r>
        <w:t>as well as enhance retailer response.</w:t>
      </w:r>
      <w:r w:rsidRPr="003672D1">
        <w:t xml:space="preserve"> For example, increasing general awareness of customer entitlements to assistance could encourage and improve timely engagement </w:t>
      </w:r>
      <w:r>
        <w:t xml:space="preserve">of customers </w:t>
      </w:r>
      <w:r w:rsidRPr="003672D1">
        <w:t>with their retailers.</w:t>
      </w:r>
    </w:p>
    <w:p w14:paraId="798FEE7B" w14:textId="3A2DC287" w:rsidR="00C43F4C" w:rsidRDefault="00C43F4C" w:rsidP="00C43F4C">
      <w:r>
        <w:t>Retailer call centre staff are showing a greater understanding of the issues faced by customers experiencing vulnerability and requiring payment assistance. This is crucial for them to provide customers with their full entitlements. Call recordings collected for the review demonstrated the positive impact of call centre staff speaking to customers. In most calls, operators were respectful of customers (98 per cent of calls) and were empathetic in their communication (88 per cent of calls).</w:t>
      </w:r>
    </w:p>
    <w:p w14:paraId="21BCD1B5" w14:textId="77777777" w:rsidR="00C43F4C" w:rsidRDefault="00C43F4C" w:rsidP="00C43F4C">
      <w:r>
        <w:t>If customers are unable to or cannot engage with their retailer, retailers are unable to effectively provide customers with their full entitlements. We see opportunities for i</w:t>
      </w:r>
      <w:r w:rsidRPr="003672D1">
        <w:t>mproving the quality of engagement between customers and retailers</w:t>
      </w:r>
      <w:r>
        <w:t xml:space="preserve">, which may </w:t>
      </w:r>
      <w:r w:rsidRPr="003672D1">
        <w:t xml:space="preserve">lead to better application of customer entitlements under the framework. </w:t>
      </w:r>
    </w:p>
    <w:p w14:paraId="63C5CB51" w14:textId="3F7E68B7" w:rsidR="00C43F4C" w:rsidRPr="00CD52B2" w:rsidRDefault="00C43F4C" w:rsidP="00C43F4C">
      <w:r>
        <w:t xml:space="preserve">The framework was also designed </w:t>
      </w:r>
      <w:r w:rsidRPr="00CD52B2">
        <w:t>to promote early engagement with customers – the importance of this has been confirmed by our findings. Once a customer</w:t>
      </w:r>
      <w:r>
        <w:t>, who has arrears of more than $55</w:t>
      </w:r>
      <w:r w:rsidRPr="00CD52B2">
        <w:t xml:space="preserve"> </w:t>
      </w:r>
      <w:r>
        <w:lastRenderedPageBreak/>
        <w:t xml:space="preserve">including GST) </w:t>
      </w:r>
      <w:r w:rsidRPr="00CD52B2">
        <w:t>misses a bill payment</w:t>
      </w:r>
      <w:r>
        <w:t xml:space="preserve"> by the due date</w:t>
      </w:r>
      <w:r w:rsidRPr="00CD52B2">
        <w:t xml:space="preserve">, retailers must provide a customer with information about their entitlements to assistance. </w:t>
      </w:r>
      <w:r w:rsidR="00F25D85" w:rsidRPr="00F25D85">
        <w:t xml:space="preserve">While this early notification is mandated under the code, we have found that the way </w:t>
      </w:r>
      <w:r w:rsidR="00F25D85">
        <w:t xml:space="preserve">call operators </w:t>
      </w:r>
      <w:r w:rsidR="008C4D80" w:rsidRPr="00F25D85">
        <w:t>communicate</w:t>
      </w:r>
      <w:r w:rsidR="00F25D85" w:rsidRPr="00F25D85">
        <w:t xml:space="preserve"> with a customer can improve the support provided to them</w:t>
      </w:r>
      <w:r w:rsidR="00504E0E">
        <w:t xml:space="preserve">, particularly for customers </w:t>
      </w:r>
      <w:r w:rsidR="00E67B62">
        <w:t>experiencing vulnerability</w:t>
      </w:r>
      <w:r w:rsidR="00F25D85" w:rsidRPr="00F25D85">
        <w:t>.</w:t>
      </w:r>
      <w:r w:rsidR="00F25D85">
        <w:t xml:space="preserve"> </w:t>
      </w:r>
    </w:p>
    <w:p w14:paraId="3615D5F7" w14:textId="2A335BB9" w:rsidR="00C43F4C" w:rsidRDefault="00C43F4C" w:rsidP="00C43F4C">
      <w:r w:rsidRPr="00CD52B2">
        <w:t>We observed that early intervention can and does help improve longer term or ongoing engagement with customers, therefore improving a customer’s experience of receiving assistance. When a customer initially contacts a retailer who proactively offers support such as help to receive concessions and government grants or advice on the best plan, this improve</w:t>
      </w:r>
      <w:r>
        <w:t>s</w:t>
      </w:r>
      <w:r w:rsidRPr="00CD52B2">
        <w:t xml:space="preserve"> the effectiveness of </w:t>
      </w:r>
      <w:r>
        <w:t xml:space="preserve">the support </w:t>
      </w:r>
      <w:r w:rsidRPr="00CD52B2">
        <w:t xml:space="preserve">over time. This leads to benefits for both customer and retailer, as it focuses on managing customer arrears early and at more manageable levels. </w:t>
      </w:r>
    </w:p>
    <w:p w14:paraId="42024241" w14:textId="403FDC0E" w:rsidR="004C28DF" w:rsidRPr="00967DEE" w:rsidRDefault="005D73A1" w:rsidP="00C43F4C">
      <w:r w:rsidRPr="00967DEE">
        <w:t xml:space="preserve">Our work in this review aligns with </w:t>
      </w:r>
      <w:r w:rsidR="008E5EA3" w:rsidRPr="00967DEE">
        <w:t xml:space="preserve">the work </w:t>
      </w:r>
      <w:r w:rsidRPr="00967DEE">
        <w:t xml:space="preserve">we conducted in developing our ‘Getting to fair’ strategy in 2021. </w:t>
      </w:r>
      <w:r w:rsidR="00C43F4C" w:rsidRPr="00967DEE">
        <w:t>This three-year strategy seeks to improve the experience of consumers facing vulnerability by supporting our regulated and administered sectors to provide more responsive, inclusive, and accessible services.</w:t>
      </w:r>
      <w:r w:rsidRPr="00967DEE">
        <w:t xml:space="preserve"> A</w:t>
      </w:r>
      <w:r w:rsidR="00C43F4C" w:rsidRPr="00967DEE">
        <w:t xml:space="preserve">lthough the framework is removing barriers for some customers </w:t>
      </w:r>
      <w:r w:rsidR="008E5EA3" w:rsidRPr="00967DEE">
        <w:t xml:space="preserve">to better </w:t>
      </w:r>
      <w:r w:rsidR="00C43F4C" w:rsidRPr="00967DEE">
        <w:t>access</w:t>
      </w:r>
      <w:r w:rsidRPr="00967DEE">
        <w:t xml:space="preserve"> and receiv</w:t>
      </w:r>
      <w:r w:rsidR="008E5EA3" w:rsidRPr="00967DEE">
        <w:t xml:space="preserve">e </w:t>
      </w:r>
      <w:r w:rsidR="00C43F4C" w:rsidRPr="00967DEE">
        <w:t xml:space="preserve">assistance, </w:t>
      </w:r>
      <w:r w:rsidR="008E5EA3" w:rsidRPr="00967DEE">
        <w:t xml:space="preserve">we have found that </w:t>
      </w:r>
      <w:r w:rsidR="00C43F4C" w:rsidRPr="00967DEE">
        <w:t xml:space="preserve">some customers requiring support with their energy bills may be experiencing multiple </w:t>
      </w:r>
      <w:r w:rsidR="00F92607" w:rsidRPr="00967DEE">
        <w:t>barriers to accessing and receiving assistance</w:t>
      </w:r>
      <w:r w:rsidR="00C43F4C" w:rsidRPr="00967DEE">
        <w:t xml:space="preserve">. </w:t>
      </w:r>
      <w:r w:rsidR="008E5EA3" w:rsidRPr="00967DEE">
        <w:t>These</w:t>
      </w:r>
      <w:r w:rsidRPr="00967DEE">
        <w:t xml:space="preserve"> barriers may be </w:t>
      </w:r>
      <w:r w:rsidR="00AA0A2B" w:rsidRPr="00967DEE">
        <w:t xml:space="preserve">further </w:t>
      </w:r>
      <w:r w:rsidRPr="00967DEE">
        <w:t xml:space="preserve">heightened for </w:t>
      </w:r>
      <w:r w:rsidR="00AA0A2B" w:rsidRPr="00967DEE">
        <w:t xml:space="preserve">some </w:t>
      </w:r>
      <w:r w:rsidRPr="00967DEE">
        <w:t>energy customers such as those experiencing family violence, First Nations customers, customers from culturally and linguistically diverse backgrounds and those with low financial or English literacy</w:t>
      </w:r>
      <w:r w:rsidR="00AA0A2B" w:rsidRPr="00967DEE">
        <w:t xml:space="preserve"> and </w:t>
      </w:r>
      <w:r w:rsidRPr="00967DEE">
        <w:t xml:space="preserve">LGBTIQA+ customers. </w:t>
      </w:r>
    </w:p>
    <w:p w14:paraId="7EBE4203" w14:textId="14C12711" w:rsidR="00C43F4C" w:rsidRDefault="00A11C75" w:rsidP="00C43F4C">
      <w:r w:rsidRPr="00967DEE">
        <w:t xml:space="preserve">In this review we also sought to deepen our understanding of the </w:t>
      </w:r>
      <w:r w:rsidR="005D73A1" w:rsidRPr="00967DEE">
        <w:t xml:space="preserve">gendered dimension </w:t>
      </w:r>
      <w:r w:rsidR="004C28DF" w:rsidRPr="00967DEE">
        <w:t xml:space="preserve">of the framework in practice. </w:t>
      </w:r>
      <w:r w:rsidRPr="00967DEE">
        <w:t xml:space="preserve">This aligns with our new duty under the </w:t>
      </w:r>
      <w:r w:rsidR="004C28DF" w:rsidRPr="00967DEE">
        <w:t>Victorian Gender Equality Act of 2020 which requires the Victorian public sector to consider and promote gender equality in their policies, programs</w:t>
      </w:r>
      <w:r w:rsidR="001D63F7">
        <w:t>,</w:t>
      </w:r>
      <w:r w:rsidR="004C28DF" w:rsidRPr="00967DEE">
        <w:t xml:space="preserve"> and services. We found that women are more likely to be seeking assistance under the framework.</w:t>
      </w:r>
      <w:r w:rsidR="004C28DF">
        <w:t xml:space="preserve"> </w:t>
      </w:r>
    </w:p>
    <w:p w14:paraId="63F772C3" w14:textId="77777777" w:rsidR="00C43F4C" w:rsidRPr="002F3B01" w:rsidRDefault="00C43F4C" w:rsidP="00C43F4C">
      <w:pPr>
        <w:pStyle w:val="Heading3"/>
      </w:pPr>
      <w:r w:rsidRPr="00437C95">
        <w:t xml:space="preserve">Key finding </w:t>
      </w:r>
      <w:r>
        <w:t>4</w:t>
      </w:r>
      <w:r w:rsidRPr="00437C95">
        <w:t xml:space="preserve">: </w:t>
      </w:r>
      <w:r w:rsidRPr="00E23E12">
        <w:t>Customers who can pay for their ongoing energy use benefit most</w:t>
      </w:r>
    </w:p>
    <w:p w14:paraId="26FA7E7B" w14:textId="0F528EA5" w:rsidR="00C43F4C" w:rsidRDefault="00C43F4C" w:rsidP="00C43F4C">
      <w:r>
        <w:t xml:space="preserve">The objective for both energy retailers and community sector organisations to support customers who are unable to or have not engaged with their retailers remains a challenge. In June 2021, over 49,000 energy customers were not receiving assistance from their energy retailer and were in arrears of $1,000 or more. In 2019-20, more than half of customers disconnected for non-payment had not received assistance in the six months prior. These figures suggest there is still much work to be done under the framework to support Victorian customers who are unable to pay their energy bills. </w:t>
      </w:r>
    </w:p>
    <w:p w14:paraId="72D2EDC7" w14:textId="65D0D7A9" w:rsidR="00C43F4C" w:rsidRDefault="00C43F4C" w:rsidP="000E3522">
      <w:pPr>
        <w:keepLines/>
      </w:pPr>
      <w:r>
        <w:lastRenderedPageBreak/>
        <w:t xml:space="preserve">We found the framework benefits many customers, particularly those who are in arrears with their retailer </w:t>
      </w:r>
      <w:r w:rsidR="004F51E6">
        <w:t>and</w:t>
      </w:r>
      <w:r>
        <w:t xml:space="preserve"> able to pay for their ongoing energy use. There were more of this</w:t>
      </w:r>
      <w:r w:rsidDel="00E810F4">
        <w:t xml:space="preserve"> category</w:t>
      </w:r>
      <w:r>
        <w:t xml:space="preserve"> of customers receiving assistance during the pandemic</w:t>
      </w:r>
      <w:r w:rsidR="004F51E6">
        <w:t xml:space="preserve"> and overall, their </w:t>
      </w:r>
      <w:r>
        <w:t>average arrears remained stable over the past two years.</w:t>
      </w:r>
    </w:p>
    <w:p w14:paraId="20F8D4DF" w14:textId="2AB804E0" w:rsidR="00C43F4C" w:rsidRPr="00BC1111" w:rsidRDefault="00C43F4C" w:rsidP="00C43F4C">
      <w:r>
        <w:t xml:space="preserve">However, our review highlighted the complexities in supporting customers experiencing acute or chronic financial difficulties or </w:t>
      </w:r>
      <w:bookmarkStart w:id="34" w:name="_Int_CLOFNzhF"/>
      <w:r>
        <w:t>vulnerability</w:t>
      </w:r>
      <w:r w:rsidR="004126E9">
        <w:t>.</w:t>
      </w:r>
      <w:bookmarkEnd w:id="34"/>
      <w:r w:rsidR="004126E9">
        <w:t xml:space="preserve"> Based on call recordings we reviewed, customers experiencing payment difficulty are more </w:t>
      </w:r>
      <w:r w:rsidR="004126E9" w:rsidRPr="004126E9">
        <w:t xml:space="preserve">likely to face </w:t>
      </w:r>
      <w:r w:rsidR="004126E9">
        <w:t xml:space="preserve">multiple </w:t>
      </w:r>
      <w:r w:rsidR="004126E9" w:rsidRPr="004126E9">
        <w:t>barriers</w:t>
      </w:r>
      <w:r w:rsidR="004126E9">
        <w:t xml:space="preserve">, such as changes to household income, a lack of work, or illness. </w:t>
      </w:r>
      <w:r>
        <w:t xml:space="preserve">Many of these customers </w:t>
      </w:r>
      <w:r w:rsidR="004126E9">
        <w:t xml:space="preserve">also </w:t>
      </w:r>
      <w:r>
        <w:t xml:space="preserve">use much higher levels of energy than the typical household for a range of reasons, and supporting these customers is particularly challenging. </w:t>
      </w:r>
    </w:p>
    <w:p w14:paraId="050B1FF2" w14:textId="6D36F986" w:rsidR="00C43F4C" w:rsidRPr="00BC1111" w:rsidRDefault="00C43F4C" w:rsidP="00C43F4C">
      <w:r>
        <w:t xml:space="preserve">We recognise that some of these challenges are long-standing and require continued support from a range of stakeholders beyond the framework. That said, initiatives such as retailers being more proactive in </w:t>
      </w:r>
      <w:bookmarkStart w:id="35" w:name="_Hlk103322372"/>
      <w:r>
        <w:t>assisting these customers access concession and utility relief grants, as well as alerting them to other relevant government programs can help</w:t>
      </w:r>
      <w:bookmarkEnd w:id="35"/>
      <w:r>
        <w:t>.</w:t>
      </w:r>
    </w:p>
    <w:tbl>
      <w:tblPr>
        <w:tblStyle w:val="TwoColumnImage"/>
        <w:tblW w:w="9604" w:type="dxa"/>
        <w:tblInd w:w="172" w:type="dxa"/>
        <w:tblBorders>
          <w:top w:val="single" w:sz="24" w:space="0" w:color="6CB59D" w:themeColor="accent5" w:themeTint="80"/>
          <w:left w:val="single" w:sz="24" w:space="0" w:color="6CB59D" w:themeColor="accent5" w:themeTint="80"/>
          <w:bottom w:val="single" w:sz="24" w:space="0" w:color="6CB59D" w:themeColor="accent5" w:themeTint="80"/>
          <w:right w:val="single" w:sz="24" w:space="0" w:color="6CB59D" w:themeColor="accent5" w:themeTint="80"/>
        </w:tblBorders>
        <w:shd w:val="clear" w:color="auto" w:fill="B5DACE" w:themeFill="accent5" w:themeFillTint="40"/>
        <w:tblCellMar>
          <w:top w:w="57" w:type="dxa"/>
          <w:bottom w:w="57" w:type="dxa"/>
        </w:tblCellMar>
        <w:tblLook w:val="04A0" w:firstRow="1" w:lastRow="0" w:firstColumn="1" w:lastColumn="0" w:noHBand="0" w:noVBand="1"/>
      </w:tblPr>
      <w:tblGrid>
        <w:gridCol w:w="1781"/>
        <w:gridCol w:w="31"/>
        <w:gridCol w:w="6411"/>
        <w:gridCol w:w="30"/>
        <w:gridCol w:w="1351"/>
      </w:tblGrid>
      <w:tr w:rsidR="00A44478" w:rsidRPr="000179AE" w14:paraId="7A66986E" w14:textId="77777777" w:rsidTr="002678BC">
        <w:tc>
          <w:tcPr>
            <w:tcW w:w="9604" w:type="dxa"/>
            <w:gridSpan w:val="5"/>
            <w:shd w:val="clear" w:color="auto" w:fill="B5DACE" w:themeFill="accent5" w:themeFillTint="40"/>
          </w:tcPr>
          <w:p w14:paraId="1562626C" w14:textId="6E17992B" w:rsidR="00A44478" w:rsidRPr="000179AE" w:rsidRDefault="00A44478" w:rsidP="00DB4089">
            <w:pPr>
              <w:pStyle w:val="TableBody"/>
              <w:keepNext/>
              <w:keepLines/>
              <w:spacing w:before="80" w:after="80"/>
              <w:ind w:left="142" w:right="119"/>
              <w:rPr>
                <w:rFonts w:ascii="Tahoma" w:hAnsi="Tahoma" w:cs="Tahoma"/>
                <w:color w:val="262626" w:themeColor="text1" w:themeTint="D9"/>
              </w:rPr>
            </w:pPr>
            <w:r>
              <w:rPr>
                <w:rFonts w:ascii="Tahoma" w:hAnsi="Tahoma" w:cs="Tahoma"/>
                <w:b/>
                <w:bCs/>
                <w:color w:val="262626" w:themeColor="text1" w:themeTint="D9"/>
                <w:sz w:val="32"/>
                <w:szCs w:val="32"/>
              </w:rPr>
              <w:lastRenderedPageBreak/>
              <w:t>Improving the operation of the framework</w:t>
            </w:r>
          </w:p>
        </w:tc>
      </w:tr>
      <w:tr w:rsidR="00A44478" w:rsidRPr="000179AE" w14:paraId="15EDE152" w14:textId="77777777" w:rsidTr="002678BC">
        <w:tc>
          <w:tcPr>
            <w:tcW w:w="9604" w:type="dxa"/>
            <w:gridSpan w:val="5"/>
            <w:tcBorders>
              <w:bottom w:val="nil"/>
            </w:tcBorders>
            <w:shd w:val="clear" w:color="auto" w:fill="B5DACE" w:themeFill="accent5" w:themeFillTint="40"/>
          </w:tcPr>
          <w:p w14:paraId="4CF2B3F0" w14:textId="77777777" w:rsidR="00A44478" w:rsidRPr="000179AE" w:rsidRDefault="00A44478" w:rsidP="00DB4089">
            <w:pPr>
              <w:pStyle w:val="TableBody"/>
              <w:keepNext/>
              <w:keepLines/>
              <w:spacing w:before="80" w:after="80"/>
              <w:ind w:left="142" w:right="119"/>
              <w:rPr>
                <w:rFonts w:ascii="Tahoma" w:hAnsi="Tahoma" w:cs="Tahoma"/>
                <w:b/>
                <w:bCs/>
                <w:color w:val="262626" w:themeColor="text1" w:themeTint="D9"/>
              </w:rPr>
            </w:pPr>
            <w:r>
              <w:rPr>
                <w:rFonts w:ascii="Tahoma" w:hAnsi="Tahoma" w:cs="Tahoma"/>
                <w:b/>
                <w:bCs/>
                <w:color w:val="262626" w:themeColor="text1" w:themeTint="D9"/>
              </w:rPr>
              <w:t>Customer outcomes vary significantly between and within retailers</w:t>
            </w:r>
          </w:p>
        </w:tc>
      </w:tr>
      <w:tr w:rsidR="00A44478" w:rsidRPr="000179AE" w14:paraId="1BB4CF2C" w14:textId="77777777" w:rsidTr="002678BC">
        <w:tc>
          <w:tcPr>
            <w:tcW w:w="1812" w:type="dxa"/>
            <w:gridSpan w:val="2"/>
            <w:vMerge w:val="restart"/>
            <w:shd w:val="clear" w:color="auto" w:fill="B5DACE" w:themeFill="accent5" w:themeFillTint="40"/>
            <w:vAlign w:val="center"/>
          </w:tcPr>
          <w:p w14:paraId="61E9C62D" w14:textId="77777777" w:rsidR="00A44478" w:rsidRPr="000179AE" w:rsidRDefault="00A44478" w:rsidP="00DB4089">
            <w:pPr>
              <w:pStyle w:val="TableBody"/>
              <w:keepNext/>
              <w:keepLines/>
              <w:ind w:left="284" w:right="-2"/>
              <w:jc w:val="center"/>
              <w:rPr>
                <w:rFonts w:ascii="Tahoma" w:hAnsi="Tahoma" w:cs="Tahoma"/>
                <w:noProof/>
                <w:color w:val="262626" w:themeColor="text1" w:themeTint="D9"/>
              </w:rPr>
            </w:pPr>
            <w:r w:rsidRPr="000179AE">
              <w:rPr>
                <w:rFonts w:ascii="Tahoma" w:hAnsi="Tahoma" w:cs="Tahoma"/>
                <w:noProof/>
                <w:color w:val="262626" w:themeColor="text1" w:themeTint="D9"/>
              </w:rPr>
              <w:drawing>
                <wp:inline distT="0" distB="0" distL="0" distR="0" wp14:anchorId="58247414" wp14:editId="1DD09060">
                  <wp:extent cx="864000" cy="864000"/>
                  <wp:effectExtent l="0" t="0" r="0" b="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6441" w:type="dxa"/>
            <w:gridSpan w:val="2"/>
            <w:tcBorders>
              <w:top w:val="nil"/>
              <w:bottom w:val="nil"/>
            </w:tcBorders>
            <w:shd w:val="clear" w:color="auto" w:fill="B5DACE" w:themeFill="accent5" w:themeFillTint="40"/>
          </w:tcPr>
          <w:p w14:paraId="60649FCF" w14:textId="77777777" w:rsidR="00A44478" w:rsidRPr="001551CC" w:rsidRDefault="00A44478" w:rsidP="00DB4089">
            <w:pPr>
              <w:pStyle w:val="ListBullet"/>
              <w:keepNext/>
              <w:keepLines/>
              <w:spacing w:before="0"/>
              <w:ind w:left="357" w:hanging="357"/>
              <w:contextualSpacing w:val="0"/>
            </w:pPr>
            <w:r w:rsidRPr="001551CC">
              <w:t xml:space="preserve">Improve </w:t>
            </w:r>
            <w:r>
              <w:t xml:space="preserve">retailers’ </w:t>
            </w:r>
            <w:r w:rsidRPr="001551CC">
              <w:t>effectiveness of establishing and reviewing payment arrangements and plans.</w:t>
            </w:r>
          </w:p>
        </w:tc>
        <w:tc>
          <w:tcPr>
            <w:tcW w:w="1351" w:type="dxa"/>
            <w:tcBorders>
              <w:top w:val="nil"/>
              <w:bottom w:val="nil"/>
            </w:tcBorders>
            <w:shd w:val="clear" w:color="auto" w:fill="B5DACE" w:themeFill="accent5" w:themeFillTint="40"/>
            <w:vAlign w:val="center"/>
          </w:tcPr>
          <w:p w14:paraId="0F53C4E2" w14:textId="77777777" w:rsidR="00A44478" w:rsidRPr="00C82D1A" w:rsidRDefault="00A44478" w:rsidP="00DB4089">
            <w:pPr>
              <w:pStyle w:val="ListBullet"/>
              <w:keepNext/>
              <w:keepLines/>
              <w:numPr>
                <w:ilvl w:val="0"/>
                <w:numId w:val="0"/>
              </w:numPr>
              <w:spacing w:before="0" w:line="240" w:lineRule="auto"/>
              <w:ind w:left="360"/>
              <w:jc w:val="center"/>
              <w:rPr>
                <w:b/>
                <w:bCs/>
                <w:color w:val="CE0058" w:themeColor="accent2"/>
              </w:rPr>
            </w:pPr>
            <w:r w:rsidRPr="00046BFF">
              <w:rPr>
                <w:b/>
                <w:bCs/>
                <w:color w:val="CE0058" w:themeColor="accent2"/>
              </w:rPr>
              <w:t>Priority</w:t>
            </w:r>
          </w:p>
        </w:tc>
      </w:tr>
      <w:tr w:rsidR="00A44478" w:rsidRPr="000179AE" w14:paraId="2753EED6" w14:textId="77777777" w:rsidTr="002678BC">
        <w:tc>
          <w:tcPr>
            <w:tcW w:w="1812" w:type="dxa"/>
            <w:gridSpan w:val="2"/>
            <w:vMerge/>
            <w:shd w:val="clear" w:color="auto" w:fill="B5DACE" w:themeFill="accent5" w:themeFillTint="40"/>
            <w:vAlign w:val="center"/>
          </w:tcPr>
          <w:p w14:paraId="027C7FE3" w14:textId="77777777" w:rsidR="00A44478" w:rsidRPr="000179AE" w:rsidRDefault="00A44478" w:rsidP="00DB4089">
            <w:pPr>
              <w:pStyle w:val="TableBody"/>
              <w:keepNext/>
              <w:keepLines/>
              <w:ind w:left="284" w:right="-2"/>
              <w:jc w:val="center"/>
              <w:rPr>
                <w:rFonts w:ascii="Tahoma" w:hAnsi="Tahoma" w:cs="Tahoma"/>
                <w:noProof/>
                <w:color w:val="262626" w:themeColor="text1" w:themeTint="D9"/>
              </w:rPr>
            </w:pPr>
          </w:p>
        </w:tc>
        <w:tc>
          <w:tcPr>
            <w:tcW w:w="6441" w:type="dxa"/>
            <w:gridSpan w:val="2"/>
            <w:tcBorders>
              <w:top w:val="nil"/>
              <w:bottom w:val="nil"/>
            </w:tcBorders>
            <w:shd w:val="clear" w:color="auto" w:fill="B5DACE" w:themeFill="accent5" w:themeFillTint="40"/>
          </w:tcPr>
          <w:p w14:paraId="7D42E414" w14:textId="77777777" w:rsidR="00A44478" w:rsidRPr="001551CC" w:rsidRDefault="00A44478" w:rsidP="00DB4089">
            <w:pPr>
              <w:pStyle w:val="ListBullet"/>
              <w:keepNext/>
              <w:keepLines/>
              <w:spacing w:before="0"/>
              <w:ind w:left="357" w:hanging="357"/>
              <w:contextualSpacing w:val="0"/>
            </w:pPr>
            <w:r w:rsidRPr="00C82D1A">
              <w:t xml:space="preserve">Improve customer access to payment arrangements </w:t>
            </w:r>
            <w:r>
              <w:t>from their retailer</w:t>
            </w:r>
            <w:r w:rsidRPr="00C82D1A">
              <w:t>.</w:t>
            </w:r>
          </w:p>
        </w:tc>
        <w:tc>
          <w:tcPr>
            <w:tcW w:w="1351" w:type="dxa"/>
            <w:tcBorders>
              <w:top w:val="nil"/>
              <w:bottom w:val="nil"/>
            </w:tcBorders>
            <w:shd w:val="clear" w:color="auto" w:fill="B5DACE" w:themeFill="accent5" w:themeFillTint="40"/>
          </w:tcPr>
          <w:p w14:paraId="0A34D173" w14:textId="77777777" w:rsidR="00A44478" w:rsidRPr="00C82D1A" w:rsidRDefault="00A44478" w:rsidP="00DB4089">
            <w:pPr>
              <w:pStyle w:val="TableBody"/>
              <w:keepNext/>
              <w:keepLines/>
              <w:ind w:left="360"/>
            </w:pPr>
          </w:p>
        </w:tc>
      </w:tr>
      <w:tr w:rsidR="00A44478" w:rsidRPr="000179AE" w14:paraId="25D9EA47" w14:textId="77777777" w:rsidTr="002678BC">
        <w:tc>
          <w:tcPr>
            <w:tcW w:w="1812" w:type="dxa"/>
            <w:gridSpan w:val="2"/>
            <w:vMerge/>
            <w:shd w:val="clear" w:color="auto" w:fill="B5DACE" w:themeFill="accent5" w:themeFillTint="40"/>
            <w:vAlign w:val="center"/>
          </w:tcPr>
          <w:p w14:paraId="59FE5B36" w14:textId="77777777" w:rsidR="00A44478" w:rsidRPr="000179AE" w:rsidRDefault="00A44478" w:rsidP="00DB4089">
            <w:pPr>
              <w:pStyle w:val="TableBody"/>
              <w:keepNext/>
              <w:keepLines/>
              <w:ind w:left="284" w:right="-2"/>
              <w:jc w:val="center"/>
              <w:rPr>
                <w:rFonts w:ascii="Tahoma" w:hAnsi="Tahoma" w:cs="Tahoma"/>
                <w:noProof/>
                <w:color w:val="262626" w:themeColor="text1" w:themeTint="D9"/>
              </w:rPr>
            </w:pPr>
          </w:p>
        </w:tc>
        <w:tc>
          <w:tcPr>
            <w:tcW w:w="6441" w:type="dxa"/>
            <w:gridSpan w:val="2"/>
            <w:tcBorders>
              <w:top w:val="nil"/>
              <w:bottom w:val="nil"/>
            </w:tcBorders>
            <w:shd w:val="clear" w:color="auto" w:fill="B5DACE" w:themeFill="accent5" w:themeFillTint="40"/>
          </w:tcPr>
          <w:p w14:paraId="0DFE0DCC" w14:textId="77777777" w:rsidR="00A44478" w:rsidRDefault="00A44478" w:rsidP="00DB4089">
            <w:pPr>
              <w:pStyle w:val="ListBullet"/>
              <w:keepNext/>
              <w:keepLines/>
              <w:spacing w:before="0"/>
              <w:ind w:left="357" w:hanging="357"/>
              <w:contextualSpacing w:val="0"/>
            </w:pPr>
            <w:r w:rsidRPr="001551CC">
              <w:t>Improve retailer processes to ensure eligible customers are receiving concessions and utility relief grants.</w:t>
            </w:r>
          </w:p>
        </w:tc>
        <w:tc>
          <w:tcPr>
            <w:tcW w:w="1351" w:type="dxa"/>
            <w:tcBorders>
              <w:top w:val="nil"/>
              <w:bottom w:val="nil"/>
            </w:tcBorders>
            <w:shd w:val="clear" w:color="auto" w:fill="B5DACE" w:themeFill="accent5" w:themeFillTint="40"/>
            <w:vAlign w:val="center"/>
          </w:tcPr>
          <w:p w14:paraId="66640327" w14:textId="77777777" w:rsidR="00A44478" w:rsidRPr="00C82D1A" w:rsidRDefault="00A44478" w:rsidP="00DB4089">
            <w:pPr>
              <w:pStyle w:val="ListBullet"/>
              <w:keepNext/>
              <w:keepLines/>
              <w:numPr>
                <w:ilvl w:val="0"/>
                <w:numId w:val="0"/>
              </w:numPr>
              <w:spacing w:before="0" w:line="240" w:lineRule="auto"/>
              <w:ind w:left="360"/>
              <w:jc w:val="center"/>
              <w:rPr>
                <w:b/>
                <w:bCs/>
                <w:color w:val="CE0058" w:themeColor="accent2"/>
              </w:rPr>
            </w:pPr>
            <w:r w:rsidRPr="00046BFF">
              <w:rPr>
                <w:b/>
                <w:bCs/>
                <w:color w:val="CE0058" w:themeColor="accent2"/>
              </w:rPr>
              <w:t>Priority</w:t>
            </w:r>
          </w:p>
        </w:tc>
      </w:tr>
      <w:tr w:rsidR="00A44478" w:rsidRPr="000179AE" w14:paraId="7736BF29" w14:textId="77777777" w:rsidTr="002678BC">
        <w:tc>
          <w:tcPr>
            <w:tcW w:w="1812" w:type="dxa"/>
            <w:gridSpan w:val="2"/>
            <w:vMerge/>
            <w:shd w:val="clear" w:color="auto" w:fill="B5DACE" w:themeFill="accent5" w:themeFillTint="40"/>
            <w:vAlign w:val="center"/>
          </w:tcPr>
          <w:p w14:paraId="33FD69FB" w14:textId="77777777" w:rsidR="00A44478" w:rsidRPr="000179AE" w:rsidRDefault="00A44478" w:rsidP="00DB4089">
            <w:pPr>
              <w:pStyle w:val="TableBody"/>
              <w:keepNext/>
              <w:keepLines/>
              <w:ind w:left="284" w:right="-2"/>
              <w:jc w:val="center"/>
              <w:rPr>
                <w:rFonts w:ascii="Tahoma" w:hAnsi="Tahoma" w:cs="Tahoma"/>
                <w:noProof/>
                <w:color w:val="262626" w:themeColor="text1" w:themeTint="D9"/>
              </w:rPr>
            </w:pPr>
          </w:p>
        </w:tc>
        <w:tc>
          <w:tcPr>
            <w:tcW w:w="6441" w:type="dxa"/>
            <w:gridSpan w:val="2"/>
            <w:tcBorders>
              <w:top w:val="nil"/>
              <w:bottom w:val="nil"/>
            </w:tcBorders>
            <w:shd w:val="clear" w:color="auto" w:fill="B5DACE" w:themeFill="accent5" w:themeFillTint="40"/>
          </w:tcPr>
          <w:p w14:paraId="1BD780E7" w14:textId="77777777" w:rsidR="00A44478" w:rsidRDefault="00A44478" w:rsidP="00DB4089">
            <w:pPr>
              <w:pStyle w:val="ListBullet"/>
              <w:keepNext/>
              <w:keepLines/>
              <w:spacing w:before="0"/>
              <w:ind w:left="357" w:hanging="357"/>
              <w:contextualSpacing w:val="0"/>
            </w:pPr>
            <w:r w:rsidRPr="001551CC">
              <w:t xml:space="preserve">Improve appropriateness and timing of assistance provided </w:t>
            </w:r>
            <w:r>
              <w:t xml:space="preserve">by retailers </w:t>
            </w:r>
            <w:r w:rsidRPr="001551CC">
              <w:t>to customers about lowering energy usage and costs.</w:t>
            </w:r>
          </w:p>
        </w:tc>
        <w:tc>
          <w:tcPr>
            <w:tcW w:w="1351" w:type="dxa"/>
            <w:tcBorders>
              <w:top w:val="nil"/>
              <w:bottom w:val="nil"/>
            </w:tcBorders>
            <w:shd w:val="clear" w:color="auto" w:fill="B5DACE" w:themeFill="accent5" w:themeFillTint="40"/>
            <w:vAlign w:val="center"/>
          </w:tcPr>
          <w:p w14:paraId="3578D2AB" w14:textId="77777777" w:rsidR="00A44478" w:rsidRPr="00C82D1A" w:rsidRDefault="00A44478" w:rsidP="00DB4089">
            <w:pPr>
              <w:pStyle w:val="ListBullet"/>
              <w:keepNext/>
              <w:keepLines/>
              <w:numPr>
                <w:ilvl w:val="0"/>
                <w:numId w:val="0"/>
              </w:numPr>
              <w:spacing w:before="0" w:line="240" w:lineRule="auto"/>
              <w:ind w:left="360"/>
              <w:jc w:val="center"/>
              <w:rPr>
                <w:b/>
                <w:bCs/>
                <w:color w:val="CE0058" w:themeColor="accent2"/>
              </w:rPr>
            </w:pPr>
            <w:r w:rsidRPr="00046BFF">
              <w:rPr>
                <w:b/>
                <w:bCs/>
                <w:color w:val="CE0058" w:themeColor="accent2"/>
              </w:rPr>
              <w:t>Priority</w:t>
            </w:r>
          </w:p>
        </w:tc>
      </w:tr>
      <w:tr w:rsidR="00A44478" w:rsidRPr="000179AE" w14:paraId="3AF940B3" w14:textId="77777777" w:rsidTr="002678BC">
        <w:tc>
          <w:tcPr>
            <w:tcW w:w="1812" w:type="dxa"/>
            <w:gridSpan w:val="2"/>
            <w:vMerge/>
            <w:shd w:val="clear" w:color="auto" w:fill="B5DACE" w:themeFill="accent5" w:themeFillTint="40"/>
            <w:vAlign w:val="center"/>
          </w:tcPr>
          <w:p w14:paraId="0A508E52" w14:textId="77777777" w:rsidR="00A44478" w:rsidRPr="000179AE" w:rsidRDefault="00A44478" w:rsidP="00DB4089">
            <w:pPr>
              <w:pStyle w:val="TableBody"/>
              <w:keepNext/>
              <w:keepLines/>
              <w:ind w:left="284" w:right="-2"/>
              <w:jc w:val="center"/>
              <w:rPr>
                <w:rFonts w:ascii="Tahoma" w:hAnsi="Tahoma" w:cs="Tahoma"/>
                <w:noProof/>
                <w:color w:val="262626" w:themeColor="text1" w:themeTint="D9"/>
              </w:rPr>
            </w:pPr>
          </w:p>
        </w:tc>
        <w:tc>
          <w:tcPr>
            <w:tcW w:w="6441" w:type="dxa"/>
            <w:gridSpan w:val="2"/>
            <w:tcBorders>
              <w:top w:val="nil"/>
              <w:bottom w:val="nil"/>
            </w:tcBorders>
            <w:shd w:val="clear" w:color="auto" w:fill="B5DACE" w:themeFill="accent5" w:themeFillTint="40"/>
          </w:tcPr>
          <w:p w14:paraId="4F708E2B" w14:textId="77777777" w:rsidR="00A44478" w:rsidRDefault="00A44478" w:rsidP="00DB4089">
            <w:pPr>
              <w:pStyle w:val="ListBullet"/>
              <w:keepNext/>
              <w:keepLines/>
              <w:spacing w:before="0"/>
              <w:ind w:left="357" w:hanging="357"/>
              <w:contextualSpacing w:val="0"/>
            </w:pPr>
            <w:r>
              <w:t xml:space="preserve">Increase retailers’ </w:t>
            </w:r>
            <w:r w:rsidRPr="001551CC">
              <w:t>understanding of customers in payment difficulty with high energy use, to help to tailor approaches to energy efficiency.</w:t>
            </w:r>
          </w:p>
        </w:tc>
        <w:tc>
          <w:tcPr>
            <w:tcW w:w="1351" w:type="dxa"/>
            <w:tcBorders>
              <w:top w:val="nil"/>
              <w:bottom w:val="nil"/>
            </w:tcBorders>
            <w:shd w:val="clear" w:color="auto" w:fill="B5DACE" w:themeFill="accent5" w:themeFillTint="40"/>
            <w:vAlign w:val="center"/>
          </w:tcPr>
          <w:p w14:paraId="2C0AF22C" w14:textId="77777777" w:rsidR="00A44478" w:rsidRPr="00C22106" w:rsidRDefault="00A44478" w:rsidP="00DB4089">
            <w:pPr>
              <w:pStyle w:val="TableBody"/>
              <w:keepNext/>
              <w:keepLines/>
              <w:ind w:left="360"/>
            </w:pPr>
          </w:p>
        </w:tc>
      </w:tr>
      <w:tr w:rsidR="00A44478" w:rsidRPr="000179AE" w14:paraId="66499F88" w14:textId="77777777" w:rsidTr="002678BC">
        <w:tc>
          <w:tcPr>
            <w:tcW w:w="1812" w:type="dxa"/>
            <w:gridSpan w:val="2"/>
            <w:vMerge/>
            <w:shd w:val="clear" w:color="auto" w:fill="B5DACE" w:themeFill="accent5" w:themeFillTint="40"/>
            <w:vAlign w:val="center"/>
          </w:tcPr>
          <w:p w14:paraId="0733EE25" w14:textId="77777777" w:rsidR="00A44478" w:rsidRPr="000179AE" w:rsidRDefault="00A44478" w:rsidP="00DB4089">
            <w:pPr>
              <w:pStyle w:val="TableBody"/>
              <w:keepNext/>
              <w:keepLines/>
              <w:ind w:left="284" w:right="-2"/>
              <w:jc w:val="center"/>
              <w:rPr>
                <w:rFonts w:ascii="Tahoma" w:hAnsi="Tahoma" w:cs="Tahoma"/>
                <w:noProof/>
                <w:color w:val="262626" w:themeColor="text1" w:themeTint="D9"/>
              </w:rPr>
            </w:pPr>
          </w:p>
        </w:tc>
        <w:tc>
          <w:tcPr>
            <w:tcW w:w="6441" w:type="dxa"/>
            <w:gridSpan w:val="2"/>
            <w:tcBorders>
              <w:top w:val="nil"/>
              <w:bottom w:val="nil"/>
            </w:tcBorders>
            <w:shd w:val="clear" w:color="auto" w:fill="B5DACE" w:themeFill="accent5" w:themeFillTint="40"/>
          </w:tcPr>
          <w:p w14:paraId="6E43B01F" w14:textId="77777777" w:rsidR="00A44478" w:rsidRDefault="00A44478" w:rsidP="00DB4089">
            <w:pPr>
              <w:pStyle w:val="ListBullet"/>
              <w:keepNext/>
              <w:keepLines/>
              <w:spacing w:before="0"/>
              <w:ind w:left="357" w:hanging="357"/>
              <w:contextualSpacing w:val="0"/>
            </w:pPr>
            <w:r>
              <w:t xml:space="preserve">Improve the way that retailers link customers </w:t>
            </w:r>
            <w:r w:rsidRPr="001551CC">
              <w:t>to existing energy efficiency and usage schemes and programs.</w:t>
            </w:r>
          </w:p>
        </w:tc>
        <w:tc>
          <w:tcPr>
            <w:tcW w:w="1351" w:type="dxa"/>
            <w:tcBorders>
              <w:top w:val="nil"/>
              <w:bottom w:val="nil"/>
            </w:tcBorders>
            <w:shd w:val="clear" w:color="auto" w:fill="B5DACE" w:themeFill="accent5" w:themeFillTint="40"/>
            <w:vAlign w:val="center"/>
          </w:tcPr>
          <w:p w14:paraId="35C87552" w14:textId="77777777" w:rsidR="00A44478" w:rsidRPr="00C22106" w:rsidRDefault="00A44478" w:rsidP="00DB4089">
            <w:pPr>
              <w:pStyle w:val="TableBody"/>
              <w:keepNext/>
              <w:keepLines/>
              <w:ind w:left="360"/>
            </w:pPr>
          </w:p>
        </w:tc>
      </w:tr>
      <w:tr w:rsidR="00A44478" w:rsidRPr="000179AE" w14:paraId="329C8BB8" w14:textId="77777777" w:rsidTr="002678BC">
        <w:tc>
          <w:tcPr>
            <w:tcW w:w="9604" w:type="dxa"/>
            <w:gridSpan w:val="5"/>
            <w:tcBorders>
              <w:top w:val="single" w:sz="24" w:space="0" w:color="6CB59D" w:themeColor="accent5" w:themeTint="80"/>
              <w:bottom w:val="nil"/>
            </w:tcBorders>
            <w:shd w:val="clear" w:color="auto" w:fill="B5DACE" w:themeFill="accent5" w:themeFillTint="40"/>
          </w:tcPr>
          <w:p w14:paraId="317A0EF5" w14:textId="77777777" w:rsidR="00A44478" w:rsidRPr="000179AE" w:rsidRDefault="00A44478" w:rsidP="008F5117">
            <w:pPr>
              <w:pStyle w:val="TableBody"/>
              <w:keepNext/>
              <w:keepLines/>
              <w:spacing w:before="80" w:after="80"/>
              <w:ind w:left="142" w:right="119"/>
              <w:rPr>
                <w:rFonts w:ascii="Tahoma" w:hAnsi="Tahoma" w:cs="Tahoma"/>
                <w:b/>
                <w:bCs/>
                <w:color w:val="262626" w:themeColor="text1" w:themeTint="D9"/>
              </w:rPr>
            </w:pPr>
            <w:r w:rsidRPr="0013353A">
              <w:rPr>
                <w:rFonts w:ascii="Tahoma" w:hAnsi="Tahoma" w:cs="Tahoma"/>
                <w:b/>
                <w:bCs/>
                <w:color w:val="262626" w:themeColor="text1" w:themeTint="D9"/>
              </w:rPr>
              <w:t xml:space="preserve">The level and quality of retailer-customer engagement </w:t>
            </w:r>
            <w:r>
              <w:rPr>
                <w:rFonts w:ascii="Tahoma" w:hAnsi="Tahoma" w:cs="Tahoma"/>
                <w:b/>
                <w:bCs/>
                <w:color w:val="262626" w:themeColor="text1" w:themeTint="D9"/>
              </w:rPr>
              <w:t>a</w:t>
            </w:r>
            <w:r w:rsidRPr="0013353A">
              <w:rPr>
                <w:rFonts w:ascii="Tahoma" w:hAnsi="Tahoma" w:cs="Tahoma"/>
                <w:b/>
                <w:bCs/>
                <w:color w:val="262626" w:themeColor="text1" w:themeTint="D9"/>
              </w:rPr>
              <w:t>ffects customer outcomes</w:t>
            </w:r>
          </w:p>
        </w:tc>
      </w:tr>
      <w:tr w:rsidR="00A44478" w:rsidRPr="000179AE" w14:paraId="20E8E19E" w14:textId="77777777" w:rsidTr="002678BC">
        <w:tc>
          <w:tcPr>
            <w:tcW w:w="1812" w:type="dxa"/>
            <w:gridSpan w:val="2"/>
            <w:vMerge w:val="restart"/>
            <w:tcBorders>
              <w:top w:val="nil"/>
            </w:tcBorders>
            <w:shd w:val="clear" w:color="auto" w:fill="B5DACE" w:themeFill="accent5" w:themeFillTint="40"/>
            <w:vAlign w:val="center"/>
          </w:tcPr>
          <w:p w14:paraId="3AA8ECF5" w14:textId="77777777" w:rsidR="00A44478" w:rsidRPr="000179AE" w:rsidRDefault="00A44478" w:rsidP="00DB4089">
            <w:pPr>
              <w:pStyle w:val="TableBody"/>
              <w:keepNext/>
              <w:keepLines/>
              <w:ind w:left="284" w:right="-2"/>
              <w:jc w:val="center"/>
              <w:rPr>
                <w:noProof/>
                <w:color w:val="262626" w:themeColor="text1" w:themeTint="D9"/>
              </w:rPr>
            </w:pPr>
            <w:r w:rsidRPr="000179AE">
              <w:rPr>
                <w:noProof/>
                <w:color w:val="262626" w:themeColor="text1" w:themeTint="D9"/>
              </w:rPr>
              <w:drawing>
                <wp:inline distT="0" distB="0" distL="0" distR="0" wp14:anchorId="758AD81F" wp14:editId="653F775C">
                  <wp:extent cx="864000" cy="864000"/>
                  <wp:effectExtent l="0" t="0" r="0"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6441" w:type="dxa"/>
            <w:gridSpan w:val="2"/>
            <w:tcBorders>
              <w:top w:val="nil"/>
              <w:bottom w:val="nil"/>
            </w:tcBorders>
            <w:shd w:val="clear" w:color="auto" w:fill="B5DACE" w:themeFill="accent5" w:themeFillTint="40"/>
          </w:tcPr>
          <w:p w14:paraId="7D97480B" w14:textId="77777777" w:rsidR="00A44478" w:rsidRPr="00046BFF" w:rsidRDefault="00A44478" w:rsidP="00DB4089">
            <w:pPr>
              <w:pStyle w:val="ListBullet"/>
              <w:keepNext/>
              <w:keepLines/>
              <w:spacing w:before="0"/>
              <w:ind w:left="357" w:hanging="357"/>
              <w:contextualSpacing w:val="0"/>
            </w:pPr>
            <w:r w:rsidRPr="001551CC">
              <w:t>Improve retailer interactions with customers, focusing on communication that recognises a customer's circumstances, including the barriers they may be facing.</w:t>
            </w:r>
          </w:p>
        </w:tc>
        <w:tc>
          <w:tcPr>
            <w:tcW w:w="1351" w:type="dxa"/>
            <w:tcBorders>
              <w:top w:val="nil"/>
              <w:bottom w:val="nil"/>
            </w:tcBorders>
            <w:shd w:val="clear" w:color="auto" w:fill="B5DACE" w:themeFill="accent5" w:themeFillTint="40"/>
            <w:vAlign w:val="center"/>
          </w:tcPr>
          <w:p w14:paraId="2FB3D46B" w14:textId="77777777" w:rsidR="00A44478" w:rsidRPr="00046BFF" w:rsidRDefault="00A44478" w:rsidP="00DB4089">
            <w:pPr>
              <w:pStyle w:val="ListBullet"/>
              <w:keepNext/>
              <w:keepLines/>
              <w:numPr>
                <w:ilvl w:val="0"/>
                <w:numId w:val="0"/>
              </w:numPr>
              <w:spacing w:before="0" w:line="240" w:lineRule="auto"/>
              <w:ind w:left="360"/>
              <w:jc w:val="center"/>
              <w:rPr>
                <w:b/>
                <w:bCs/>
                <w:color w:val="CE0058" w:themeColor="accent2"/>
              </w:rPr>
            </w:pPr>
            <w:r w:rsidRPr="00046BFF">
              <w:rPr>
                <w:b/>
                <w:bCs/>
                <w:color w:val="CE0058" w:themeColor="accent2"/>
              </w:rPr>
              <w:t>Priority</w:t>
            </w:r>
          </w:p>
        </w:tc>
      </w:tr>
      <w:tr w:rsidR="00A44478" w:rsidRPr="000179AE" w14:paraId="3252AE31" w14:textId="77777777" w:rsidTr="002678BC">
        <w:tc>
          <w:tcPr>
            <w:tcW w:w="1812" w:type="dxa"/>
            <w:gridSpan w:val="2"/>
            <w:vMerge/>
            <w:shd w:val="clear" w:color="auto" w:fill="B5DACE" w:themeFill="accent5" w:themeFillTint="40"/>
            <w:vAlign w:val="center"/>
          </w:tcPr>
          <w:p w14:paraId="21242E96" w14:textId="77777777" w:rsidR="00A44478" w:rsidRPr="0042768D" w:rsidRDefault="00A44478" w:rsidP="00DB4089">
            <w:pPr>
              <w:pStyle w:val="TableBody"/>
              <w:keepNext/>
              <w:keepLines/>
              <w:ind w:left="284" w:right="-2"/>
              <w:jc w:val="center"/>
              <w:rPr>
                <w:rFonts w:ascii="Tahoma" w:hAnsi="Tahoma" w:cs="Tahoma"/>
                <w:color w:val="262626" w:themeColor="text1" w:themeTint="D9"/>
                <w:highlight w:val="yellow"/>
              </w:rPr>
            </w:pPr>
          </w:p>
        </w:tc>
        <w:tc>
          <w:tcPr>
            <w:tcW w:w="6441" w:type="dxa"/>
            <w:gridSpan w:val="2"/>
            <w:tcBorders>
              <w:top w:val="nil"/>
              <w:bottom w:val="nil"/>
            </w:tcBorders>
            <w:shd w:val="clear" w:color="auto" w:fill="B5DACE" w:themeFill="accent5" w:themeFillTint="40"/>
          </w:tcPr>
          <w:p w14:paraId="041BEF36" w14:textId="77777777" w:rsidR="00A44478" w:rsidRDefault="00A44478" w:rsidP="00DB4089">
            <w:pPr>
              <w:pStyle w:val="ListBullet"/>
              <w:keepNext/>
              <w:keepLines/>
              <w:spacing w:before="0"/>
              <w:ind w:left="357" w:hanging="357"/>
              <w:contextualSpacing w:val="0"/>
            </w:pPr>
            <w:r w:rsidRPr="00BE4702">
              <w:t>Further support customers’ entitlement to assistance during retailer communication</w:t>
            </w:r>
            <w:r w:rsidRPr="00046BFF">
              <w:t>.</w:t>
            </w:r>
          </w:p>
        </w:tc>
        <w:tc>
          <w:tcPr>
            <w:tcW w:w="1351" w:type="dxa"/>
            <w:tcBorders>
              <w:top w:val="nil"/>
              <w:bottom w:val="nil"/>
            </w:tcBorders>
            <w:shd w:val="clear" w:color="auto" w:fill="B5DACE" w:themeFill="accent5" w:themeFillTint="40"/>
            <w:vAlign w:val="center"/>
          </w:tcPr>
          <w:p w14:paraId="3EB49F5E" w14:textId="77777777" w:rsidR="00A44478" w:rsidRPr="00062623" w:rsidRDefault="00A44478" w:rsidP="00DB4089">
            <w:pPr>
              <w:pStyle w:val="TableBody"/>
              <w:keepNext/>
              <w:keepLines/>
              <w:ind w:left="360"/>
            </w:pPr>
          </w:p>
        </w:tc>
      </w:tr>
      <w:tr w:rsidR="00A44478" w:rsidRPr="000179AE" w14:paraId="69C662A1" w14:textId="77777777" w:rsidTr="002678BC">
        <w:tc>
          <w:tcPr>
            <w:tcW w:w="1812" w:type="dxa"/>
            <w:gridSpan w:val="2"/>
            <w:vMerge/>
            <w:shd w:val="clear" w:color="auto" w:fill="B5DACE" w:themeFill="accent5" w:themeFillTint="40"/>
            <w:vAlign w:val="center"/>
          </w:tcPr>
          <w:p w14:paraId="28F16DDC" w14:textId="77777777" w:rsidR="00A44478" w:rsidRPr="000179AE" w:rsidRDefault="00A44478" w:rsidP="00DB4089">
            <w:pPr>
              <w:pStyle w:val="TableBody"/>
              <w:keepNext/>
              <w:keepLines/>
              <w:ind w:left="284" w:right="-2"/>
              <w:jc w:val="center"/>
              <w:rPr>
                <w:noProof/>
                <w:color w:val="262626" w:themeColor="text1" w:themeTint="D9"/>
              </w:rPr>
            </w:pPr>
          </w:p>
        </w:tc>
        <w:tc>
          <w:tcPr>
            <w:tcW w:w="6441" w:type="dxa"/>
            <w:gridSpan w:val="2"/>
            <w:tcBorders>
              <w:top w:val="nil"/>
              <w:bottom w:val="nil"/>
            </w:tcBorders>
            <w:shd w:val="clear" w:color="auto" w:fill="B5DACE" w:themeFill="accent5" w:themeFillTint="40"/>
          </w:tcPr>
          <w:p w14:paraId="51106584" w14:textId="77777777" w:rsidR="00A44478" w:rsidRPr="0013353A" w:rsidRDefault="00A44478" w:rsidP="00DB4089">
            <w:pPr>
              <w:pStyle w:val="ListBullet"/>
              <w:keepNext/>
              <w:keepLines/>
              <w:spacing w:before="0"/>
              <w:ind w:left="357" w:hanging="357"/>
              <w:contextualSpacing w:val="0"/>
            </w:pPr>
            <w:r w:rsidRPr="00046BFF">
              <w:t xml:space="preserve">Promote earlier </w:t>
            </w:r>
            <w:r>
              <w:t xml:space="preserve">customer </w:t>
            </w:r>
            <w:r w:rsidRPr="00046BFF">
              <w:t xml:space="preserve">engagement </w:t>
            </w:r>
            <w:r>
              <w:t>by retailers</w:t>
            </w:r>
            <w:r w:rsidRPr="00046BFF">
              <w:t>.</w:t>
            </w:r>
          </w:p>
        </w:tc>
        <w:tc>
          <w:tcPr>
            <w:tcW w:w="1351" w:type="dxa"/>
            <w:tcBorders>
              <w:top w:val="nil"/>
              <w:bottom w:val="nil"/>
            </w:tcBorders>
            <w:shd w:val="clear" w:color="auto" w:fill="B5DACE" w:themeFill="accent5" w:themeFillTint="40"/>
            <w:vAlign w:val="center"/>
          </w:tcPr>
          <w:p w14:paraId="7D135590" w14:textId="77777777" w:rsidR="00A44478" w:rsidRPr="00062623" w:rsidRDefault="00A44478" w:rsidP="00DB4089">
            <w:pPr>
              <w:pStyle w:val="TableBody"/>
              <w:keepNext/>
              <w:keepLines/>
              <w:ind w:left="360"/>
            </w:pPr>
          </w:p>
        </w:tc>
      </w:tr>
      <w:tr w:rsidR="00A44478" w:rsidRPr="000179AE" w14:paraId="24206A6C" w14:textId="77777777" w:rsidTr="002678BC">
        <w:tc>
          <w:tcPr>
            <w:tcW w:w="1812" w:type="dxa"/>
            <w:gridSpan w:val="2"/>
            <w:vMerge/>
            <w:tcBorders>
              <w:bottom w:val="single" w:sz="24" w:space="0" w:color="6CB59D" w:themeColor="accent5" w:themeTint="80"/>
            </w:tcBorders>
            <w:shd w:val="clear" w:color="auto" w:fill="B5DACE" w:themeFill="accent5" w:themeFillTint="40"/>
            <w:vAlign w:val="center"/>
          </w:tcPr>
          <w:p w14:paraId="7AC2BB49" w14:textId="77777777" w:rsidR="00A44478" w:rsidRPr="000179AE" w:rsidRDefault="00A44478" w:rsidP="00DB4089">
            <w:pPr>
              <w:pStyle w:val="TableBody"/>
              <w:keepNext/>
              <w:keepLines/>
              <w:ind w:left="284" w:right="-2"/>
              <w:jc w:val="center"/>
              <w:rPr>
                <w:noProof/>
                <w:color w:val="262626" w:themeColor="text1" w:themeTint="D9"/>
              </w:rPr>
            </w:pPr>
          </w:p>
        </w:tc>
        <w:tc>
          <w:tcPr>
            <w:tcW w:w="6441" w:type="dxa"/>
            <w:gridSpan w:val="2"/>
            <w:tcBorders>
              <w:top w:val="nil"/>
              <w:bottom w:val="single" w:sz="24" w:space="0" w:color="6CB59D" w:themeColor="accent5" w:themeTint="80"/>
            </w:tcBorders>
            <w:shd w:val="clear" w:color="auto" w:fill="B5DACE" w:themeFill="accent5" w:themeFillTint="40"/>
          </w:tcPr>
          <w:p w14:paraId="1B97E8F1" w14:textId="77777777" w:rsidR="00A44478" w:rsidRPr="0013353A" w:rsidRDefault="00A44478" w:rsidP="00DB4089">
            <w:pPr>
              <w:pStyle w:val="ListBullet"/>
              <w:keepNext/>
              <w:keepLines/>
              <w:spacing w:before="0"/>
              <w:ind w:left="357" w:hanging="357"/>
              <w:contextualSpacing w:val="0"/>
            </w:pPr>
            <w:r w:rsidRPr="00046BFF">
              <w:t xml:space="preserve">Improve </w:t>
            </w:r>
            <w:r>
              <w:t xml:space="preserve">retailer links with </w:t>
            </w:r>
            <w:r w:rsidRPr="00046BFF">
              <w:t>trusted third parties who support their clients or customers.</w:t>
            </w:r>
          </w:p>
        </w:tc>
        <w:tc>
          <w:tcPr>
            <w:tcW w:w="1351" w:type="dxa"/>
            <w:tcBorders>
              <w:top w:val="nil"/>
              <w:bottom w:val="single" w:sz="24" w:space="0" w:color="6CB59D" w:themeColor="accent5" w:themeTint="80"/>
            </w:tcBorders>
            <w:shd w:val="clear" w:color="auto" w:fill="B5DACE" w:themeFill="accent5" w:themeFillTint="40"/>
            <w:vAlign w:val="center"/>
          </w:tcPr>
          <w:p w14:paraId="2DD01E20" w14:textId="77777777" w:rsidR="00A44478" w:rsidRPr="00046BFF" w:rsidRDefault="00A44478" w:rsidP="00DB4089">
            <w:pPr>
              <w:pStyle w:val="TableBody"/>
              <w:keepNext/>
              <w:keepLines/>
              <w:ind w:left="360"/>
            </w:pPr>
          </w:p>
        </w:tc>
      </w:tr>
      <w:tr w:rsidR="00A44478" w:rsidRPr="000179AE" w14:paraId="23D57E87" w14:textId="77777777" w:rsidTr="002678BC">
        <w:tc>
          <w:tcPr>
            <w:tcW w:w="9604" w:type="dxa"/>
            <w:gridSpan w:val="5"/>
            <w:tcBorders>
              <w:top w:val="single" w:sz="24" w:space="0" w:color="6CB59D" w:themeColor="accent5" w:themeTint="80"/>
              <w:bottom w:val="nil"/>
            </w:tcBorders>
            <w:shd w:val="clear" w:color="auto" w:fill="B5DACE" w:themeFill="accent5" w:themeFillTint="40"/>
          </w:tcPr>
          <w:p w14:paraId="0A9F7EF0" w14:textId="77777777" w:rsidR="00A44478" w:rsidRPr="000179AE" w:rsidRDefault="00A44478" w:rsidP="00DB4089">
            <w:pPr>
              <w:pStyle w:val="TableBody"/>
              <w:keepNext/>
              <w:keepLines/>
              <w:spacing w:before="120" w:after="80"/>
              <w:ind w:left="142" w:right="119"/>
              <w:rPr>
                <w:rFonts w:ascii="Tahoma" w:hAnsi="Tahoma" w:cs="Tahoma"/>
                <w:b/>
                <w:bCs/>
                <w:color w:val="262626" w:themeColor="text1" w:themeTint="D9"/>
              </w:rPr>
            </w:pPr>
            <w:r w:rsidRPr="0013353A">
              <w:rPr>
                <w:rFonts w:ascii="Tahoma" w:hAnsi="Tahoma" w:cs="Tahoma"/>
                <w:b/>
                <w:bCs/>
                <w:color w:val="262626" w:themeColor="text1" w:themeTint="D9"/>
              </w:rPr>
              <w:t>Customers who can pay for their ongoing energy use benefit most</w:t>
            </w:r>
          </w:p>
        </w:tc>
      </w:tr>
      <w:tr w:rsidR="00A44478" w:rsidRPr="000179AE" w14:paraId="666552C0" w14:textId="77777777" w:rsidTr="002678BC">
        <w:tc>
          <w:tcPr>
            <w:tcW w:w="1781" w:type="dxa"/>
            <w:tcBorders>
              <w:bottom w:val="single" w:sz="24" w:space="0" w:color="6CB59D" w:themeColor="accent5" w:themeTint="80"/>
            </w:tcBorders>
            <w:shd w:val="clear" w:color="auto" w:fill="B5DACE" w:themeFill="accent5" w:themeFillTint="40"/>
            <w:vAlign w:val="center"/>
          </w:tcPr>
          <w:p w14:paraId="5063C381" w14:textId="77777777" w:rsidR="00A44478" w:rsidRPr="00BA09A0" w:rsidRDefault="00A44478" w:rsidP="00DB4089">
            <w:pPr>
              <w:pStyle w:val="TableBody"/>
              <w:keepNext/>
              <w:keepLines/>
              <w:ind w:left="284" w:right="-2"/>
              <w:jc w:val="center"/>
              <w:rPr>
                <w:rFonts w:ascii="Tahoma" w:hAnsi="Tahoma" w:cs="Tahoma"/>
                <w:b/>
                <w:bCs/>
                <w:noProof/>
                <w:color w:val="262626" w:themeColor="text1" w:themeTint="D9"/>
              </w:rPr>
            </w:pPr>
            <w:r w:rsidRPr="00BA09A0">
              <w:rPr>
                <w:rFonts w:ascii="Tahoma" w:hAnsi="Tahoma" w:cs="Tahoma"/>
                <w:b/>
                <w:bCs/>
                <w:noProof/>
                <w:color w:val="262626" w:themeColor="text1" w:themeTint="D9"/>
              </w:rPr>
              <w:drawing>
                <wp:inline distT="0" distB="0" distL="0" distR="0" wp14:anchorId="02E00BA3" wp14:editId="4ED2DF02">
                  <wp:extent cx="720000" cy="720000"/>
                  <wp:effectExtent l="0" t="0" r="4445"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442" w:type="dxa"/>
            <w:gridSpan w:val="2"/>
            <w:tcBorders>
              <w:top w:val="nil"/>
              <w:bottom w:val="single" w:sz="24" w:space="0" w:color="6CB59D" w:themeColor="accent5" w:themeTint="80"/>
            </w:tcBorders>
            <w:shd w:val="clear" w:color="auto" w:fill="B5DACE" w:themeFill="accent5" w:themeFillTint="40"/>
            <w:vAlign w:val="center"/>
          </w:tcPr>
          <w:p w14:paraId="1E500A20" w14:textId="77777777" w:rsidR="00A44478" w:rsidRPr="0013353A" w:rsidRDefault="00A44478" w:rsidP="00DB4089">
            <w:pPr>
              <w:pStyle w:val="ListBullet"/>
              <w:keepNext/>
              <w:keepLines/>
              <w:spacing w:before="0"/>
              <w:ind w:left="357" w:hanging="357"/>
              <w:contextualSpacing w:val="0"/>
            </w:pPr>
            <w:r w:rsidRPr="0013353A">
              <w:t xml:space="preserve">Consider alternative approaches to support customers prior to disconnection, particularly for those who cannot pay </w:t>
            </w:r>
            <w:r>
              <w:t xml:space="preserve">for </w:t>
            </w:r>
            <w:r w:rsidRPr="0013353A">
              <w:t>on-going use</w:t>
            </w:r>
          </w:p>
        </w:tc>
        <w:tc>
          <w:tcPr>
            <w:tcW w:w="1381" w:type="dxa"/>
            <w:gridSpan w:val="2"/>
            <w:tcBorders>
              <w:top w:val="nil"/>
              <w:bottom w:val="single" w:sz="24" w:space="0" w:color="6CB59D" w:themeColor="accent5" w:themeTint="80"/>
            </w:tcBorders>
            <w:shd w:val="clear" w:color="auto" w:fill="B5DACE" w:themeFill="accent5" w:themeFillTint="40"/>
            <w:vAlign w:val="center"/>
          </w:tcPr>
          <w:p w14:paraId="7FA1346E" w14:textId="77777777" w:rsidR="00A44478" w:rsidRDefault="00A44478" w:rsidP="00DB4089">
            <w:pPr>
              <w:pStyle w:val="TableBody"/>
              <w:keepNext/>
              <w:keepLines/>
            </w:pPr>
          </w:p>
        </w:tc>
      </w:tr>
    </w:tbl>
    <w:p w14:paraId="78F8F7FC" w14:textId="45C71F88" w:rsidR="00A441B6" w:rsidRDefault="00A44478" w:rsidP="00A441B6">
      <w:pPr>
        <w:pStyle w:val="Heading2"/>
      </w:pPr>
      <w:bookmarkStart w:id="36" w:name="_Toc104850109"/>
      <w:r>
        <w:lastRenderedPageBreak/>
        <w:t>I</w:t>
      </w:r>
      <w:r w:rsidR="00A441B6">
        <w:t>mprov</w:t>
      </w:r>
      <w:r>
        <w:t>ing the operation of the framework</w:t>
      </w:r>
      <w:bookmarkEnd w:id="36"/>
    </w:p>
    <w:p w14:paraId="14EF3F75" w14:textId="38867E7F" w:rsidR="00B20470" w:rsidRDefault="00A441B6" w:rsidP="00A441B6">
      <w:r>
        <w:t xml:space="preserve">Our findings demonstrate that the framework delivers positive outcomes for customers when it is implemented effectively. </w:t>
      </w:r>
      <w:r w:rsidR="004F51E6">
        <w:t xml:space="preserve">However, we have identified </w:t>
      </w:r>
      <w:r>
        <w:t xml:space="preserve">areas where implementation </w:t>
      </w:r>
      <w:r w:rsidR="004F51E6">
        <w:t xml:space="preserve">could be </w:t>
      </w:r>
      <w:r>
        <w:t xml:space="preserve">improved for the mutual benefit of customers and retailers. </w:t>
      </w:r>
    </w:p>
    <w:p w14:paraId="024E790F" w14:textId="4DF60B33" w:rsidR="00A441B6" w:rsidRDefault="00A441B6" w:rsidP="00A441B6">
      <w:r>
        <w:t>W</w:t>
      </w:r>
      <w:r w:rsidRPr="00E21C51">
        <w:t xml:space="preserve">e </w:t>
      </w:r>
      <w:r>
        <w:t>have</w:t>
      </w:r>
      <w:r w:rsidRPr="00E21C51">
        <w:t xml:space="preserve"> identified </w:t>
      </w:r>
      <w:r w:rsidR="00CB2DD6">
        <w:t xml:space="preserve">particular </w:t>
      </w:r>
      <w:r w:rsidRPr="00E21C51">
        <w:t xml:space="preserve">areas </w:t>
      </w:r>
      <w:r w:rsidR="00CB2DD6">
        <w:t xml:space="preserve">as a priority </w:t>
      </w:r>
      <w:r w:rsidRPr="00E21C51">
        <w:t>for improvement</w:t>
      </w:r>
      <w:r w:rsidR="00CB2DD6">
        <w:t>,</w:t>
      </w:r>
      <w:r w:rsidRPr="00E21C51">
        <w:t xml:space="preserve"> which we </w:t>
      </w:r>
      <w:r>
        <w:t>aim</w:t>
      </w:r>
      <w:r w:rsidRPr="00E21C51">
        <w:t xml:space="preserve"> to address in the next phase of the review.</w:t>
      </w:r>
    </w:p>
    <w:p w14:paraId="1B32ADED" w14:textId="234B120E" w:rsidR="00A441B6" w:rsidRDefault="00A441B6" w:rsidP="00C43F4C">
      <w:r>
        <w:t>We determined these priorities by considered the areas that are likely to most benefit customer outcomes, and our degree of influence in improving these areas (whether customer outcomes can be improved within the scope of the payment difficulty framework). Stakeholders’ views have also contributed to the development of our priority areas, including the views expressed at our stakeholder webinar in April 2022.</w:t>
      </w:r>
    </w:p>
    <w:p w14:paraId="2A9D2859" w14:textId="77777777" w:rsidR="00C43F4C" w:rsidRPr="00EC1582" w:rsidRDefault="00C43F4C" w:rsidP="008B6A9F">
      <w:pPr>
        <w:pStyle w:val="Heading2"/>
        <w:rPr>
          <w:rStyle w:val="Heading3Char"/>
          <w:b/>
          <w:color w:val="auto"/>
          <w:szCs w:val="26"/>
        </w:rPr>
      </w:pPr>
      <w:bookmarkStart w:id="37" w:name="_Toc104850110"/>
      <w:r w:rsidRPr="00EC1582">
        <w:rPr>
          <w:rStyle w:val="Heading3Char"/>
          <w:b/>
          <w:color w:val="auto"/>
          <w:szCs w:val="26"/>
        </w:rPr>
        <w:t>Next steps</w:t>
      </w:r>
      <w:bookmarkEnd w:id="37"/>
    </w:p>
    <w:p w14:paraId="42D4B8EB" w14:textId="3CAAB627" w:rsidR="005F7022" w:rsidRDefault="00C43F4C" w:rsidP="008B6A9F">
      <w:pPr>
        <w:keepNext/>
        <w:keepLines/>
      </w:pPr>
      <w:r w:rsidRPr="0049551A">
        <w:t xml:space="preserve">We aim to explore these priority areas further with our </w:t>
      </w:r>
      <w:r w:rsidR="00CB2DD6" w:rsidRPr="0049551A">
        <w:t>stakeholders and</w:t>
      </w:r>
      <w:r w:rsidRPr="0049551A">
        <w:t xml:space="preserve"> develop actions that we and the sector can take to improve the framework’s implementation. Between June and August 2022, we will work with our stakeholders to </w:t>
      </w:r>
      <w:r w:rsidR="005F7022" w:rsidRPr="0049551A">
        <w:t xml:space="preserve">identify and consider </w:t>
      </w:r>
      <w:r w:rsidRPr="0049551A">
        <w:t xml:space="preserve">practical solutions, </w:t>
      </w:r>
      <w:r w:rsidR="005F7022" w:rsidRPr="0049551A">
        <w:t xml:space="preserve">facilitate discussions on </w:t>
      </w:r>
      <w:r w:rsidRPr="0049551A">
        <w:t xml:space="preserve">better practices and new practical approaches when supporting customers, and including the consumer voice when implementing specific actions. </w:t>
      </w:r>
      <w:r w:rsidR="00CB2DD6" w:rsidRPr="0049551A">
        <w:t xml:space="preserve">Our findings will also inform our on-going work </w:t>
      </w:r>
      <w:r w:rsidR="00D76008" w:rsidRPr="0049551A">
        <w:t>to support</w:t>
      </w:r>
      <w:r w:rsidR="00CB2DD6" w:rsidRPr="0049551A">
        <w:t xml:space="preserve"> the </w:t>
      </w:r>
      <w:bookmarkEnd w:id="25"/>
      <w:bookmarkEnd w:id="26"/>
      <w:bookmarkEnd w:id="27"/>
      <w:r w:rsidR="00D76008" w:rsidRPr="0049551A">
        <w:t>implementation of the framework</w:t>
      </w:r>
      <w:r w:rsidR="00CB2DD6" w:rsidRPr="0049551A">
        <w:t>.</w:t>
      </w:r>
    </w:p>
    <w:p w14:paraId="461B22EE" w14:textId="5A070DC3" w:rsidR="00D50EDE" w:rsidRPr="005D32C0" w:rsidRDefault="00D50EDE" w:rsidP="005D32C0">
      <w:r>
        <w:t xml:space="preserve">We also remain committed to using our compliance and enforcement powers to protect consumers – especially those experiencing vulnerability – and to enhance trust in the </w:t>
      </w:r>
      <w:r w:rsidR="005D32C0">
        <w:t>energy retail</w:t>
      </w:r>
      <w:r>
        <w:t xml:space="preserve"> market</w:t>
      </w:r>
      <w:r w:rsidR="005D32C0" w:rsidRPr="007A31EF">
        <w:t>.</w:t>
      </w:r>
      <w:r>
        <w:t xml:space="preserve"> </w:t>
      </w:r>
      <w:r w:rsidR="004678B8" w:rsidRPr="00EB1281">
        <w:t xml:space="preserve">The framework has </w:t>
      </w:r>
      <w:r w:rsidR="004678B8">
        <w:t xml:space="preserve">also </w:t>
      </w:r>
      <w:r w:rsidR="004678B8" w:rsidRPr="00EB1281">
        <w:t xml:space="preserve">been a strategic compliance and enforcement priority in recent years. </w:t>
      </w:r>
      <w:r>
        <w:t xml:space="preserve">This means that we will consider taking enforcement action where </w:t>
      </w:r>
      <w:r w:rsidR="00862B2D">
        <w:t xml:space="preserve">it is necessary and </w:t>
      </w:r>
      <w:r>
        <w:t>appropriate</w:t>
      </w:r>
      <w:r w:rsidR="00862B2D">
        <w:t xml:space="preserve"> to do so. Our compliance and enforcement approach is informed by </w:t>
      </w:r>
      <w:r>
        <w:t>our recently published Compliance and Enforcement Policy.</w:t>
      </w:r>
    </w:p>
    <w:p w14:paraId="550865C6" w14:textId="433000A8" w:rsidR="003820DE" w:rsidRDefault="003820DE" w:rsidP="005D32C0">
      <w:r>
        <w:t>We will also continue our on-going monitoring of retailers’ implementation of the framework</w:t>
      </w:r>
      <w:r w:rsidR="00E5040C">
        <w:t xml:space="preserve">. Given the value of additional </w:t>
      </w:r>
      <w:r>
        <w:t xml:space="preserve">data </w:t>
      </w:r>
      <w:r w:rsidR="00E5040C">
        <w:t xml:space="preserve">sources has provided </w:t>
      </w:r>
      <w:r>
        <w:t>for this review</w:t>
      </w:r>
      <w:r w:rsidR="00E5040C">
        <w:t xml:space="preserve">, we are </w:t>
      </w:r>
      <w:r w:rsidR="0069426B">
        <w:t xml:space="preserve">also </w:t>
      </w:r>
      <w:r w:rsidR="00E5040C">
        <w:t xml:space="preserve">considering </w:t>
      </w:r>
      <w:r w:rsidR="0069426B">
        <w:t xml:space="preserve">how to incorporate this into our normal regulatory work. This might include additional performance measures for retailers to report on, and </w:t>
      </w:r>
      <w:r w:rsidR="00751289">
        <w:t xml:space="preserve">the </w:t>
      </w:r>
      <w:r w:rsidR="0069426B">
        <w:t xml:space="preserve">regular </w:t>
      </w:r>
      <w:r w:rsidR="00751289">
        <w:t>collection of call recordings from retailers.</w:t>
      </w:r>
    </w:p>
    <w:p w14:paraId="4AB60001" w14:textId="77777777" w:rsidR="00EA7569" w:rsidRDefault="00C43F4C" w:rsidP="00751289">
      <w:r>
        <w:t xml:space="preserve">We thank our stakeholders for their participation, and look forward to continuing this work alongside retailers, the community sector, and government to improve the ways we support and deliver essential energy services to Victorians. </w:t>
      </w:r>
    </w:p>
    <w:p w14:paraId="4447F160" w14:textId="601A261A" w:rsidR="00C43F4C" w:rsidRPr="00516DFC" w:rsidRDefault="00C43F4C" w:rsidP="00A441B6">
      <w:pPr>
        <w:keepNext/>
        <w:keepLines/>
        <w:sectPr w:rsidR="00C43F4C" w:rsidRPr="00516DFC" w:rsidSect="00DC3F20">
          <w:footerReference w:type="default" r:id="rId46"/>
          <w:pgSz w:w="11906" w:h="16838"/>
          <w:pgMar w:top="1134" w:right="1134" w:bottom="1134" w:left="1134" w:header="709" w:footer="692" w:gutter="0"/>
          <w:cols w:space="720"/>
          <w:docGrid w:linePitch="299"/>
        </w:sectPr>
      </w:pPr>
      <w:r>
        <w:t xml:space="preserve">If you would like to speak to us about this review or ensure you are on our mailing list, please contact us via email at </w:t>
      </w:r>
      <w:hyperlink r:id="rId47" w:history="1">
        <w:r w:rsidR="00F24FFF">
          <w:rPr>
            <w:rStyle w:val="Hyperlink"/>
          </w:rPr>
          <w:t>mailto:</w:t>
        </w:r>
      </w:hyperlink>
      <w:hyperlink r:id="rId48" w:history="1">
        <w:r w:rsidRPr="000E37BC">
          <w:rPr>
            <w:rStyle w:val="Hyperlink"/>
          </w:rPr>
          <w:t>pdfreview@esc.vic.gov.au</w:t>
        </w:r>
      </w:hyperlink>
      <w:r>
        <w:t>.</w:t>
      </w:r>
    </w:p>
    <w:p w14:paraId="1703CBF7" w14:textId="710F829C" w:rsidR="00C43F4C" w:rsidRPr="00445D9A" w:rsidRDefault="00C43F4C" w:rsidP="00C43F4C">
      <w:pPr>
        <w:pStyle w:val="Heading1"/>
      </w:pPr>
      <w:bookmarkStart w:id="38" w:name="_Toc104850111"/>
      <w:r w:rsidRPr="00445D9A">
        <w:lastRenderedPageBreak/>
        <w:t>Introduction</w:t>
      </w:r>
      <w:bookmarkEnd w:id="38"/>
    </w:p>
    <w:p w14:paraId="07B47F47" w14:textId="77777777" w:rsidR="00C43F4C" w:rsidRDefault="00C43F4C" w:rsidP="00C43F4C">
      <w:pPr>
        <w:pStyle w:val="Introductionsentence"/>
      </w:pPr>
      <w:r>
        <w:t>The payment difficulty framework (the framework) is a set of energy rules designed to protect and support residential customers that are anticipating or facing payment difficulty.</w:t>
      </w:r>
    </w:p>
    <w:p w14:paraId="32837147" w14:textId="77777777" w:rsidR="00C43F4C" w:rsidRDefault="00C43F4C" w:rsidP="00C43F4C">
      <w:r>
        <w:t xml:space="preserve">When we published our decision on the payment difficulty framework in 2017, we committed to review how the framework was working in practice two years after its implementation. </w:t>
      </w:r>
    </w:p>
    <w:p w14:paraId="779D8A41" w14:textId="2A464938" w:rsidR="00C43F4C" w:rsidRDefault="00C43F4C" w:rsidP="00C43F4C">
      <w:r>
        <w:t xml:space="preserve">We began our review in September 2021 </w:t>
      </w:r>
      <w:r w:rsidR="007D2C06">
        <w:t xml:space="preserve">by consulting </w:t>
      </w:r>
      <w:r>
        <w:t>on the scope of the review (</w:t>
      </w:r>
      <w:r>
        <w:fldChar w:fldCharType="begin"/>
      </w:r>
      <w:r>
        <w:instrText xml:space="preserve"> REF _Ref103008380 \h </w:instrText>
      </w:r>
      <w:r>
        <w:fldChar w:fldCharType="separate"/>
      </w:r>
      <w:r w:rsidR="00357DD7">
        <w:t xml:space="preserve">Figure </w:t>
      </w:r>
      <w:r w:rsidR="00357DD7">
        <w:rPr>
          <w:noProof/>
        </w:rPr>
        <w:t>2</w:t>
      </w:r>
      <w:r>
        <w:fldChar w:fldCharType="end"/>
      </w:r>
      <w:r>
        <w:t>). We confirmed that the aim of the review was to evaluate and assess the operation of the framework in meeting its objectives. We also stated that we would identify opportunities for improving the operation of the framework.</w:t>
      </w:r>
    </w:p>
    <w:p w14:paraId="71CDDB2B" w14:textId="77777777" w:rsidR="00C43F4C" w:rsidRPr="0049551A" w:rsidRDefault="00C43F4C" w:rsidP="00C43F4C">
      <w:r>
        <w:t xml:space="preserve">The first phase of our review led to the creation of this findings report, based on analysis of feedback and data received directly from stakeholders, retailers, publicly available research, and from call recordings between retailers and customers receiving payment assistance. It outlines our </w:t>
      </w:r>
      <w:r w:rsidRPr="0049551A">
        <w:t>key findings and priority areas for improving the framework’s operation.</w:t>
      </w:r>
    </w:p>
    <w:p w14:paraId="6BC52EBC" w14:textId="1AD26CA2" w:rsidR="00FC231F" w:rsidRDefault="00C43F4C" w:rsidP="00C43F4C">
      <w:r w:rsidRPr="0049551A">
        <w:t xml:space="preserve">In the next phase, we will identify options for improving the operation of the framework. This will include working with interested stakeholders to </w:t>
      </w:r>
      <w:r w:rsidR="00F02914" w:rsidRPr="0049551A">
        <w:t>develop</w:t>
      </w:r>
      <w:r w:rsidRPr="0049551A">
        <w:t xml:space="preserve"> practical </w:t>
      </w:r>
      <w:r w:rsidR="00F02914" w:rsidRPr="0049551A">
        <w:t>actions</w:t>
      </w:r>
      <w:r w:rsidRPr="0049551A">
        <w:t xml:space="preserve"> to the issues raised in the review. We will also consider whether further guidance or industry education is required to further support implementation of the framework.</w:t>
      </w:r>
      <w:r w:rsidR="00FC231F" w:rsidRPr="0049551A">
        <w:t xml:space="preserve"> The findings from our review, and the solutions we </w:t>
      </w:r>
      <w:r w:rsidR="00D14B51" w:rsidRPr="0049551A">
        <w:t>develop</w:t>
      </w:r>
      <w:r w:rsidR="00FC231F" w:rsidRPr="0049551A">
        <w:t xml:space="preserve"> with stakeholders will then inform our on-going regulatory work </w:t>
      </w:r>
      <w:r w:rsidR="00386BCD" w:rsidRPr="0049551A">
        <w:t>to implement the framework</w:t>
      </w:r>
      <w:r w:rsidR="00FC231F" w:rsidRPr="0049551A">
        <w:t>.</w:t>
      </w:r>
    </w:p>
    <w:p w14:paraId="4D1EBFDF" w14:textId="021535F1" w:rsidR="00C43F4C" w:rsidRDefault="00C43F4C" w:rsidP="008E0B2F">
      <w:pPr>
        <w:pStyle w:val="Figure-Table-BoxHeading"/>
        <w:keepNext/>
        <w:keepLines/>
        <w:numPr>
          <w:ilvl w:val="0"/>
          <w:numId w:val="0"/>
        </w:numPr>
      </w:pPr>
      <w:bookmarkStart w:id="39" w:name="_Ref103008380"/>
      <w:bookmarkStart w:id="40" w:name="_Ref103008376"/>
      <w:bookmarkStart w:id="41" w:name="_Toc103943772"/>
      <w:r>
        <w:lastRenderedPageBreak/>
        <w:t xml:space="preserve">Figure </w:t>
      </w:r>
      <w:r>
        <w:fldChar w:fldCharType="begin"/>
      </w:r>
      <w:r>
        <w:instrText>SEQ Figure \* ARABIC</w:instrText>
      </w:r>
      <w:r>
        <w:fldChar w:fldCharType="separate"/>
      </w:r>
      <w:r w:rsidR="00357DD7">
        <w:rPr>
          <w:noProof/>
        </w:rPr>
        <w:t>2</w:t>
      </w:r>
      <w:r>
        <w:fldChar w:fldCharType="end"/>
      </w:r>
      <w:bookmarkEnd w:id="39"/>
      <w:r>
        <w:tab/>
        <w:t>Our review timeline and next steps</w:t>
      </w:r>
      <w:bookmarkEnd w:id="40"/>
      <w:bookmarkEnd w:id="41"/>
    </w:p>
    <w:p w14:paraId="2FB3BC0C" w14:textId="7E007F08" w:rsidR="00C43F4C" w:rsidRDefault="00945CD0" w:rsidP="00C43F4C">
      <w:r>
        <w:rPr>
          <w:noProof/>
        </w:rPr>
        <w:drawing>
          <wp:inline distT="0" distB="0" distL="0" distR="0" wp14:anchorId="741651AF" wp14:editId="1748A97A">
            <wp:extent cx="6120000" cy="2901192"/>
            <wp:effectExtent l="0" t="0" r="0" b="0"/>
            <wp:docPr id="100648" name="Picture 100648" descr="The timeline of the implementation review divided in two phases. The review launched in September 2021 and ended in May 2022 with the release of the findings report. The second phase involves a better practice program, ending in Augu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6" name="Picture 100646" descr="The timeline of the implementation review divided in two phases. The review launched in September 2021 and ended in May 2022 with the release of the findings report. The second phase involves a better practice program, ending in August 20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2901192"/>
                    </a:xfrm>
                    <a:prstGeom prst="rect">
                      <a:avLst/>
                    </a:prstGeom>
                    <a:noFill/>
                  </pic:spPr>
                </pic:pic>
              </a:graphicData>
            </a:graphic>
          </wp:inline>
        </w:drawing>
      </w:r>
    </w:p>
    <w:p w14:paraId="1D41D50E" w14:textId="77777777" w:rsidR="00C43F4C" w:rsidRDefault="00C43F4C" w:rsidP="00C43F4C">
      <w:pPr>
        <w:pStyle w:val="Heading2"/>
      </w:pPr>
      <w:bookmarkStart w:id="42" w:name="_Toc104850112"/>
      <w:r>
        <w:t>The payment difficulty framework</w:t>
      </w:r>
      <w:bookmarkEnd w:id="42"/>
    </w:p>
    <w:p w14:paraId="01973283" w14:textId="77777777" w:rsidR="00C43F4C" w:rsidRDefault="00C43F4C" w:rsidP="00C43F4C">
      <w:pPr>
        <w:pStyle w:val="Heading3"/>
      </w:pPr>
      <w:r>
        <w:t>How the framework was developed</w:t>
      </w:r>
    </w:p>
    <w:p w14:paraId="20797673" w14:textId="426FCEEF" w:rsidR="00C43F4C" w:rsidRDefault="00C43F4C" w:rsidP="00C43F4C">
      <w:r>
        <w:t xml:space="preserve">In 2015, the commission began an inquiry into financial hardship programs of energy retailers. This came at a time of widespread inconsistencies in retailer responses to customers experiencing payment difficulty. At that </w:t>
      </w:r>
      <w:r w:rsidDel="00574FA9">
        <w:t>time</w:t>
      </w:r>
      <w:bookmarkStart w:id="43" w:name="_Toc98954323"/>
      <w:r>
        <w:t xml:space="preserve">, many energy </w:t>
      </w:r>
      <w:r w:rsidRPr="00B14286">
        <w:rPr>
          <w:lang w:val="en-US"/>
        </w:rPr>
        <w:t>customers</w:t>
      </w:r>
      <w:r>
        <w:t xml:space="preserve"> </w:t>
      </w:r>
      <w:bookmarkStart w:id="44" w:name="_Int_niVdLUir"/>
      <w:r>
        <w:t>were</w:t>
      </w:r>
      <w:bookmarkEnd w:id="44"/>
      <w:r>
        <w:t xml:space="preserve"> disconnected for ‘non-payment</w:t>
      </w:r>
      <w:bookmarkEnd w:id="43"/>
      <w:r>
        <w:t>’ (not paying their bills on time) (</w:t>
      </w:r>
      <w:r>
        <w:fldChar w:fldCharType="begin"/>
      </w:r>
      <w:r>
        <w:instrText xml:space="preserve"> REF _Ref99708831 \h </w:instrText>
      </w:r>
      <w:r>
        <w:fldChar w:fldCharType="separate"/>
      </w:r>
      <w:r w:rsidR="00357DD7">
        <w:t xml:space="preserve">Figure </w:t>
      </w:r>
      <w:r w:rsidR="00357DD7">
        <w:rPr>
          <w:noProof/>
        </w:rPr>
        <w:t>3</w:t>
      </w:r>
      <w:r>
        <w:fldChar w:fldCharType="end"/>
      </w:r>
      <w:r>
        <w:t>).</w:t>
      </w:r>
    </w:p>
    <w:p w14:paraId="6EC1EFB8" w14:textId="3281172D" w:rsidR="00C43F4C" w:rsidRDefault="00C43F4C" w:rsidP="008E0B2F">
      <w:pPr>
        <w:pStyle w:val="Figure-Table-BoxHeading"/>
        <w:keepNext/>
        <w:keepLines/>
        <w:numPr>
          <w:ilvl w:val="0"/>
          <w:numId w:val="0"/>
        </w:numPr>
        <w:ind w:left="851" w:hanging="851"/>
      </w:pPr>
      <w:bookmarkStart w:id="45" w:name="_Ref99708831"/>
      <w:bookmarkStart w:id="46" w:name="_Ref99714876"/>
      <w:bookmarkStart w:id="47" w:name="_Toc100135059"/>
      <w:bookmarkStart w:id="48" w:name="_Toc100145056"/>
      <w:bookmarkStart w:id="49" w:name="_Toc102095461"/>
      <w:bookmarkStart w:id="50" w:name="_Toc103943773"/>
      <w:bookmarkStart w:id="51" w:name="_Toc100098127"/>
      <w:r>
        <w:t xml:space="preserve">Figure </w:t>
      </w:r>
      <w:r>
        <w:fldChar w:fldCharType="begin"/>
      </w:r>
      <w:r>
        <w:instrText>SEQ Figure \* ARABIC</w:instrText>
      </w:r>
      <w:r>
        <w:fldChar w:fldCharType="separate"/>
      </w:r>
      <w:r w:rsidR="00357DD7">
        <w:rPr>
          <w:noProof/>
        </w:rPr>
        <w:t>3</w:t>
      </w:r>
      <w:r>
        <w:fldChar w:fldCharType="end"/>
      </w:r>
      <w:bookmarkEnd w:id="45"/>
      <w:r>
        <w:tab/>
      </w:r>
      <w:r w:rsidR="00177566">
        <w:t>Number of h</w:t>
      </w:r>
      <w:r>
        <w:t>ardship customers and disconnections for non-payment</w:t>
      </w:r>
      <w:bookmarkEnd w:id="46"/>
      <w:bookmarkEnd w:id="47"/>
      <w:bookmarkEnd w:id="48"/>
      <w:bookmarkEnd w:id="49"/>
      <w:bookmarkEnd w:id="50"/>
    </w:p>
    <w:bookmarkEnd w:id="51"/>
    <w:p w14:paraId="2116584D" w14:textId="2A60D326" w:rsidR="00C43F4C" w:rsidRDefault="00C43F4C" w:rsidP="00431297">
      <w:r>
        <w:rPr>
          <w:noProof/>
        </w:rPr>
        <w:drawing>
          <wp:inline distT="0" distB="0" distL="0" distR="0" wp14:anchorId="6F1451E4" wp14:editId="3ACC9A2F">
            <wp:extent cx="6120000" cy="2676525"/>
            <wp:effectExtent l="0" t="0" r="0" b="0"/>
            <wp:docPr id="79" name="Chart 79" descr="Bar chart showing the yearly number of hardship customers and disconnections for non-payment from 2008 to 2018. There has been a general rise in both.">
              <a:extLst xmlns:a="http://schemas.openxmlformats.org/drawingml/2006/main">
                <a:ext uri="{FF2B5EF4-FFF2-40B4-BE49-F238E27FC236}">
                  <a16:creationId xmlns:a16="http://schemas.microsoft.com/office/drawing/2014/main" id="{73611A3F-E938-49A1-8CED-1125FA5E1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4633CC" w14:textId="7C045C0C" w:rsidR="00C43F4C" w:rsidRDefault="00C43F4C" w:rsidP="00C43F4C">
      <w:r>
        <w:lastRenderedPageBreak/>
        <w:t xml:space="preserve">The inquiry concluded in </w:t>
      </w:r>
      <w:r w:rsidR="005D0789">
        <w:t>March</w:t>
      </w:r>
      <w:r w:rsidR="003159F6">
        <w:t xml:space="preserve"> 2016</w:t>
      </w:r>
      <w:r>
        <w:t>.</w:t>
      </w:r>
      <w:r w:rsidR="003159F6">
        <w:rPr>
          <w:rStyle w:val="FootnoteReference"/>
        </w:rPr>
        <w:footnoteReference w:id="3"/>
      </w:r>
      <w:r>
        <w:t xml:space="preserve"> It found that retailers were generally complying with existing requirements but there were inconsistent outcomes for customers under various retailers’ hardship programs. The</w:t>
      </w:r>
      <w:r w:rsidDel="00B62A84">
        <w:t xml:space="preserve"> </w:t>
      </w:r>
      <w:r>
        <w:t>inquiry also noted that some retailers’ hardship programs were ineffective at providing meaningful assistance to customers.</w:t>
      </w:r>
    </w:p>
    <w:p w14:paraId="2D3E114C" w14:textId="77777777" w:rsidR="00C43F4C" w:rsidRDefault="00C43F4C" w:rsidP="00C43F4C">
      <w:pPr>
        <w:pStyle w:val="Heading3"/>
      </w:pPr>
      <w:bookmarkStart w:id="52" w:name="_Toc99679818"/>
      <w:r>
        <w:t>The payment difficulty framework set minimum standards of assistance for customers</w:t>
      </w:r>
      <w:bookmarkEnd w:id="52"/>
    </w:p>
    <w:p w14:paraId="412A5193" w14:textId="77777777" w:rsidR="00C43F4C" w:rsidRDefault="00C43F4C" w:rsidP="00C43F4C">
      <w:r>
        <w:t>A</w:t>
      </w:r>
      <w:r w:rsidRPr="00880A12">
        <w:t xml:space="preserve">fter </w:t>
      </w:r>
      <w:r>
        <w:t xml:space="preserve">we engaged </w:t>
      </w:r>
      <w:r w:rsidRPr="00880A12">
        <w:t>extensive</w:t>
      </w:r>
      <w:r>
        <w:t>ly</w:t>
      </w:r>
      <w:r w:rsidRPr="00880A12">
        <w:t xml:space="preserve"> with the community sector and </w:t>
      </w:r>
      <w:r>
        <w:t xml:space="preserve">the energy </w:t>
      </w:r>
      <w:r w:rsidRPr="00880A12">
        <w:t>industry</w:t>
      </w:r>
      <w:r>
        <w:t>, Victoria’s</w:t>
      </w:r>
      <w:r w:rsidRPr="00880A12">
        <w:t xml:space="preserve"> payment difficulty framework</w:t>
      </w:r>
      <w:r>
        <w:t xml:space="preserve"> came into effect</w:t>
      </w:r>
      <w:r w:rsidRPr="009B2B9C">
        <w:t xml:space="preserve"> </w:t>
      </w:r>
      <w:r>
        <w:t xml:space="preserve">in 2019. This comprised of </w:t>
      </w:r>
      <w:r w:rsidRPr="00880A12">
        <w:t xml:space="preserve">a set of </w:t>
      </w:r>
      <w:r>
        <w:t>provisions in the Energy Retail Code</w:t>
      </w:r>
      <w:r>
        <w:rPr>
          <w:rStyle w:val="FootnoteReference"/>
        </w:rPr>
        <w:footnoteReference w:id="4"/>
      </w:r>
      <w:r w:rsidRPr="00880A12">
        <w:t xml:space="preserve"> that </w:t>
      </w:r>
      <w:r>
        <w:t>detailed</w:t>
      </w:r>
      <w:r w:rsidRPr="00880A12">
        <w:t xml:space="preserve"> minimum entitlements </w:t>
      </w:r>
      <w:r>
        <w:t xml:space="preserve">to </w:t>
      </w:r>
      <w:r w:rsidRPr="00880A12">
        <w:t xml:space="preserve">assistance for all customers, regardless of which energy retailer they </w:t>
      </w:r>
      <w:r>
        <w:t>used</w:t>
      </w:r>
      <w:r w:rsidRPr="00880A12">
        <w:t xml:space="preserve">. </w:t>
      </w:r>
    </w:p>
    <w:p w14:paraId="0F883A63" w14:textId="142096D1" w:rsidR="00C43F4C" w:rsidRPr="00C74D10" w:rsidRDefault="00C43F4C" w:rsidP="00C43F4C">
      <w:r>
        <w:t>In anticipation of the new framework, the Victorian Parliament amended the commission’s statutory objectives to promot</w:t>
      </w:r>
      <w:r w:rsidR="007D2C06">
        <w:t>e</w:t>
      </w:r>
      <w:r>
        <w:t xml:space="preserve"> protections for customers, including in relation to assisting customers who are facing payment difficulties.</w:t>
      </w:r>
      <w:r>
        <w:rPr>
          <w:rStyle w:val="FootnoteReference"/>
        </w:rPr>
        <w:footnoteReference w:id="5"/>
      </w:r>
    </w:p>
    <w:p w14:paraId="7834B477" w14:textId="515BF077" w:rsidR="00C43F4C" w:rsidRDefault="00C43F4C" w:rsidP="00C43F4C">
      <w:r>
        <w:t xml:space="preserve">These new rules </w:t>
      </w:r>
      <w:r w:rsidRPr="00880A12">
        <w:t xml:space="preserve">ensured minimum entitlements </w:t>
      </w:r>
      <w:r>
        <w:t xml:space="preserve">for </w:t>
      </w:r>
      <w:r w:rsidRPr="00880A12">
        <w:t xml:space="preserve">all customers (standard assistance) and </w:t>
      </w:r>
      <w:r>
        <w:t xml:space="preserve">additional </w:t>
      </w:r>
      <w:r w:rsidRPr="00880A12">
        <w:t xml:space="preserve">minimum entitlements </w:t>
      </w:r>
      <w:r>
        <w:t xml:space="preserve">specifically for </w:t>
      </w:r>
      <w:r w:rsidRPr="00880A12">
        <w:t>customers with arrears (tailored assistance)</w:t>
      </w:r>
      <w:r>
        <w:t xml:space="preserve">. </w:t>
      </w:r>
      <w:r w:rsidR="007D2C06">
        <w:t>The e</w:t>
      </w:r>
      <w:r>
        <w:t xml:space="preserve">ntitlements, as at the introduction of the rules, are detailed in </w:t>
      </w:r>
      <w:r>
        <w:fldChar w:fldCharType="begin"/>
      </w:r>
      <w:r>
        <w:instrText xml:space="preserve"> REF _Ref103000127 \h </w:instrText>
      </w:r>
      <w:r>
        <w:fldChar w:fldCharType="separate"/>
      </w:r>
      <w:r w:rsidR="00357DD7">
        <w:t xml:space="preserve">Figure </w:t>
      </w:r>
      <w:r w:rsidR="00357DD7">
        <w:rPr>
          <w:noProof/>
        </w:rPr>
        <w:t>4</w:t>
      </w:r>
      <w:r>
        <w:fldChar w:fldCharType="end"/>
      </w:r>
      <w:r w:rsidRPr="00EC3E28">
        <w:t>.</w:t>
      </w:r>
    </w:p>
    <w:p w14:paraId="18FC2488" w14:textId="56029550" w:rsidR="00C43F4C" w:rsidRDefault="00C43F4C" w:rsidP="00F10D84">
      <w:pPr>
        <w:pStyle w:val="Figure-Table-BoxHeading"/>
        <w:keepNext/>
        <w:keepLines/>
        <w:numPr>
          <w:ilvl w:val="0"/>
          <w:numId w:val="0"/>
        </w:numPr>
      </w:pPr>
      <w:bookmarkStart w:id="53" w:name="_Ref103000127"/>
      <w:bookmarkStart w:id="54" w:name="_Toc103943774"/>
      <w:r>
        <w:lastRenderedPageBreak/>
        <w:t xml:space="preserve">Figure </w:t>
      </w:r>
      <w:r>
        <w:fldChar w:fldCharType="begin"/>
      </w:r>
      <w:r>
        <w:instrText>SEQ Figure \* ARABIC</w:instrText>
      </w:r>
      <w:r>
        <w:fldChar w:fldCharType="separate"/>
      </w:r>
      <w:r w:rsidR="00357DD7">
        <w:rPr>
          <w:noProof/>
        </w:rPr>
        <w:t>4</w:t>
      </w:r>
      <w:r>
        <w:fldChar w:fldCharType="end"/>
      </w:r>
      <w:bookmarkEnd w:id="53"/>
      <w:r>
        <w:tab/>
        <w:t>Standard and tailored assistance under the framework</w:t>
      </w:r>
      <w:bookmarkEnd w:id="54"/>
    </w:p>
    <w:tbl>
      <w:tblPr>
        <w:tblStyle w:val="TableGrid"/>
        <w:tblW w:w="0" w:type="auto"/>
        <w:tblLook w:val="04A0" w:firstRow="1" w:lastRow="0" w:firstColumn="1" w:lastColumn="0" w:noHBand="0" w:noVBand="1"/>
      </w:tblPr>
      <w:tblGrid>
        <w:gridCol w:w="3211"/>
        <w:gridCol w:w="3216"/>
        <w:gridCol w:w="3211"/>
      </w:tblGrid>
      <w:tr w:rsidR="00C43F4C" w14:paraId="219419FA" w14:textId="77777777" w:rsidTr="00F10D84">
        <w:trPr>
          <w:cnfStyle w:val="100000000000" w:firstRow="1" w:lastRow="0" w:firstColumn="0" w:lastColumn="0" w:oddVBand="0" w:evenVBand="0" w:oddHBand="0" w:evenHBand="0" w:firstRowFirstColumn="0" w:firstRowLastColumn="0" w:lastRowFirstColumn="0" w:lastRowLastColumn="0"/>
        </w:trPr>
        <w:tc>
          <w:tcPr>
            <w:tcW w:w="3260" w:type="dxa"/>
          </w:tcPr>
          <w:p w14:paraId="1C122D15" w14:textId="77777777" w:rsidR="00C43F4C" w:rsidRPr="00A96991" w:rsidRDefault="00C43F4C" w:rsidP="00F10D84">
            <w:pPr>
              <w:pStyle w:val="TableBody"/>
              <w:keepNext/>
              <w:keepLines/>
              <w:rPr>
                <w:b w:val="0"/>
                <w:sz w:val="20"/>
                <w:szCs w:val="20"/>
              </w:rPr>
            </w:pPr>
            <w:r w:rsidRPr="00A96991">
              <w:rPr>
                <w:sz w:val="20"/>
                <w:szCs w:val="20"/>
              </w:rPr>
              <w:t>Standard assistance</w:t>
            </w:r>
          </w:p>
          <w:p w14:paraId="00583089" w14:textId="77777777" w:rsidR="00C43F4C" w:rsidRPr="00A96991" w:rsidRDefault="00C43F4C" w:rsidP="00F10D84">
            <w:pPr>
              <w:pStyle w:val="TableBody"/>
              <w:keepNext/>
              <w:keepLines/>
              <w:rPr>
                <w:sz w:val="20"/>
                <w:szCs w:val="20"/>
              </w:rPr>
            </w:pPr>
            <w:r w:rsidRPr="00A96991">
              <w:rPr>
                <w:b w:val="0"/>
                <w:sz w:val="20"/>
                <w:szCs w:val="20"/>
              </w:rPr>
              <w:t>available for all Victorian customers</w:t>
            </w:r>
          </w:p>
        </w:tc>
        <w:tc>
          <w:tcPr>
            <w:tcW w:w="3260" w:type="dxa"/>
            <w:shd w:val="clear" w:color="auto" w:fill="ED8B00" w:themeFill="accent4"/>
          </w:tcPr>
          <w:p w14:paraId="524AAA32" w14:textId="77777777" w:rsidR="00C43F4C" w:rsidRPr="00A96991" w:rsidRDefault="00C43F4C" w:rsidP="00F10D84">
            <w:pPr>
              <w:pStyle w:val="TableBody"/>
              <w:keepNext/>
              <w:keepLines/>
              <w:rPr>
                <w:b w:val="0"/>
                <w:sz w:val="20"/>
                <w:szCs w:val="20"/>
              </w:rPr>
            </w:pPr>
            <w:r w:rsidRPr="00A96991">
              <w:rPr>
                <w:sz w:val="20"/>
                <w:szCs w:val="20"/>
              </w:rPr>
              <w:t xml:space="preserve">Tailored assistance </w:t>
            </w:r>
          </w:p>
          <w:p w14:paraId="15702360" w14:textId="77777777" w:rsidR="00C43F4C" w:rsidRPr="00A96991" w:rsidRDefault="00C43F4C" w:rsidP="00F10D84">
            <w:pPr>
              <w:pStyle w:val="TableBody"/>
              <w:keepNext/>
              <w:keepLines/>
              <w:rPr>
                <w:b w:val="0"/>
                <w:sz w:val="20"/>
                <w:szCs w:val="20"/>
              </w:rPr>
            </w:pPr>
            <w:r w:rsidRPr="00A96991">
              <w:rPr>
                <w:b w:val="0"/>
                <w:sz w:val="20"/>
                <w:szCs w:val="20"/>
              </w:rPr>
              <w:t>for customers who can and cannot pay their ongoing usage</w:t>
            </w:r>
          </w:p>
        </w:tc>
        <w:tc>
          <w:tcPr>
            <w:tcW w:w="3260" w:type="dxa"/>
            <w:shd w:val="clear" w:color="auto" w:fill="CE0058" w:themeFill="accent2"/>
          </w:tcPr>
          <w:p w14:paraId="0A09C842" w14:textId="77777777" w:rsidR="00C43F4C" w:rsidRPr="00A96991" w:rsidRDefault="00C43F4C" w:rsidP="00F10D84">
            <w:pPr>
              <w:pStyle w:val="TableBody"/>
              <w:keepNext/>
              <w:keepLines/>
              <w:rPr>
                <w:b w:val="0"/>
                <w:sz w:val="20"/>
                <w:szCs w:val="20"/>
              </w:rPr>
            </w:pPr>
            <w:r w:rsidRPr="00A96991">
              <w:rPr>
                <w:sz w:val="20"/>
                <w:szCs w:val="20"/>
              </w:rPr>
              <w:t xml:space="preserve">Tailored assistance </w:t>
            </w:r>
          </w:p>
          <w:p w14:paraId="3454502A" w14:textId="77777777" w:rsidR="00C43F4C" w:rsidRPr="00A96991" w:rsidRDefault="00C43F4C" w:rsidP="00F10D84">
            <w:pPr>
              <w:pStyle w:val="TableBody"/>
              <w:keepNext/>
              <w:keepLines/>
              <w:rPr>
                <w:b w:val="0"/>
                <w:sz w:val="20"/>
                <w:szCs w:val="20"/>
              </w:rPr>
            </w:pPr>
            <w:r w:rsidRPr="00A96991">
              <w:rPr>
                <w:b w:val="0"/>
                <w:sz w:val="20"/>
                <w:szCs w:val="20"/>
              </w:rPr>
              <w:t>for customers who cannot pay their ongoing usage</w:t>
            </w:r>
          </w:p>
        </w:tc>
      </w:tr>
      <w:tr w:rsidR="00C43F4C" w14:paraId="44985D5A" w14:textId="77777777" w:rsidTr="00F10D84">
        <w:trPr>
          <w:cnfStyle w:val="000000100000" w:firstRow="0" w:lastRow="0" w:firstColumn="0" w:lastColumn="0" w:oddVBand="0" w:evenVBand="0" w:oddHBand="1" w:evenHBand="0" w:firstRowFirstColumn="0" w:firstRowLastColumn="0" w:lastRowFirstColumn="0" w:lastRowLastColumn="0"/>
        </w:trPr>
        <w:tc>
          <w:tcPr>
            <w:tcW w:w="3260" w:type="dxa"/>
          </w:tcPr>
          <w:p w14:paraId="49B54092" w14:textId="77777777" w:rsidR="00C43F4C" w:rsidRPr="00A96991" w:rsidRDefault="00C43F4C" w:rsidP="00F10D84">
            <w:pPr>
              <w:pStyle w:val="TableBody"/>
              <w:keepNext/>
              <w:keepLines/>
              <w:spacing w:before="120" w:after="120"/>
              <w:rPr>
                <w:sz w:val="20"/>
                <w:szCs w:val="20"/>
              </w:rPr>
            </w:pPr>
            <w:r w:rsidRPr="00A96991">
              <w:rPr>
                <w:sz w:val="20"/>
                <w:szCs w:val="20"/>
              </w:rPr>
              <w:t>Support to manage energy bills:</w:t>
            </w:r>
          </w:p>
          <w:p w14:paraId="497AF615" w14:textId="77777777" w:rsidR="00C43F4C" w:rsidRPr="00A96991" w:rsidRDefault="00C43F4C" w:rsidP="00F10D84">
            <w:pPr>
              <w:pStyle w:val="TableBody"/>
              <w:keepNext/>
              <w:keepLines/>
              <w:numPr>
                <w:ilvl w:val="0"/>
                <w:numId w:val="9"/>
              </w:numPr>
              <w:spacing w:before="120" w:after="120"/>
              <w:ind w:left="477" w:hanging="284"/>
              <w:rPr>
                <w:sz w:val="20"/>
                <w:szCs w:val="20"/>
              </w:rPr>
            </w:pPr>
            <w:r w:rsidRPr="00A96991">
              <w:rPr>
                <w:sz w:val="20"/>
                <w:szCs w:val="20"/>
              </w:rPr>
              <w:t>paying bills in different frequencies or amounts to manage the total bill</w:t>
            </w:r>
          </w:p>
          <w:p w14:paraId="53E02B88" w14:textId="77777777" w:rsidR="00C43F4C" w:rsidRPr="00A96991" w:rsidRDefault="00C43F4C" w:rsidP="00F10D84">
            <w:pPr>
              <w:pStyle w:val="TableBody"/>
              <w:keepNext/>
              <w:keepLines/>
              <w:numPr>
                <w:ilvl w:val="0"/>
                <w:numId w:val="9"/>
              </w:numPr>
              <w:spacing w:before="120" w:after="120"/>
              <w:ind w:left="477" w:hanging="284"/>
              <w:rPr>
                <w:sz w:val="20"/>
                <w:szCs w:val="20"/>
              </w:rPr>
            </w:pPr>
            <w:r w:rsidRPr="00A96991">
              <w:rPr>
                <w:sz w:val="20"/>
                <w:szCs w:val="20"/>
              </w:rPr>
              <w:t>delaying the payment of a bill (once a year)</w:t>
            </w:r>
          </w:p>
          <w:p w14:paraId="5515CFC6" w14:textId="77777777" w:rsidR="00C43F4C" w:rsidRPr="00A96991" w:rsidRDefault="00C43F4C" w:rsidP="00F10D84">
            <w:pPr>
              <w:pStyle w:val="TableBody"/>
              <w:keepNext/>
              <w:keepLines/>
              <w:numPr>
                <w:ilvl w:val="0"/>
                <w:numId w:val="9"/>
              </w:numPr>
              <w:spacing w:before="120" w:after="120"/>
              <w:ind w:left="473" w:hanging="283"/>
              <w:rPr>
                <w:sz w:val="20"/>
                <w:szCs w:val="20"/>
              </w:rPr>
            </w:pPr>
            <w:r w:rsidRPr="00A96991">
              <w:rPr>
                <w:sz w:val="20"/>
                <w:szCs w:val="20"/>
              </w:rPr>
              <w:t>paying in advance.</w:t>
            </w:r>
          </w:p>
        </w:tc>
        <w:tc>
          <w:tcPr>
            <w:tcW w:w="3260" w:type="dxa"/>
            <w:shd w:val="clear" w:color="auto" w:fill="FFE8C8" w:themeFill="accent4" w:themeFillTint="33"/>
          </w:tcPr>
          <w:p w14:paraId="40D0B94B" w14:textId="77777777" w:rsidR="00C43F4C" w:rsidRPr="00A96991" w:rsidRDefault="00C43F4C" w:rsidP="00F10D84">
            <w:pPr>
              <w:pStyle w:val="TableBody"/>
              <w:keepNext/>
              <w:keepLines/>
              <w:spacing w:before="120" w:after="120"/>
              <w:rPr>
                <w:sz w:val="20"/>
                <w:szCs w:val="20"/>
              </w:rPr>
            </w:pPr>
            <w:r w:rsidRPr="00A96991">
              <w:rPr>
                <w:sz w:val="20"/>
                <w:szCs w:val="20"/>
              </w:rPr>
              <w:t>Support to manage arrears:</w:t>
            </w:r>
          </w:p>
          <w:p w14:paraId="0A06F5CA" w14:textId="6BD1DF25" w:rsidR="00C43F4C" w:rsidRPr="00F10D84" w:rsidRDefault="00C43F4C" w:rsidP="00F10D84">
            <w:pPr>
              <w:pStyle w:val="TableBody"/>
              <w:keepNext/>
              <w:keepLines/>
              <w:numPr>
                <w:ilvl w:val="0"/>
                <w:numId w:val="9"/>
              </w:numPr>
              <w:spacing w:before="120" w:after="120"/>
              <w:ind w:left="477" w:hanging="284"/>
              <w:rPr>
                <w:sz w:val="20"/>
                <w:szCs w:val="20"/>
              </w:rPr>
            </w:pPr>
            <w:r w:rsidRPr="00F10D84">
              <w:rPr>
                <w:sz w:val="20"/>
                <w:szCs w:val="20"/>
              </w:rPr>
              <w:t>a payment plan to pay off arrears (up to two years)</w:t>
            </w:r>
          </w:p>
          <w:p w14:paraId="26984E1D" w14:textId="22319EEF" w:rsidR="00C43F4C" w:rsidRPr="00F10D84" w:rsidRDefault="00C43F4C" w:rsidP="00F10D84">
            <w:pPr>
              <w:pStyle w:val="TableBody"/>
              <w:keepNext/>
              <w:keepLines/>
              <w:numPr>
                <w:ilvl w:val="0"/>
                <w:numId w:val="9"/>
              </w:numPr>
              <w:spacing w:before="120" w:after="120"/>
              <w:ind w:left="477" w:hanging="284"/>
              <w:rPr>
                <w:sz w:val="20"/>
                <w:szCs w:val="20"/>
              </w:rPr>
            </w:pPr>
            <w:r w:rsidRPr="00F10D84">
              <w:rPr>
                <w:sz w:val="20"/>
                <w:szCs w:val="20"/>
              </w:rPr>
              <w:t>advice on how to repay arrears in two years</w:t>
            </w:r>
          </w:p>
          <w:p w14:paraId="6E3F6490" w14:textId="3FFEDD45" w:rsidR="00C43F4C" w:rsidRPr="00F10D84" w:rsidRDefault="00C43F4C" w:rsidP="00F10D84">
            <w:pPr>
              <w:pStyle w:val="TableBody"/>
              <w:keepNext/>
              <w:keepLines/>
              <w:numPr>
                <w:ilvl w:val="0"/>
                <w:numId w:val="9"/>
              </w:numPr>
              <w:spacing w:before="120" w:after="120"/>
              <w:ind w:left="477" w:hanging="284"/>
              <w:rPr>
                <w:sz w:val="20"/>
                <w:szCs w:val="20"/>
              </w:rPr>
            </w:pPr>
            <w:r w:rsidRPr="00F10D84">
              <w:rPr>
                <w:sz w:val="20"/>
                <w:szCs w:val="20"/>
              </w:rPr>
              <w:t>advice about other support (including government grants and concessions)</w:t>
            </w:r>
          </w:p>
          <w:p w14:paraId="1101DB08" w14:textId="77777777" w:rsidR="00C43F4C" w:rsidRPr="00A96991" w:rsidRDefault="00C43F4C" w:rsidP="00F10D84">
            <w:pPr>
              <w:pStyle w:val="TableBody"/>
              <w:keepNext/>
              <w:keepLines/>
              <w:numPr>
                <w:ilvl w:val="0"/>
                <w:numId w:val="9"/>
              </w:numPr>
              <w:spacing w:before="120" w:after="120"/>
              <w:ind w:left="477" w:hanging="284"/>
              <w:rPr>
                <w:sz w:val="20"/>
                <w:szCs w:val="20"/>
              </w:rPr>
            </w:pPr>
            <w:r w:rsidRPr="00A96991">
              <w:rPr>
                <w:sz w:val="20"/>
                <w:szCs w:val="20"/>
              </w:rPr>
              <w:t>information on future energy use and how this cost could be lowered.</w:t>
            </w:r>
          </w:p>
        </w:tc>
        <w:tc>
          <w:tcPr>
            <w:tcW w:w="3260" w:type="dxa"/>
            <w:shd w:val="clear" w:color="auto" w:fill="FFC2DB" w:themeFill="accent2" w:themeFillTint="33"/>
          </w:tcPr>
          <w:p w14:paraId="0F3C78FB" w14:textId="77777777" w:rsidR="00C43F4C" w:rsidRPr="00A96991" w:rsidRDefault="00C43F4C" w:rsidP="00F10D84">
            <w:pPr>
              <w:pStyle w:val="TableBody"/>
              <w:keepNext/>
              <w:keepLines/>
              <w:spacing w:before="120" w:after="120"/>
              <w:rPr>
                <w:sz w:val="20"/>
                <w:szCs w:val="20"/>
              </w:rPr>
            </w:pPr>
            <w:r w:rsidRPr="00A96991">
              <w:rPr>
                <w:sz w:val="20"/>
                <w:szCs w:val="20"/>
              </w:rPr>
              <w:t>Further additional support</w:t>
            </w:r>
            <w:r>
              <w:rPr>
                <w:sz w:val="20"/>
                <w:szCs w:val="20"/>
              </w:rPr>
              <w:t>:</w:t>
            </w:r>
          </w:p>
          <w:p w14:paraId="1A47EB93" w14:textId="2F1F8FBB" w:rsidR="00C43F4C" w:rsidRPr="00F10D84" w:rsidRDefault="00C43F4C" w:rsidP="00F10D84">
            <w:pPr>
              <w:pStyle w:val="TableBody"/>
              <w:keepNext/>
              <w:keepLines/>
              <w:numPr>
                <w:ilvl w:val="0"/>
                <w:numId w:val="9"/>
              </w:numPr>
              <w:spacing w:before="120" w:after="120"/>
              <w:ind w:left="477" w:hanging="284"/>
              <w:rPr>
                <w:sz w:val="20"/>
                <w:szCs w:val="20"/>
              </w:rPr>
            </w:pPr>
            <w:r w:rsidRPr="00F10D84">
              <w:rPr>
                <w:sz w:val="20"/>
                <w:szCs w:val="20"/>
              </w:rPr>
              <w:t xml:space="preserve">a pause on </w:t>
            </w:r>
            <w:r w:rsidR="0015558C" w:rsidRPr="00F10D84">
              <w:rPr>
                <w:sz w:val="20"/>
                <w:szCs w:val="20"/>
              </w:rPr>
              <w:t>arrears</w:t>
            </w:r>
            <w:r w:rsidRPr="00F10D84">
              <w:rPr>
                <w:sz w:val="20"/>
                <w:szCs w:val="20"/>
              </w:rPr>
              <w:t xml:space="preserve"> payments for up to six months and part-payments of future bills</w:t>
            </w:r>
          </w:p>
          <w:p w14:paraId="2F52F36B" w14:textId="4A14069F" w:rsidR="00C43F4C" w:rsidRPr="00F10D84" w:rsidRDefault="00C43F4C" w:rsidP="00F10D84">
            <w:pPr>
              <w:pStyle w:val="TableBody"/>
              <w:keepNext/>
              <w:keepLines/>
              <w:numPr>
                <w:ilvl w:val="0"/>
                <w:numId w:val="9"/>
              </w:numPr>
              <w:spacing w:before="120" w:after="120"/>
              <w:ind w:left="477" w:hanging="284"/>
              <w:rPr>
                <w:sz w:val="20"/>
                <w:szCs w:val="20"/>
              </w:rPr>
            </w:pPr>
            <w:r w:rsidRPr="00F10D84">
              <w:rPr>
                <w:sz w:val="20"/>
                <w:szCs w:val="20"/>
              </w:rPr>
              <w:t xml:space="preserve">practical advice on reducing energy </w:t>
            </w:r>
            <w:bookmarkStart w:id="55" w:name="_Int_qfQVWvyQ"/>
            <w:r w:rsidRPr="00F10D84">
              <w:rPr>
                <w:sz w:val="20"/>
                <w:szCs w:val="20"/>
              </w:rPr>
              <w:t>cost</w:t>
            </w:r>
            <w:bookmarkEnd w:id="55"/>
            <w:r w:rsidRPr="00F10D84">
              <w:rPr>
                <w:sz w:val="20"/>
                <w:szCs w:val="20"/>
              </w:rPr>
              <w:t>, such as checking current energy offers and providing advice on the best energy offer available</w:t>
            </w:r>
          </w:p>
          <w:p w14:paraId="6FE8263A" w14:textId="442515DE" w:rsidR="00C43F4C" w:rsidRPr="00F10D84" w:rsidRDefault="00C43F4C" w:rsidP="00F10D84">
            <w:pPr>
              <w:pStyle w:val="TableBody"/>
              <w:keepNext/>
              <w:keepLines/>
              <w:numPr>
                <w:ilvl w:val="0"/>
                <w:numId w:val="9"/>
              </w:numPr>
              <w:spacing w:before="120" w:after="120"/>
              <w:ind w:left="477" w:hanging="284"/>
              <w:rPr>
                <w:sz w:val="20"/>
                <w:szCs w:val="20"/>
              </w:rPr>
            </w:pPr>
            <w:r w:rsidRPr="00F10D84">
              <w:rPr>
                <w:sz w:val="20"/>
                <w:szCs w:val="20"/>
              </w:rPr>
              <w:t>practical help to reduce energy bills, such as energy audit or energy efficiency products</w:t>
            </w:r>
          </w:p>
          <w:p w14:paraId="380F78C1" w14:textId="77777777" w:rsidR="00C43F4C" w:rsidRPr="00A96991" w:rsidRDefault="00C43F4C" w:rsidP="00F10D84">
            <w:pPr>
              <w:pStyle w:val="TableBody"/>
              <w:keepNext/>
              <w:keepLines/>
              <w:numPr>
                <w:ilvl w:val="0"/>
                <w:numId w:val="9"/>
              </w:numPr>
              <w:spacing w:before="120" w:after="120"/>
              <w:ind w:left="477" w:hanging="284"/>
              <w:rPr>
                <w:sz w:val="20"/>
                <w:szCs w:val="20"/>
              </w:rPr>
            </w:pPr>
            <w:r w:rsidRPr="00A96991">
              <w:rPr>
                <w:sz w:val="20"/>
                <w:szCs w:val="20"/>
              </w:rPr>
              <w:t xml:space="preserve">help to apply for and lodge a utility relief grant </w:t>
            </w:r>
            <w:r>
              <w:rPr>
                <w:sz w:val="20"/>
                <w:szCs w:val="20"/>
              </w:rPr>
              <w:t xml:space="preserve">application </w:t>
            </w:r>
            <w:r w:rsidRPr="00A96991">
              <w:rPr>
                <w:sz w:val="20"/>
                <w:szCs w:val="20"/>
              </w:rPr>
              <w:t>(</w:t>
            </w:r>
            <w:r w:rsidRPr="00A96991">
              <w:rPr>
                <w:i/>
                <w:sz w:val="20"/>
                <w:szCs w:val="20"/>
              </w:rPr>
              <w:t>introduced in October 2020</w:t>
            </w:r>
            <w:r w:rsidRPr="00A96991">
              <w:rPr>
                <w:sz w:val="20"/>
                <w:szCs w:val="20"/>
              </w:rPr>
              <w:t>)</w:t>
            </w:r>
          </w:p>
        </w:tc>
      </w:tr>
    </w:tbl>
    <w:p w14:paraId="24422C59" w14:textId="4063CBD2" w:rsidR="00C43F4C" w:rsidRDefault="00C43F4C" w:rsidP="00C43F4C">
      <w:bookmarkStart w:id="56" w:name="_Toc99679820"/>
      <w:r w:rsidRPr="00CF6016">
        <w:t xml:space="preserve">The new rules </w:t>
      </w:r>
      <w:r>
        <w:t xml:space="preserve">aimed to reduce </w:t>
      </w:r>
      <w:r w:rsidRPr="00CF6016">
        <w:t>many of the previous barriers to</w:t>
      </w:r>
      <w:r>
        <w:t xml:space="preserve"> </w:t>
      </w:r>
      <w:r w:rsidRPr="00CF6016">
        <w:t>customers receiving assistance</w:t>
      </w:r>
      <w:r>
        <w:t xml:space="preserve"> (</w:t>
      </w:r>
      <w:r>
        <w:fldChar w:fldCharType="begin"/>
      </w:r>
      <w:r>
        <w:instrText xml:space="preserve"> REF _Ref103000661 \h </w:instrText>
      </w:r>
      <w:r>
        <w:fldChar w:fldCharType="separate"/>
      </w:r>
      <w:r w:rsidR="00357DD7">
        <w:t xml:space="preserve">Figure </w:t>
      </w:r>
      <w:r w:rsidR="00357DD7">
        <w:rPr>
          <w:noProof/>
        </w:rPr>
        <w:t>5</w:t>
      </w:r>
      <w:r>
        <w:fldChar w:fldCharType="end"/>
      </w:r>
      <w:r>
        <w:t>)</w:t>
      </w:r>
      <w:r w:rsidRPr="00CF6016">
        <w:t>. Prior to the framework,</w:t>
      </w:r>
      <w:r>
        <w:t xml:space="preserve"> </w:t>
      </w:r>
      <w:r w:rsidRPr="00CF6016">
        <w:t>customers had to provide personal and sensitive</w:t>
      </w:r>
      <w:r>
        <w:t xml:space="preserve"> </w:t>
      </w:r>
      <w:r w:rsidRPr="00CF6016">
        <w:t>information about their circumstances before receiving</w:t>
      </w:r>
      <w:r>
        <w:t xml:space="preserve"> </w:t>
      </w:r>
      <w:r w:rsidRPr="00CF6016">
        <w:t>assistance. Retailers also had more discretion to decide</w:t>
      </w:r>
      <w:r>
        <w:t xml:space="preserve"> </w:t>
      </w:r>
      <w:r w:rsidRPr="00CF6016">
        <w:t>the timing and type of assistance offered to customers</w:t>
      </w:r>
      <w:r>
        <w:t xml:space="preserve"> </w:t>
      </w:r>
      <w:r w:rsidRPr="00CF6016">
        <w:t>and when it could be changed or withdrawn.</w:t>
      </w:r>
      <w:bookmarkEnd w:id="56"/>
    </w:p>
    <w:p w14:paraId="19AC2654" w14:textId="6D5650CF" w:rsidR="00C43F4C" w:rsidRDefault="00C43F4C" w:rsidP="008E0B2F">
      <w:pPr>
        <w:pStyle w:val="Figure-Table-BoxHeading"/>
        <w:keepNext/>
        <w:keepLines/>
        <w:numPr>
          <w:ilvl w:val="0"/>
          <w:numId w:val="0"/>
        </w:numPr>
        <w:ind w:left="851" w:hanging="851"/>
      </w:pPr>
      <w:bookmarkStart w:id="57" w:name="_Ref103000661"/>
      <w:bookmarkStart w:id="58" w:name="_Toc103943775"/>
      <w:r>
        <w:t xml:space="preserve">Figure </w:t>
      </w:r>
      <w:r>
        <w:fldChar w:fldCharType="begin"/>
      </w:r>
      <w:r>
        <w:instrText>SEQ Figure \* ARABIC</w:instrText>
      </w:r>
      <w:r>
        <w:fldChar w:fldCharType="separate"/>
      </w:r>
      <w:r w:rsidR="00357DD7">
        <w:rPr>
          <w:noProof/>
        </w:rPr>
        <w:t>5</w:t>
      </w:r>
      <w:r>
        <w:fldChar w:fldCharType="end"/>
      </w:r>
      <w:bookmarkEnd w:id="57"/>
      <w:r>
        <w:tab/>
        <w:t>Changes to support for customers experiencing payment difficulty</w:t>
      </w:r>
      <w:bookmarkEnd w:id="58"/>
    </w:p>
    <w:p w14:paraId="117AF57E" w14:textId="2CA4C946" w:rsidR="00F10D84" w:rsidRDefault="00F10D84" w:rsidP="00F10D84">
      <w:r>
        <w:rPr>
          <w:noProof/>
        </w:rPr>
        <w:drawing>
          <wp:inline distT="0" distB="0" distL="0" distR="0" wp14:anchorId="22949D28" wp14:editId="1FE57AED">
            <wp:extent cx="6120000" cy="2324787"/>
            <wp:effectExtent l="0" t="0" r="0" b="0"/>
            <wp:docPr id="100649" name="Picture 100649" descr="Infographic showing the impact of the framework. Before 1 January, retailers could decide whether a customer received assistance, when a customer received assistance, what level of assistance they would offer customers, and how or why they might amend or withdraw that assistance.&#10;After 1 January 2019, customers experiencing or anticipating payment difficulty are entitled to assistance, are provided assistance on request to the retailer, are entitled to a minimum level of assistance to help pay off their debt to retailers, are able to request changes to the assistance being provided to them, and are responsible for engaging with retailers to communicate needs and circumstances so assistance provided by the retailer is appropriate, flexible, and meaningful.&#10;Also, after 1 january 2019, retailers are responsible for providing assistance in line with the minimum standards, and are responsible for communicating entitlements to the customers openly to contribute to the objectives of th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9" name="Picture 100649" descr="Infographic showing the impact of the framework. Before 1 January, retailers could decide whether a customer received assistance, when a customer received assistance, what level of assistance they would offer customers, and how or why they might amend or withdraw that assistance.&#10;After 1 January 2019, customers experiencing or anticipating payment difficulty are entitled to assistance, are provided assistance on request to the retailer, are entitled to a minimum level of assistance to help pay off their debt to retailers, are able to request changes to the assistance being provided to them, and are responsible for engaging with retailers to communicate needs and circumstances so assistance provided by the retailer is appropriate, flexible, and meaningful.&#10;Also, after 1 january 2019, retailers are responsible for providing assistance in line with the minimum standards, and are responsible for communicating entitlements to the customers openly to contribute to the objectives of the framewor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000" cy="2324787"/>
                    </a:xfrm>
                    <a:prstGeom prst="rect">
                      <a:avLst/>
                    </a:prstGeom>
                    <a:noFill/>
                  </pic:spPr>
                </pic:pic>
              </a:graphicData>
            </a:graphic>
          </wp:inline>
        </w:drawing>
      </w:r>
    </w:p>
    <w:p w14:paraId="51FF73F3" w14:textId="0C5C1891" w:rsidR="00C43F4C" w:rsidRDefault="00C43F4C" w:rsidP="00F10D84">
      <w:pPr>
        <w:keepLines/>
      </w:pPr>
      <w:bookmarkStart w:id="59" w:name="_Ref99831988"/>
      <w:bookmarkStart w:id="60" w:name="_Ref100068552"/>
      <w:bookmarkStart w:id="61" w:name="_Toc100135062"/>
      <w:bookmarkStart w:id="62" w:name="_Toc100098130"/>
      <w:bookmarkStart w:id="63" w:name="_Toc100145059"/>
      <w:bookmarkStart w:id="64" w:name="_Toc102095464"/>
      <w:r>
        <w:lastRenderedPageBreak/>
        <w:t xml:space="preserve">The payment difficulty framework instead aims to provide customers with information about their entitlements to assistance </w:t>
      </w:r>
      <w:r w:rsidR="00825ED7">
        <w:t>at an early stage.</w:t>
      </w:r>
      <w:r>
        <w:t xml:space="preserve"> </w:t>
      </w:r>
      <w:r w:rsidR="00794CF7">
        <w:t xml:space="preserve">Retailers are also obligated to contact customers who have </w:t>
      </w:r>
      <w:r w:rsidR="009E6B6E">
        <w:t>missed a bill payment and have</w:t>
      </w:r>
      <w:r w:rsidR="00794CF7">
        <w:t xml:space="preserve"> more than $55 </w:t>
      </w:r>
      <w:r w:rsidR="00FC313B">
        <w:t>including</w:t>
      </w:r>
      <w:r w:rsidR="006B3966">
        <w:t xml:space="preserve"> GST </w:t>
      </w:r>
      <w:r w:rsidR="009E6B6E">
        <w:t>of</w:t>
      </w:r>
      <w:r w:rsidR="00794CF7">
        <w:t xml:space="preserve"> </w:t>
      </w:r>
      <w:r w:rsidR="00D963C3">
        <w:t>arrears</w:t>
      </w:r>
      <w:r w:rsidR="009E6B6E">
        <w:t xml:space="preserve"> </w:t>
      </w:r>
      <w:r w:rsidR="00825ED7">
        <w:t>and</w:t>
      </w:r>
      <w:r w:rsidR="00794CF7">
        <w:t xml:space="preserve"> provide them with information about </w:t>
      </w:r>
      <w:r w:rsidR="008B1E5B">
        <w:t>available</w:t>
      </w:r>
      <w:r w:rsidR="00794CF7">
        <w:t xml:space="preserve"> assistance.</w:t>
      </w:r>
      <w:r w:rsidR="00E25035">
        <w:t xml:space="preserve"> </w:t>
      </w:r>
      <w:r>
        <w:t xml:space="preserve">These processes aim to help a customer engage </w:t>
      </w:r>
      <w:r w:rsidR="00E25035">
        <w:t xml:space="preserve">at an early stage </w:t>
      </w:r>
      <w:r>
        <w:t>so that disconnection is only a measure of last resort</w:t>
      </w:r>
      <w:r w:rsidR="00825ED7">
        <w:t xml:space="preserve"> (</w:t>
      </w:r>
      <w:r>
        <w:t xml:space="preserve">as </w:t>
      </w:r>
      <w:r w:rsidR="00D818D1">
        <w:t xml:space="preserve">shown in </w:t>
      </w:r>
      <w:r>
        <w:fldChar w:fldCharType="begin"/>
      </w:r>
      <w:r>
        <w:instrText xml:space="preserve"> REF _Ref103322751 \h </w:instrText>
      </w:r>
      <w:r>
        <w:fldChar w:fldCharType="separate"/>
      </w:r>
      <w:r w:rsidR="00357DD7">
        <w:t xml:space="preserve">Figure </w:t>
      </w:r>
      <w:r w:rsidR="00357DD7">
        <w:rPr>
          <w:noProof/>
        </w:rPr>
        <w:t>6</w:t>
      </w:r>
      <w:r>
        <w:fldChar w:fldCharType="end"/>
      </w:r>
      <w:r w:rsidR="00825ED7">
        <w:t>)</w:t>
      </w:r>
      <w:r>
        <w:t>.</w:t>
      </w:r>
    </w:p>
    <w:p w14:paraId="501008B8" w14:textId="2C14CCF1" w:rsidR="00C43F4C" w:rsidRDefault="00C43F4C" w:rsidP="008E0B2F">
      <w:pPr>
        <w:pStyle w:val="Figure-Table-BoxHeading"/>
        <w:keepNext/>
        <w:keepLines/>
        <w:numPr>
          <w:ilvl w:val="0"/>
          <w:numId w:val="0"/>
        </w:numPr>
        <w:ind w:left="851" w:hanging="851"/>
      </w:pPr>
      <w:bookmarkStart w:id="65" w:name="_Ref103322751"/>
      <w:bookmarkStart w:id="66" w:name="_Toc103943776"/>
      <w:r>
        <w:t xml:space="preserve">Figure </w:t>
      </w:r>
      <w:r>
        <w:fldChar w:fldCharType="begin"/>
      </w:r>
      <w:r>
        <w:instrText>SEQ Figure \* ARABIC</w:instrText>
      </w:r>
      <w:r>
        <w:fldChar w:fldCharType="separate"/>
      </w:r>
      <w:r w:rsidR="00357DD7">
        <w:rPr>
          <w:noProof/>
        </w:rPr>
        <w:t>6</w:t>
      </w:r>
      <w:r>
        <w:fldChar w:fldCharType="end"/>
      </w:r>
      <w:bookmarkEnd w:id="59"/>
      <w:bookmarkEnd w:id="60"/>
      <w:bookmarkEnd w:id="65"/>
      <w:r>
        <w:tab/>
        <w:t>The experience of customers of the framework</w:t>
      </w:r>
      <w:bookmarkEnd w:id="61"/>
      <w:bookmarkEnd w:id="62"/>
      <w:bookmarkEnd w:id="63"/>
      <w:bookmarkEnd w:id="64"/>
      <w:bookmarkEnd w:id="66"/>
    </w:p>
    <w:p w14:paraId="4FC53FAF" w14:textId="6610A9FD" w:rsidR="00F10D84" w:rsidRDefault="00F10D84" w:rsidP="00C43F4C">
      <w:pPr>
        <w:keepNext/>
        <w:keepLines/>
      </w:pPr>
      <w:r>
        <w:rPr>
          <w:noProof/>
        </w:rPr>
        <w:drawing>
          <wp:inline distT="0" distB="0" distL="0" distR="0" wp14:anchorId="54E90CC0" wp14:editId="4873FD0A">
            <wp:extent cx="6120000" cy="2979075"/>
            <wp:effectExtent l="0" t="0" r="0" b="0"/>
            <wp:docPr id="100650" name="Picture 100650" descr="Infographic showing the customers' experience of the framework as a journey. &#10;If customers adhere to the assistance after engaging with the retailer, they can successfully exit support.&#10;If customers miss payments after engaging with the retailer, the retailer sends disconnection warning notice. If customers still do not adhere, they are dis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0" name="Picture 100650" descr="Infographic showing the customers' experience of the framework as a journey. &#10;If customers adhere to the assistance after engaging with the retailer, they can successfully exit support.&#10;If customers miss payments after engaging with the retailer, the retailer sends disconnection warning notice. If customers still do not adhere, they are disconnec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000" cy="2979075"/>
                    </a:xfrm>
                    <a:prstGeom prst="rect">
                      <a:avLst/>
                    </a:prstGeom>
                    <a:noFill/>
                  </pic:spPr>
                </pic:pic>
              </a:graphicData>
            </a:graphic>
          </wp:inline>
        </w:drawing>
      </w:r>
    </w:p>
    <w:p w14:paraId="233730EE" w14:textId="77777777" w:rsidR="00C43F4C" w:rsidRDefault="00C43F4C" w:rsidP="00C43F4C">
      <w:pPr>
        <w:pStyle w:val="Heading2"/>
      </w:pPr>
      <w:bookmarkStart w:id="67" w:name="_Toc104850113"/>
      <w:r>
        <w:t>Understanding consumers’ experience of vulnerability</w:t>
      </w:r>
      <w:bookmarkEnd w:id="67"/>
      <w:r>
        <w:t xml:space="preserve"> </w:t>
      </w:r>
    </w:p>
    <w:p w14:paraId="175CDCB3" w14:textId="77777777" w:rsidR="00C43F4C" w:rsidRDefault="00C43F4C" w:rsidP="00C43F4C">
      <w:r>
        <w:t xml:space="preserve">In 2020 and 2021, the commission </w:t>
      </w:r>
      <w:r w:rsidRPr="00C1776E">
        <w:t xml:space="preserve">undertook an 18-month research, engagement and capability building program </w:t>
      </w:r>
      <w:r>
        <w:t xml:space="preserve">to develop the </w:t>
      </w:r>
      <w:r w:rsidRPr="00C1776E">
        <w:t>‘Getting to fair’ strategy.</w:t>
      </w:r>
      <w:r>
        <w:t xml:space="preserve"> This strategy </w:t>
      </w:r>
      <w:r w:rsidRPr="001D75AB">
        <w:t xml:space="preserve">aims to break down the barriers consumers can face when accessing and engaging with essential services. It is a three-year roadmap for the </w:t>
      </w:r>
      <w:r>
        <w:t xml:space="preserve">commission </w:t>
      </w:r>
      <w:r w:rsidRPr="001D75AB">
        <w:t xml:space="preserve">to improve the experience of consumers facing </w:t>
      </w:r>
      <w:r>
        <w:t>vulnerability and aims to achieve this</w:t>
      </w:r>
      <w:r w:rsidRPr="001D75AB">
        <w:t xml:space="preserve"> by supporting our regulated and administered sectors to provide more responsive, inclusive, and accessible services.</w:t>
      </w:r>
    </w:p>
    <w:p w14:paraId="608B8861" w14:textId="77777777" w:rsidR="00C43F4C" w:rsidRDefault="00C43F4C" w:rsidP="00C43F4C">
      <w:r>
        <w:t>Our review</w:t>
      </w:r>
      <w:r w:rsidDel="00C07E8E">
        <w:t xml:space="preserve"> </w:t>
      </w:r>
      <w:r>
        <w:t>of the implementation of the payment difficulty framework draws on the research supporting our ‘Getting to fair’ strategy and is also a key objective and action in this roadmap.</w:t>
      </w:r>
    </w:p>
    <w:p w14:paraId="63FBEAC5" w14:textId="77777777" w:rsidR="00C43F4C" w:rsidRDefault="00C43F4C" w:rsidP="00C43F4C">
      <w:pPr>
        <w:pStyle w:val="Heading3"/>
        <w:rPr>
          <w:bCs/>
        </w:rPr>
      </w:pPr>
      <w:r>
        <w:lastRenderedPageBreak/>
        <w:t xml:space="preserve">Our </w:t>
      </w:r>
      <w:r w:rsidRPr="004207BA">
        <w:t xml:space="preserve">‘Getting to Fair’ </w:t>
      </w:r>
      <w:r>
        <w:t>strategy</w:t>
      </w:r>
    </w:p>
    <w:p w14:paraId="526A793B" w14:textId="77777777" w:rsidR="00C43F4C" w:rsidRDefault="00C43F4C" w:rsidP="00C43F4C">
      <w:r>
        <w:t>The strategy acknowledges that ‘</w:t>
      </w:r>
      <w:r w:rsidRPr="3B3F2C58">
        <w:t xml:space="preserve">regulators need to play a greater role in </w:t>
      </w:r>
      <w:r>
        <w:t xml:space="preserve">empowering </w:t>
      </w:r>
      <w:r w:rsidRPr="3B3F2C58">
        <w:t xml:space="preserve">consumers </w:t>
      </w:r>
      <w:r>
        <w:t xml:space="preserve">to </w:t>
      </w:r>
      <w:r w:rsidRPr="3B3F2C58">
        <w:t>make choices and seek help when they need</w:t>
      </w:r>
      <w:r>
        <w:t xml:space="preserve"> it</w:t>
      </w:r>
      <w:r w:rsidRPr="3B3F2C58">
        <w:t>, through breaking down barriers and facilitating equitable access to essential services.</w:t>
      </w:r>
      <w:r>
        <w:t>’</w:t>
      </w:r>
      <w:r>
        <w:rPr>
          <w:rStyle w:val="FootnoteReference"/>
        </w:rPr>
        <w:footnoteReference w:id="6"/>
      </w:r>
    </w:p>
    <w:p w14:paraId="59B9BB54" w14:textId="3D39FC01" w:rsidR="00C43F4C" w:rsidRDefault="00C43F4C" w:rsidP="00C43F4C">
      <w:r>
        <w:t>The strategy has three objectives that give focus to the experience of consumers, the opportunities for our regulated sectors to reduce barriers to access and engagement in the services we regulate, and our own opportunities to be more inclusive, responsive</w:t>
      </w:r>
      <w:r w:rsidR="00E46218">
        <w:t>,</w:t>
      </w:r>
      <w:r>
        <w:t xml:space="preserve"> and accessible. Each objective has associated actions that the commission has committed to delivering within three years of the release of the strategy (</w:t>
      </w:r>
      <w:r>
        <w:fldChar w:fldCharType="begin"/>
      </w:r>
      <w:r>
        <w:instrText xml:space="preserve"> REF _Ref103001301 \h </w:instrText>
      </w:r>
      <w:r>
        <w:fldChar w:fldCharType="separate"/>
      </w:r>
      <w:r w:rsidR="00357DD7">
        <w:t xml:space="preserve">Table </w:t>
      </w:r>
      <w:r w:rsidR="00357DD7">
        <w:rPr>
          <w:noProof/>
        </w:rPr>
        <w:t>1</w:t>
      </w:r>
      <w:r>
        <w:fldChar w:fldCharType="end"/>
      </w:r>
      <w:r>
        <w:t>).</w:t>
      </w:r>
    </w:p>
    <w:p w14:paraId="455458C3" w14:textId="6E176614" w:rsidR="00C43F4C" w:rsidRDefault="00C43F4C" w:rsidP="008E0B2F">
      <w:pPr>
        <w:pStyle w:val="Figure-Table-BoxHeading"/>
        <w:numPr>
          <w:ilvl w:val="0"/>
          <w:numId w:val="0"/>
        </w:numPr>
        <w:ind w:left="851" w:hanging="851"/>
      </w:pPr>
      <w:bookmarkStart w:id="68" w:name="_Ref103001301"/>
      <w:r>
        <w:t xml:space="preserve">Table </w:t>
      </w:r>
      <w:r>
        <w:fldChar w:fldCharType="begin"/>
      </w:r>
      <w:r>
        <w:instrText>SEQ Table \* ARABIC</w:instrText>
      </w:r>
      <w:r>
        <w:fldChar w:fldCharType="separate"/>
      </w:r>
      <w:r w:rsidR="00357DD7">
        <w:rPr>
          <w:noProof/>
        </w:rPr>
        <w:t>1</w:t>
      </w:r>
      <w:r>
        <w:fldChar w:fldCharType="end"/>
      </w:r>
      <w:bookmarkEnd w:id="68"/>
      <w:r>
        <w:tab/>
      </w:r>
      <w:r w:rsidRPr="00890B76">
        <w:t>Getting to Fair objectives and actions relevant to the payment difficulty framework</w:t>
      </w:r>
    </w:p>
    <w:tbl>
      <w:tblPr>
        <w:tblStyle w:val="TableGrid"/>
        <w:tblW w:w="5000" w:type="pct"/>
        <w:tblLook w:val="04A0" w:firstRow="1" w:lastRow="0" w:firstColumn="1" w:lastColumn="0" w:noHBand="0" w:noVBand="1"/>
      </w:tblPr>
      <w:tblGrid>
        <w:gridCol w:w="2835"/>
        <w:gridCol w:w="6803"/>
      </w:tblGrid>
      <w:tr w:rsidR="00C43F4C" w:rsidRPr="001344DD" w14:paraId="55179E88" w14:textId="77777777" w:rsidTr="00DC3F20">
        <w:trPr>
          <w:cnfStyle w:val="100000000000" w:firstRow="1" w:lastRow="0" w:firstColumn="0" w:lastColumn="0" w:oddVBand="0" w:evenVBand="0" w:oddHBand="0" w:evenHBand="0" w:firstRowFirstColumn="0" w:firstRowLastColumn="0" w:lastRowFirstColumn="0" w:lastRowLastColumn="0"/>
        </w:trPr>
        <w:tc>
          <w:tcPr>
            <w:tcW w:w="1471" w:type="pct"/>
          </w:tcPr>
          <w:p w14:paraId="4FDE031C" w14:textId="77777777" w:rsidR="00C43F4C" w:rsidRPr="001344DD" w:rsidRDefault="00C43F4C" w:rsidP="00DC3F20">
            <w:pPr>
              <w:pStyle w:val="TableBody"/>
              <w:rPr>
                <w:sz w:val="20"/>
                <w:szCs w:val="20"/>
              </w:rPr>
            </w:pPr>
            <w:r w:rsidRPr="001344DD">
              <w:rPr>
                <w:sz w:val="20"/>
                <w:szCs w:val="20"/>
              </w:rPr>
              <w:t>Objectives</w:t>
            </w:r>
          </w:p>
        </w:tc>
        <w:tc>
          <w:tcPr>
            <w:tcW w:w="3529" w:type="pct"/>
          </w:tcPr>
          <w:p w14:paraId="132A33F3" w14:textId="77777777" w:rsidR="00C43F4C" w:rsidRPr="001344DD" w:rsidRDefault="00C43F4C" w:rsidP="00DC3F20">
            <w:pPr>
              <w:pStyle w:val="TableBody"/>
              <w:rPr>
                <w:sz w:val="20"/>
                <w:szCs w:val="20"/>
              </w:rPr>
            </w:pPr>
            <w:r>
              <w:rPr>
                <w:sz w:val="20"/>
                <w:szCs w:val="20"/>
              </w:rPr>
              <w:t>Relevant a</w:t>
            </w:r>
            <w:r w:rsidRPr="001344DD">
              <w:rPr>
                <w:sz w:val="20"/>
                <w:szCs w:val="20"/>
              </w:rPr>
              <w:t>ctions</w:t>
            </w:r>
          </w:p>
        </w:tc>
      </w:tr>
      <w:tr w:rsidR="00C43F4C" w:rsidRPr="001344DD" w14:paraId="2D89A246" w14:textId="77777777" w:rsidTr="00DC3F20">
        <w:trPr>
          <w:cnfStyle w:val="000000100000" w:firstRow="0" w:lastRow="0" w:firstColumn="0" w:lastColumn="0" w:oddVBand="0" w:evenVBand="0" w:oddHBand="1" w:evenHBand="0" w:firstRowFirstColumn="0" w:firstRowLastColumn="0" w:lastRowFirstColumn="0" w:lastRowLastColumn="0"/>
        </w:trPr>
        <w:tc>
          <w:tcPr>
            <w:tcW w:w="1471" w:type="pct"/>
          </w:tcPr>
          <w:p w14:paraId="0629BC86" w14:textId="77777777" w:rsidR="00C43F4C" w:rsidRPr="001344DD" w:rsidRDefault="00C43F4C" w:rsidP="00DC3F20">
            <w:pPr>
              <w:pStyle w:val="TableBody"/>
              <w:rPr>
                <w:sz w:val="20"/>
                <w:szCs w:val="20"/>
              </w:rPr>
            </w:pPr>
            <w:r w:rsidRPr="001344DD">
              <w:rPr>
                <w:sz w:val="20"/>
                <w:szCs w:val="20"/>
              </w:rPr>
              <w:t>Objective 1: Consumers experiencing vulnerability are supported to better understand and exercise their rights and can influence our work.</w:t>
            </w:r>
          </w:p>
        </w:tc>
        <w:tc>
          <w:tcPr>
            <w:tcW w:w="3529" w:type="pct"/>
          </w:tcPr>
          <w:p w14:paraId="0A32107D" w14:textId="77777777" w:rsidR="00C43F4C" w:rsidRPr="001344DD" w:rsidRDefault="00C43F4C" w:rsidP="00F10D84">
            <w:pPr>
              <w:pStyle w:val="TableBody"/>
              <w:spacing w:before="120" w:after="120"/>
              <w:rPr>
                <w:sz w:val="20"/>
                <w:szCs w:val="20"/>
              </w:rPr>
            </w:pPr>
            <w:r w:rsidRPr="001344DD">
              <w:rPr>
                <w:sz w:val="20"/>
                <w:szCs w:val="20"/>
              </w:rPr>
              <w:t>Work collaboratively with our regulated sectors to support more effective and targeted engagement with diverse consumer and community groups, including with energy retailers and distributors, particularly through the payment difficulty framework review.</w:t>
            </w:r>
          </w:p>
          <w:p w14:paraId="04438673" w14:textId="7A92D291" w:rsidR="00C43F4C" w:rsidRPr="001344DD" w:rsidRDefault="00C43F4C" w:rsidP="00F10D84">
            <w:pPr>
              <w:pStyle w:val="TableBody"/>
              <w:spacing w:before="120" w:after="120"/>
              <w:rPr>
                <w:sz w:val="20"/>
                <w:szCs w:val="20"/>
              </w:rPr>
            </w:pPr>
            <w:r w:rsidRPr="001344DD">
              <w:rPr>
                <w:sz w:val="20"/>
                <w:szCs w:val="20"/>
              </w:rPr>
              <w:t>Include the voice of the consumer to better inform our work in: our reforms and monitoring of the energy market, including the effectiveness of the payment difficulty framework.</w:t>
            </w:r>
          </w:p>
        </w:tc>
      </w:tr>
      <w:tr w:rsidR="00C43F4C" w:rsidRPr="001344DD" w14:paraId="42441375" w14:textId="77777777" w:rsidTr="00DC3F20">
        <w:trPr>
          <w:cnfStyle w:val="000000010000" w:firstRow="0" w:lastRow="0" w:firstColumn="0" w:lastColumn="0" w:oddVBand="0" w:evenVBand="0" w:oddHBand="0" w:evenHBand="1" w:firstRowFirstColumn="0" w:firstRowLastColumn="0" w:lastRowFirstColumn="0" w:lastRowLastColumn="0"/>
        </w:trPr>
        <w:tc>
          <w:tcPr>
            <w:tcW w:w="1471" w:type="pct"/>
          </w:tcPr>
          <w:p w14:paraId="14232FA0" w14:textId="77777777" w:rsidR="00C43F4C" w:rsidRPr="001344DD" w:rsidRDefault="00C43F4C" w:rsidP="00DC3F20">
            <w:pPr>
              <w:pStyle w:val="TableBody"/>
              <w:rPr>
                <w:sz w:val="20"/>
                <w:szCs w:val="20"/>
              </w:rPr>
            </w:pPr>
            <w:r w:rsidRPr="001344DD">
              <w:rPr>
                <w:sz w:val="20"/>
                <w:szCs w:val="20"/>
              </w:rPr>
              <w:t>Objective 2: Services we regulate are more responsive, inclusive and accessible.</w:t>
            </w:r>
          </w:p>
        </w:tc>
        <w:tc>
          <w:tcPr>
            <w:tcW w:w="3529" w:type="pct"/>
          </w:tcPr>
          <w:p w14:paraId="24E6B896" w14:textId="77777777" w:rsidR="00C43F4C" w:rsidRPr="001344DD" w:rsidRDefault="00C43F4C" w:rsidP="00F10D84">
            <w:pPr>
              <w:pStyle w:val="TableBody"/>
              <w:spacing w:before="120" w:after="120"/>
              <w:rPr>
                <w:sz w:val="20"/>
                <w:szCs w:val="20"/>
              </w:rPr>
            </w:pPr>
            <w:r w:rsidRPr="001344DD">
              <w:rPr>
                <w:sz w:val="20"/>
                <w:szCs w:val="20"/>
              </w:rPr>
              <w:t>Support better practice in delivering services to consumers experiencing vulnerability in our regulated sectors, including</w:t>
            </w:r>
            <w:r>
              <w:rPr>
                <w:sz w:val="20"/>
                <w:szCs w:val="20"/>
              </w:rPr>
              <w:t xml:space="preserve"> </w:t>
            </w:r>
            <w:r w:rsidRPr="001344DD">
              <w:rPr>
                <w:sz w:val="20"/>
                <w:szCs w:val="20"/>
              </w:rPr>
              <w:t>a review of the effectiveness of the payment difficulty framework, focusing on implementation.</w:t>
            </w:r>
          </w:p>
        </w:tc>
      </w:tr>
    </w:tbl>
    <w:p w14:paraId="6B2FC8E9" w14:textId="77777777" w:rsidR="00C43F4C" w:rsidRPr="00465E1C" w:rsidRDefault="00C43F4C" w:rsidP="00C43F4C">
      <w:pPr>
        <w:pStyle w:val="Heading3"/>
      </w:pPr>
      <w:bookmarkStart w:id="69" w:name="_Ref104476339"/>
      <w:r w:rsidRPr="00465E1C">
        <w:t>What we mean by ‘consumer vulnerability’</w:t>
      </w:r>
      <w:r>
        <w:t xml:space="preserve"> and ‘barriers’ to accessing or engaging with essential services</w:t>
      </w:r>
      <w:bookmarkEnd w:id="69"/>
    </w:p>
    <w:p w14:paraId="233B7DF2" w14:textId="77777777" w:rsidR="00C43F4C" w:rsidRDefault="00C43F4C" w:rsidP="00C43F4C">
      <w:r>
        <w:t xml:space="preserve">The commission’s ‘Getting to Fair’ strategy considers ‘consumer vulnerability’ as: </w:t>
      </w:r>
    </w:p>
    <w:p w14:paraId="3C5B6496" w14:textId="77777777" w:rsidR="00C43F4C" w:rsidRPr="001D75AB" w:rsidRDefault="00C43F4C" w:rsidP="00C43F4C">
      <w:pPr>
        <w:pStyle w:val="Quote"/>
      </w:pPr>
      <w:r w:rsidRPr="001D75AB">
        <w:t>A person experiencing, or at risk of experiencing, vulnerability is someone who experiences barriers to accessing or engaging in the essential services we regulate or administer. As a result of those barriers, that person experiences economic and/or social exclusion or harm. Barriers include event-based circumstances, systemic factors, and market-based factors.</w:t>
      </w:r>
      <w:r>
        <w:rPr>
          <w:rStyle w:val="FootnoteReference"/>
        </w:rPr>
        <w:footnoteReference w:id="7"/>
      </w:r>
    </w:p>
    <w:p w14:paraId="192EA6C3" w14:textId="77777777" w:rsidR="00C43F4C" w:rsidRPr="002F5681" w:rsidRDefault="00C43F4C" w:rsidP="00C43F4C">
      <w:r>
        <w:lastRenderedPageBreak/>
        <w:t xml:space="preserve">The barriers we refer to are outside the characteristics of the individual. Barriers </w:t>
      </w:r>
      <w:r w:rsidRPr="07E14BD9">
        <w:t>can be temporary, long-term or permanent</w:t>
      </w:r>
      <w:r>
        <w:t>. Furthermore,</w:t>
      </w:r>
      <w:r w:rsidRPr="07E14BD9" w:rsidDel="00645DC9">
        <w:t xml:space="preserve"> c</w:t>
      </w:r>
      <w:r w:rsidRPr="07E14BD9">
        <w:t>onsumers might be affected by multiple barriers at the same time</w:t>
      </w:r>
      <w:r>
        <w:t xml:space="preserve">. This could mean someone is unable to pay their bills, but it could also mean they cannot access information or support from their provider. </w:t>
      </w:r>
    </w:p>
    <w:p w14:paraId="2DC03945" w14:textId="77777777" w:rsidR="00C43F4C" w:rsidRDefault="00C43F4C" w:rsidP="00C43F4C">
      <w:pPr>
        <w:keepNext/>
        <w:keepLines/>
        <w:rPr>
          <w:lang w:val="en-GB"/>
        </w:rPr>
      </w:pPr>
      <w:r w:rsidRPr="0072527F">
        <w:rPr>
          <w:lang w:val="en-GB"/>
        </w:rPr>
        <w:t>We all have the potential to experience vulnerability</w:t>
      </w:r>
      <w:r>
        <w:rPr>
          <w:lang w:val="en-GB"/>
        </w:rPr>
        <w:t>. T</w:t>
      </w:r>
      <w:r w:rsidRPr="0072527F">
        <w:rPr>
          <w:lang w:val="en-GB"/>
        </w:rPr>
        <w:t>his could be due to</w:t>
      </w:r>
      <w:r>
        <w:rPr>
          <w:lang w:val="en-GB"/>
        </w:rPr>
        <w:t>:</w:t>
      </w:r>
    </w:p>
    <w:p w14:paraId="4261C8E9" w14:textId="22CAFFB4" w:rsidR="00C43F4C" w:rsidRDefault="00C43F4C" w:rsidP="00C43F4C">
      <w:pPr>
        <w:pStyle w:val="ListBullet"/>
        <w:keepNext/>
        <w:keepLines/>
      </w:pPr>
      <w:r>
        <w:t>an event, such as job loss due to the pandemic, family violence or personal circumstances such as the</w:t>
      </w:r>
      <w:r w:rsidRPr="003417FD">
        <w:t xml:space="preserve"> death of </w:t>
      </w:r>
      <w:r>
        <w:t xml:space="preserve">a </w:t>
      </w:r>
      <w:r w:rsidRPr="003417FD">
        <w:t>loved one</w:t>
      </w:r>
      <w:r w:rsidR="007D2C06">
        <w:t>,</w:t>
      </w:r>
    </w:p>
    <w:p w14:paraId="3C655901" w14:textId="0D737E90" w:rsidR="00C43F4C" w:rsidRPr="00097A47" w:rsidRDefault="00C43F4C" w:rsidP="00C43F4C">
      <w:pPr>
        <w:pStyle w:val="ListBullet"/>
        <w:keepNext/>
        <w:keepLines/>
      </w:pPr>
      <w:r>
        <w:t xml:space="preserve">systemic factors like </w:t>
      </w:r>
      <w:r w:rsidRPr="00F02E8D">
        <w:t xml:space="preserve">employment insecurity, </w:t>
      </w:r>
      <w:r>
        <w:t>lack of access in regional areas, lack of digital literacy or racism</w:t>
      </w:r>
      <w:r w:rsidR="007D2C06">
        <w:t>, and/or</w:t>
      </w:r>
    </w:p>
    <w:p w14:paraId="17144459" w14:textId="77777777" w:rsidR="00C43F4C" w:rsidRDefault="00C43F4C" w:rsidP="00C43F4C">
      <w:pPr>
        <w:pStyle w:val="ListBullet"/>
        <w:keepNext/>
        <w:keepLines/>
      </w:pPr>
      <w:r>
        <w:t>features of the market; for example, where information is too complex, or products and services are not designed with everyone in mind.</w:t>
      </w:r>
      <w:r>
        <w:rPr>
          <w:rStyle w:val="FootnoteReference"/>
        </w:rPr>
        <w:footnoteReference w:id="8"/>
      </w:r>
    </w:p>
    <w:p w14:paraId="7F8EBAA8" w14:textId="32DA902D" w:rsidR="00C43F4C" w:rsidRDefault="00C43F4C" w:rsidP="00C43F4C">
      <w:r>
        <w:t>The way we discuss the barriers faced by consumers or customers experiencing vulnerability in this report, and the accompanying call recording</w:t>
      </w:r>
      <w:r w:rsidR="005F4B66">
        <w:t>s</w:t>
      </w:r>
      <w:r>
        <w:t xml:space="preserve"> study report, aligns with these definitions and understanding.</w:t>
      </w:r>
    </w:p>
    <w:p w14:paraId="219BC54E" w14:textId="77777777" w:rsidR="00C43F4C" w:rsidRDefault="00C43F4C" w:rsidP="00C43F4C">
      <w:pPr>
        <w:pStyle w:val="Heading1"/>
        <w:sectPr w:rsidR="00C43F4C" w:rsidSect="00DC3F20">
          <w:footerReference w:type="default" r:id="rId52"/>
          <w:pgSz w:w="11906" w:h="16838"/>
          <w:pgMar w:top="1134" w:right="1134" w:bottom="1134" w:left="1134" w:header="709" w:footer="692" w:gutter="0"/>
          <w:cols w:space="720"/>
          <w:docGrid w:linePitch="299"/>
        </w:sectPr>
      </w:pPr>
    </w:p>
    <w:p w14:paraId="6FED07FE" w14:textId="77777777" w:rsidR="00C43F4C" w:rsidRPr="00445D9A" w:rsidRDefault="00C43F4C" w:rsidP="00C43F4C">
      <w:pPr>
        <w:pStyle w:val="Heading1"/>
      </w:pPr>
      <w:bookmarkStart w:id="70" w:name="_Toc104850114"/>
      <w:r w:rsidRPr="00445D9A">
        <w:lastRenderedPageBreak/>
        <w:t>Our approach</w:t>
      </w:r>
      <w:bookmarkEnd w:id="70"/>
    </w:p>
    <w:p w14:paraId="73588020" w14:textId="77777777" w:rsidR="00C43F4C" w:rsidRPr="000C7B0B" w:rsidRDefault="00C43F4C" w:rsidP="00C43F4C">
      <w:pPr>
        <w:pStyle w:val="Introductionsentence"/>
      </w:pPr>
      <w:r>
        <w:t>The review focuses on evaluating the implementation of the framework in meeting its objectives, relying on direct customer experiences, and data and information relating to the implementation of the framework.</w:t>
      </w:r>
    </w:p>
    <w:p w14:paraId="25383859" w14:textId="77777777" w:rsidR="00C43F4C" w:rsidRPr="005C6209" w:rsidRDefault="00C43F4C" w:rsidP="00C43F4C">
      <w:pPr>
        <w:pStyle w:val="Heading2"/>
      </w:pPr>
      <w:bookmarkStart w:id="71" w:name="_Toc104850115"/>
      <w:r>
        <w:t>Purpose of our review</w:t>
      </w:r>
      <w:bookmarkEnd w:id="71"/>
    </w:p>
    <w:p w14:paraId="78D67762" w14:textId="105D6A6E" w:rsidR="00C43F4C" w:rsidRDefault="00C43F4C" w:rsidP="00C43F4C">
      <w:r>
        <w:t xml:space="preserve">We began the first phase of </w:t>
      </w:r>
      <w:r w:rsidDel="00B4205A">
        <w:t xml:space="preserve">our </w:t>
      </w:r>
      <w:r>
        <w:t>review in September 2021, by facilitating a stakeholder workshop on our proposed scope and approach for the review.</w:t>
      </w:r>
      <w:r>
        <w:rPr>
          <w:rStyle w:val="FootnoteReference"/>
        </w:rPr>
        <w:footnoteReference w:id="9"/>
      </w:r>
      <w:r>
        <w:t xml:space="preserve"> </w:t>
      </w:r>
      <w:r w:rsidR="007D2C06">
        <w:t>W</w:t>
      </w:r>
      <w:r>
        <w:t>e confirmed that the purpose of the review was to evaluate and assess the framework’s ability to meet its objectives. We also committed to identifying options for improving the operation of the framework.</w:t>
      </w:r>
      <w:r w:rsidRPr="001A6790">
        <w:t xml:space="preserve"> </w:t>
      </w:r>
    </w:p>
    <w:p w14:paraId="56AEEEA0" w14:textId="77777777" w:rsidR="00C43F4C" w:rsidRDefault="00C43F4C" w:rsidP="00C43F4C">
      <w:r>
        <w:t>While</w:t>
      </w:r>
      <w:r w:rsidDel="00EC1A97">
        <w:t xml:space="preserve"> </w:t>
      </w:r>
      <w:r>
        <w:t>undertaking the first phase of the review, w</w:t>
      </w:r>
      <w:r w:rsidRPr="00DE4111">
        <w:t xml:space="preserve">e </w:t>
      </w:r>
      <w:r>
        <w:t>sought</w:t>
      </w:r>
      <w:r w:rsidRPr="00DE4111">
        <w:t xml:space="preserve"> to understand</w:t>
      </w:r>
      <w:r>
        <w:t>:</w:t>
      </w:r>
    </w:p>
    <w:p w14:paraId="10054C11" w14:textId="6AC8AD3D" w:rsidR="00C43F4C" w:rsidRDefault="00C43F4C" w:rsidP="00C43F4C">
      <w:pPr>
        <w:pStyle w:val="ListBullet"/>
      </w:pPr>
      <w:r w:rsidRPr="00DE4111">
        <w:t>the ways the payment difficulty framework has been implemented</w:t>
      </w:r>
      <w:r w:rsidR="00062AFA">
        <w:t xml:space="preserve"> by retailers</w:t>
      </w:r>
      <w:r w:rsidR="007D2C06">
        <w:t>,</w:t>
      </w:r>
    </w:p>
    <w:p w14:paraId="3643D6C8" w14:textId="638DFE12" w:rsidR="00C43F4C" w:rsidRDefault="00F10D84" w:rsidP="00C43F4C">
      <w:pPr>
        <w:pStyle w:val="ListBullet"/>
      </w:pPr>
      <w:r>
        <w:t>customer</w:t>
      </w:r>
      <w:r w:rsidR="00C43F4C" w:rsidRPr="00DE4111">
        <w:t xml:space="preserve">s’ experience </w:t>
      </w:r>
      <w:r w:rsidR="00C43F4C" w:rsidRPr="002F5942">
        <w:t>of</w:t>
      </w:r>
      <w:r w:rsidR="00C43F4C" w:rsidRPr="00DE4111">
        <w:t xml:space="preserve"> the framework</w:t>
      </w:r>
      <w:r w:rsidR="007D2C06">
        <w:t>, and</w:t>
      </w:r>
    </w:p>
    <w:p w14:paraId="2EFE6B1A" w14:textId="77777777" w:rsidR="00C43F4C" w:rsidRDefault="00C43F4C" w:rsidP="00C43F4C">
      <w:pPr>
        <w:pStyle w:val="ListBullet"/>
      </w:pPr>
      <w:r w:rsidRPr="00DE4111">
        <w:t xml:space="preserve">the perspectives of community sector organisations. </w:t>
      </w:r>
    </w:p>
    <w:p w14:paraId="715FA0AE" w14:textId="3796CF51" w:rsidR="00C43F4C" w:rsidRDefault="00C43F4C" w:rsidP="00C43F4C">
      <w:r>
        <w:t xml:space="preserve">We also committed to not </w:t>
      </w:r>
      <w:r w:rsidRPr="00693A00">
        <w:t>revisit</w:t>
      </w:r>
      <w:r w:rsidR="007D2C06">
        <w:t>ing</w:t>
      </w:r>
      <w:r w:rsidRPr="00693A00">
        <w:t xml:space="preserve"> the policy rationale behind the framework</w:t>
      </w:r>
      <w:r>
        <w:t xml:space="preserve">, </w:t>
      </w:r>
      <w:r w:rsidRPr="00693A00">
        <w:t>which was substantively consulted on in 2017.</w:t>
      </w:r>
      <w:r>
        <w:t xml:space="preserve"> The review would also not </w:t>
      </w:r>
      <w:r w:rsidRPr="00693A00">
        <w:t>consider reforms to associated government programs and policy.</w:t>
      </w:r>
    </w:p>
    <w:p w14:paraId="0DA0CBBE" w14:textId="7D27BB32" w:rsidR="00343088" w:rsidRPr="0049551A" w:rsidRDefault="00A801E4" w:rsidP="00C43F4C">
      <w:r>
        <w:t>O</w:t>
      </w:r>
      <w:r w:rsidR="00343088">
        <w:t xml:space="preserve">ur </w:t>
      </w:r>
      <w:r>
        <w:t xml:space="preserve">review and </w:t>
      </w:r>
      <w:r w:rsidR="00343088">
        <w:t>findings have focused on the effectiveness of implementation by retailers</w:t>
      </w:r>
      <w:r>
        <w:t>. However, we recognise that there may be</w:t>
      </w:r>
      <w:r w:rsidR="00343088">
        <w:t xml:space="preserve"> specific cases of non-compliance</w:t>
      </w:r>
      <w:r w:rsidR="0074280A">
        <w:t xml:space="preserve"> relating to the framework, which</w:t>
      </w:r>
      <w:r w:rsidR="00343088">
        <w:t xml:space="preserve"> we will </w:t>
      </w:r>
      <w:r w:rsidR="0074280A">
        <w:t>act on a case-by-case basis as we have done in recent years</w:t>
      </w:r>
      <w:r>
        <w:t xml:space="preserve">. </w:t>
      </w:r>
      <w:r w:rsidR="0074280A">
        <w:t xml:space="preserve">We </w:t>
      </w:r>
      <w:r w:rsidR="00343088" w:rsidRPr="0049551A">
        <w:t>consider our approach</w:t>
      </w:r>
      <w:r w:rsidR="0074280A" w:rsidRPr="0049551A">
        <w:t>es</w:t>
      </w:r>
      <w:r w:rsidR="00343088" w:rsidRPr="0049551A">
        <w:t xml:space="preserve"> to compliance and enforcement on a case-by-case basis, using a risk-based approach as set out in our Compliance and Enforcement Policy.</w:t>
      </w:r>
      <w:r w:rsidR="00343088" w:rsidRPr="0049551A">
        <w:rPr>
          <w:rStyle w:val="FootnoteReference"/>
        </w:rPr>
        <w:footnoteReference w:id="10"/>
      </w:r>
      <w:r w:rsidRPr="0049551A">
        <w:t xml:space="preserve"> </w:t>
      </w:r>
      <w:r w:rsidR="005528F4" w:rsidRPr="0049551A">
        <w:t xml:space="preserve">The framework has </w:t>
      </w:r>
      <w:r w:rsidR="00C83598" w:rsidRPr="0049551A">
        <w:t xml:space="preserve">also </w:t>
      </w:r>
      <w:r w:rsidR="005528F4" w:rsidRPr="0049551A">
        <w:t>been a key focus area in our compliance and enforcement priorities in recent years.</w:t>
      </w:r>
    </w:p>
    <w:p w14:paraId="7CA4240D" w14:textId="77777777" w:rsidR="00C43F4C" w:rsidRDefault="00C43F4C" w:rsidP="00C43F4C">
      <w:r w:rsidRPr="0049551A">
        <w:t>Having now undertaken this first phase of the review, we recognise that the pandemic, and its associated impacts on both customers and retailers, has affected both the implementation of the framework, and highlighted its importance in supporting customers.</w:t>
      </w:r>
      <w:r>
        <w:t xml:space="preserve"> </w:t>
      </w:r>
    </w:p>
    <w:p w14:paraId="4007F5D7" w14:textId="6460BC2B" w:rsidR="00C43F4C" w:rsidRDefault="00C43F4C" w:rsidP="00C43F4C">
      <w:pPr>
        <w:pStyle w:val="Heading2"/>
      </w:pPr>
      <w:bookmarkStart w:id="72" w:name="_Toc104850116"/>
      <w:r>
        <w:lastRenderedPageBreak/>
        <w:t>Our review process</w:t>
      </w:r>
      <w:bookmarkEnd w:id="72"/>
    </w:p>
    <w:p w14:paraId="0C6F2156" w14:textId="77777777" w:rsidR="00C43F4C" w:rsidRDefault="00C43F4C" w:rsidP="00C43F4C">
      <w:r>
        <w:t xml:space="preserve">In September 2021, we </w:t>
      </w:r>
      <w:r w:rsidRPr="00DE4111">
        <w:t xml:space="preserve">commenced </w:t>
      </w:r>
      <w:r>
        <w:t xml:space="preserve">a review of the implementation of the framework. This findings report covers the first phase of the review. </w:t>
      </w:r>
    </w:p>
    <w:p w14:paraId="1E5E86C2" w14:textId="1B3E7601" w:rsidR="00C43F4C" w:rsidRDefault="00C43F4C" w:rsidP="00C43F4C">
      <w:r>
        <w:t>To inform this findings report, we developed our analyses using a range of inputs, data and feedback as follows (and shown in</w:t>
      </w:r>
      <w:r w:rsidR="0061374C">
        <w:t xml:space="preserve"> </w:t>
      </w:r>
      <w:r w:rsidR="0061374C">
        <w:fldChar w:fldCharType="begin"/>
      </w:r>
      <w:r w:rsidR="0061374C">
        <w:instrText xml:space="preserve"> REF _Ref105019820 \h </w:instrText>
      </w:r>
      <w:r w:rsidR="0061374C">
        <w:fldChar w:fldCharType="separate"/>
      </w:r>
      <w:r w:rsidR="00357DD7">
        <w:t xml:space="preserve">Figure </w:t>
      </w:r>
      <w:r w:rsidR="00357DD7">
        <w:rPr>
          <w:noProof/>
        </w:rPr>
        <w:t>7</w:t>
      </w:r>
      <w:r w:rsidR="0061374C">
        <w:fldChar w:fldCharType="end"/>
      </w:r>
      <w:r>
        <w:t>):</w:t>
      </w:r>
    </w:p>
    <w:p w14:paraId="2B6481E4" w14:textId="73789412" w:rsidR="00C43F4C" w:rsidRPr="007D2C06" w:rsidRDefault="00C43F4C" w:rsidP="008E42FA">
      <w:pPr>
        <w:pStyle w:val="ListBullet"/>
        <w:numPr>
          <w:ilvl w:val="0"/>
          <w:numId w:val="22"/>
        </w:numPr>
      </w:pPr>
      <w:r w:rsidRPr="005D3836">
        <w:t xml:space="preserve">Analysis </w:t>
      </w:r>
      <w:r w:rsidRPr="007D2C06">
        <w:t xml:space="preserve">of customer outcomes, based on data from obtained from retailers, </w:t>
      </w:r>
      <w:r w:rsidR="00F10D84" w:rsidRPr="007D2C06">
        <w:t>distributors,</w:t>
      </w:r>
      <w:r w:rsidRPr="007D2C06">
        <w:t xml:space="preserve"> and relevant government agencies (such as the Department of Families, Fairness and Housing).</w:t>
      </w:r>
    </w:p>
    <w:p w14:paraId="49D7D142" w14:textId="77777777" w:rsidR="00C43F4C" w:rsidRPr="007D2C06" w:rsidRDefault="00C43F4C" w:rsidP="008E42FA">
      <w:pPr>
        <w:pStyle w:val="ListBullet"/>
        <w:numPr>
          <w:ilvl w:val="0"/>
          <w:numId w:val="22"/>
        </w:numPr>
      </w:pPr>
      <w:r w:rsidRPr="007D2C06">
        <w:t>Stakeholder feedback from workshops and submissions.</w:t>
      </w:r>
    </w:p>
    <w:p w14:paraId="7783AB1D" w14:textId="3710AE57" w:rsidR="00C43F4C" w:rsidRPr="007D2C06" w:rsidRDefault="00C43F4C" w:rsidP="008E42FA">
      <w:pPr>
        <w:pStyle w:val="ListBullet"/>
        <w:numPr>
          <w:ilvl w:val="0"/>
          <w:numId w:val="22"/>
        </w:numPr>
      </w:pPr>
      <w:r w:rsidRPr="007D2C06">
        <w:t xml:space="preserve">Customer voices through call recordings. We engaged ORIMA Research to undertake a study on these call recordings, </w:t>
      </w:r>
      <w:r w:rsidR="00C30D2F" w:rsidRPr="007D2C06">
        <w:t>with</w:t>
      </w:r>
      <w:r w:rsidRPr="007D2C06">
        <w:t xml:space="preserve"> a </w:t>
      </w:r>
      <w:r w:rsidR="00C30D2F" w:rsidRPr="007D2C06">
        <w:t xml:space="preserve">study </w:t>
      </w:r>
      <w:r w:rsidRPr="007D2C06">
        <w:t xml:space="preserve">report that accompanies this review. </w:t>
      </w:r>
    </w:p>
    <w:p w14:paraId="11486515" w14:textId="77777777" w:rsidR="00C43F4C" w:rsidRPr="005D3836" w:rsidRDefault="00C43F4C" w:rsidP="008E42FA">
      <w:pPr>
        <w:pStyle w:val="ListBullet"/>
        <w:numPr>
          <w:ilvl w:val="0"/>
          <w:numId w:val="22"/>
        </w:numPr>
      </w:pPr>
      <w:r w:rsidRPr="007D2C06">
        <w:t>Consumer insights research drawn from publicly available sources, including</w:t>
      </w:r>
      <w:r w:rsidRPr="005D3836">
        <w:t xml:space="preserve"> direct research we conducted to develop our ‘Getting to fair’ strategy in 2021.</w:t>
      </w:r>
    </w:p>
    <w:p w14:paraId="4E349794" w14:textId="582345EF" w:rsidR="00446828" w:rsidRDefault="00446828" w:rsidP="00446828">
      <w:bookmarkStart w:id="73" w:name="_Ref103338419"/>
      <w:r>
        <w:t>Given the value that this additional information has provided for our review, we are also considering how this type of information might inform our on-going monitoring of the framework’s implementation and retailers’ compliance. This is discussed in the chapter, ‘</w:t>
      </w:r>
      <w:r w:rsidR="0061374C">
        <w:fldChar w:fldCharType="begin"/>
      </w:r>
      <w:r w:rsidR="0061374C">
        <w:instrText xml:space="preserve"> REF _Ref105019898 \h </w:instrText>
      </w:r>
      <w:r w:rsidR="0061374C">
        <w:fldChar w:fldCharType="separate"/>
      </w:r>
      <w:r w:rsidR="00357DD7">
        <w:t>Improving the operation of the framework</w:t>
      </w:r>
      <w:r w:rsidR="0061374C">
        <w:fldChar w:fldCharType="end"/>
      </w:r>
      <w:r>
        <w:t>’.</w:t>
      </w:r>
    </w:p>
    <w:p w14:paraId="215A9FB0" w14:textId="1B8477E6" w:rsidR="00C43F4C" w:rsidRDefault="00C43F4C" w:rsidP="008E0B2F">
      <w:pPr>
        <w:pStyle w:val="Figure-Table-BoxHeading"/>
        <w:keepNext/>
        <w:keepLines/>
        <w:numPr>
          <w:ilvl w:val="0"/>
          <w:numId w:val="0"/>
        </w:numPr>
      </w:pPr>
      <w:bookmarkStart w:id="74" w:name="_Toc103943777"/>
      <w:bookmarkStart w:id="75" w:name="_Ref105019820"/>
      <w:r>
        <w:t xml:space="preserve">Figure </w:t>
      </w:r>
      <w:r>
        <w:fldChar w:fldCharType="begin"/>
      </w:r>
      <w:r>
        <w:instrText>SEQ Figure \* ARABIC</w:instrText>
      </w:r>
      <w:r>
        <w:fldChar w:fldCharType="separate"/>
      </w:r>
      <w:r w:rsidR="00357DD7">
        <w:rPr>
          <w:noProof/>
        </w:rPr>
        <w:t>7</w:t>
      </w:r>
      <w:r>
        <w:fldChar w:fldCharType="end"/>
      </w:r>
      <w:bookmarkEnd w:id="73"/>
      <w:bookmarkEnd w:id="75"/>
      <w:r>
        <w:tab/>
        <w:t>Key inputs into the findings report</w:t>
      </w:r>
      <w:bookmarkEnd w:id="74"/>
    </w:p>
    <w:p w14:paraId="2CACDA3C" w14:textId="46D641B4" w:rsidR="00C43F4C" w:rsidRDefault="00C43F4C" w:rsidP="00F10D84">
      <w:pPr>
        <w:spacing w:after="360"/>
      </w:pPr>
      <w:r>
        <w:rPr>
          <w:noProof/>
        </w:rPr>
        <mc:AlternateContent>
          <mc:Choice Requires="wpc">
            <w:drawing>
              <wp:inline distT="0" distB="0" distL="0" distR="0" wp14:anchorId="41E810F8" wp14:editId="18D19646">
                <wp:extent cx="6120000" cy="2600638"/>
                <wp:effectExtent l="0" t="0" r="0" b="9525"/>
                <wp:docPr id="24" name="Canvas 24" descr="Infographic showing the key inputs into the findings report which are publicly available consumer research, data from retailers and stakeholders, stakeholder feedback from workshops and submissions, and call recordings between retailers and customers receiving tailored assistance. &#10;The findings report includes review findings and areas for improving implementation."/>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6" name="Isosceles Triangle 36"/>
                        <wps:cNvSpPr/>
                        <wps:spPr>
                          <a:xfrm rot="10800000">
                            <a:off x="117491" y="2"/>
                            <a:ext cx="5921135" cy="2197204"/>
                          </a:xfrm>
                          <a:prstGeom prst="triangl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851" tIns="45926" rIns="91851" bIns="45926" numCol="1" spcCol="0" rtlCol="0" fromWordArt="0" anchor="ctr" anchorCtr="0" forceAA="0" compatLnSpc="1">
                          <a:prstTxWarp prst="textNoShape">
                            <a:avLst/>
                          </a:prstTxWarp>
                          <a:noAutofit/>
                        </wps:bodyPr>
                      </wps:wsp>
                      <wps:wsp>
                        <wps:cNvPr id="28" name="Rectangle: Rounded Corners 28"/>
                        <wps:cNvSpPr/>
                        <wps:spPr>
                          <a:xfrm>
                            <a:off x="1327537" y="1503685"/>
                            <a:ext cx="3482220" cy="814926"/>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3A74E" w14:textId="77777777" w:rsidR="00C43F4C" w:rsidRDefault="00C43F4C" w:rsidP="00C43F4C">
                              <w:pPr>
                                <w:spacing w:before="0" w:after="120" w:line="240" w:lineRule="auto"/>
                                <w:ind w:left="1418"/>
                                <w:rPr>
                                  <w:lang w:val="en-US"/>
                                </w:rPr>
                              </w:pPr>
                              <w:r w:rsidRPr="00B2074D">
                                <w:rPr>
                                  <w:b/>
                                  <w:bCs/>
                                  <w:lang w:val="en-US"/>
                                </w:rPr>
                                <w:t>Findings report</w:t>
                              </w:r>
                            </w:p>
                            <w:p w14:paraId="5C363925" w14:textId="77777777" w:rsidR="00C43F4C" w:rsidRPr="00B2074D" w:rsidRDefault="00C43F4C" w:rsidP="008E42FA">
                              <w:pPr>
                                <w:pStyle w:val="ListParagraph"/>
                                <w:numPr>
                                  <w:ilvl w:val="0"/>
                                  <w:numId w:val="17"/>
                                </w:numPr>
                                <w:spacing w:before="0" w:after="0" w:line="240" w:lineRule="auto"/>
                                <w:ind w:left="1701" w:hanging="284"/>
                                <w:rPr>
                                  <w:sz w:val="20"/>
                                  <w:szCs w:val="20"/>
                                  <w:lang w:val="en-US"/>
                                </w:rPr>
                              </w:pPr>
                              <w:r w:rsidRPr="00B2074D">
                                <w:rPr>
                                  <w:sz w:val="20"/>
                                  <w:szCs w:val="20"/>
                                  <w:lang w:val="en-US"/>
                                </w:rPr>
                                <w:t>review findings</w:t>
                              </w:r>
                            </w:p>
                            <w:p w14:paraId="273B2A2B" w14:textId="77777777" w:rsidR="00C43F4C" w:rsidRPr="00B2074D" w:rsidRDefault="00C43F4C" w:rsidP="008E42FA">
                              <w:pPr>
                                <w:pStyle w:val="ListParagraph"/>
                                <w:numPr>
                                  <w:ilvl w:val="0"/>
                                  <w:numId w:val="17"/>
                                </w:numPr>
                                <w:spacing w:before="0" w:after="0" w:line="240" w:lineRule="auto"/>
                                <w:ind w:left="1701" w:hanging="284"/>
                                <w:rPr>
                                  <w:sz w:val="20"/>
                                  <w:szCs w:val="20"/>
                                  <w:lang w:val="en-US"/>
                                </w:rPr>
                              </w:pPr>
                              <w:r w:rsidRPr="00B2074D">
                                <w:rPr>
                                  <w:sz w:val="20"/>
                                  <w:szCs w:val="20"/>
                                  <w:lang w:val="en-US"/>
                                </w:rPr>
                                <w:t>areas for improving implementation</w:t>
                              </w:r>
                            </w:p>
                          </w:txbxContent>
                        </wps:txbx>
                        <wps:bodyPr rot="0" spcFirstLastPara="0" vertOverflow="overflow" horzOverflow="overflow" vert="horz" wrap="square" lIns="91851" tIns="45926" rIns="91851" bIns="45926" numCol="1" spcCol="0" rtlCol="0" fromWordArt="0" anchor="ctr" anchorCtr="0" forceAA="0" compatLnSpc="1">
                          <a:prstTxWarp prst="textNoShape">
                            <a:avLst/>
                          </a:prstTxWarp>
                          <a:noAutofit/>
                        </wps:bodyPr>
                      </wps:wsp>
                      <wps:wsp>
                        <wps:cNvPr id="134" name="Freeform: Shape 134">
                          <a:extLst>
                            <a:ext uri="{FF2B5EF4-FFF2-40B4-BE49-F238E27FC236}">
                              <a16:creationId xmlns:a16="http://schemas.microsoft.com/office/drawing/2014/main" id="{DCB47CDA-9624-4A18-8E4B-834766132E12}"/>
                            </a:ext>
                          </a:extLst>
                        </wps:cNvPr>
                        <wps:cNvSpPr/>
                        <wps:spPr>
                          <a:xfrm>
                            <a:off x="821672" y="531051"/>
                            <a:ext cx="903649" cy="1044688"/>
                          </a:xfrm>
                          <a:custGeom>
                            <a:avLst/>
                            <a:gdLst>
                              <a:gd name="connsiteX0" fmla="*/ 0 w 1421718"/>
                              <a:gd name="connsiteY0" fmla="*/ 0 h 1446154"/>
                              <a:gd name="connsiteX1" fmla="*/ 1421718 w 1421718"/>
                              <a:gd name="connsiteY1" fmla="*/ 0 h 1446154"/>
                              <a:gd name="connsiteX2" fmla="*/ 1421718 w 1421718"/>
                              <a:gd name="connsiteY2" fmla="*/ 1446154 h 1446154"/>
                              <a:gd name="connsiteX3" fmla="*/ 0 w 1421718"/>
                              <a:gd name="connsiteY3" fmla="*/ 1446154 h 1446154"/>
                              <a:gd name="connsiteX4" fmla="*/ 0 w 1421718"/>
                              <a:gd name="connsiteY4" fmla="*/ 0 h 14461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1718" h="1446154">
                                <a:moveTo>
                                  <a:pt x="0" y="0"/>
                                </a:moveTo>
                                <a:lnTo>
                                  <a:pt x="1421718" y="0"/>
                                </a:lnTo>
                                <a:lnTo>
                                  <a:pt x="1421718" y="1446154"/>
                                </a:lnTo>
                                <a:lnTo>
                                  <a:pt x="0" y="1446154"/>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1BAB083A" w14:textId="77777777" w:rsidR="00C43F4C" w:rsidRPr="008C3D1A" w:rsidRDefault="00C43F4C" w:rsidP="00C43F4C">
                              <w:pPr>
                                <w:spacing w:line="288" w:lineRule="auto"/>
                                <w:rPr>
                                  <w:rFonts w:hAnsi="Arial"/>
                                  <w:b/>
                                  <w:bCs/>
                                  <w:color w:val="4986A0" w:themeColor="text2"/>
                                  <w:kern w:val="24"/>
                                  <w:sz w:val="18"/>
                                  <w:szCs w:val="18"/>
                                </w:rPr>
                              </w:pPr>
                              <w:r w:rsidRPr="008C3D1A">
                                <w:rPr>
                                  <w:rFonts w:hAnsi="Arial"/>
                                  <w:b/>
                                  <w:bCs/>
                                  <w:color w:val="4986A0" w:themeColor="text2"/>
                                  <w:kern w:val="24"/>
                                  <w:sz w:val="18"/>
                                  <w:szCs w:val="18"/>
                                </w:rPr>
                                <w:t>Publicly available consumer research</w:t>
                              </w:r>
                            </w:p>
                          </w:txbxContent>
                        </wps:txbx>
                        <wps:bodyPr spcFirstLastPara="0" vert="horz" wrap="square" lIns="0" tIns="0" rIns="0" bIns="0" numCol="1" spcCol="1276" anchor="t" anchorCtr="0">
                          <a:noAutofit/>
                        </wps:bodyPr>
                      </wps:wsp>
                      <wps:wsp>
                        <wps:cNvPr id="140" name="Freeform: Shape 140">
                          <a:extLst>
                            <a:ext uri="{FF2B5EF4-FFF2-40B4-BE49-F238E27FC236}">
                              <a16:creationId xmlns:a16="http://schemas.microsoft.com/office/drawing/2014/main" id="{DCB47CDA-9624-4A18-8E4B-834766132E12}"/>
                            </a:ext>
                          </a:extLst>
                        </wps:cNvPr>
                        <wps:cNvSpPr/>
                        <wps:spPr>
                          <a:xfrm>
                            <a:off x="1998490" y="531496"/>
                            <a:ext cx="1004690" cy="1044240"/>
                          </a:xfrm>
                          <a:custGeom>
                            <a:avLst/>
                            <a:gdLst>
                              <a:gd name="connsiteX0" fmla="*/ 0 w 1421718"/>
                              <a:gd name="connsiteY0" fmla="*/ 0 h 1446154"/>
                              <a:gd name="connsiteX1" fmla="*/ 1421718 w 1421718"/>
                              <a:gd name="connsiteY1" fmla="*/ 0 h 1446154"/>
                              <a:gd name="connsiteX2" fmla="*/ 1421718 w 1421718"/>
                              <a:gd name="connsiteY2" fmla="*/ 1446154 h 1446154"/>
                              <a:gd name="connsiteX3" fmla="*/ 0 w 1421718"/>
                              <a:gd name="connsiteY3" fmla="*/ 1446154 h 1446154"/>
                              <a:gd name="connsiteX4" fmla="*/ 0 w 1421718"/>
                              <a:gd name="connsiteY4" fmla="*/ 0 h 14461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1718" h="1446154">
                                <a:moveTo>
                                  <a:pt x="0" y="0"/>
                                </a:moveTo>
                                <a:lnTo>
                                  <a:pt x="1421718" y="0"/>
                                </a:lnTo>
                                <a:lnTo>
                                  <a:pt x="1421718" y="1446154"/>
                                </a:lnTo>
                                <a:lnTo>
                                  <a:pt x="0" y="1446154"/>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195A15B5" w14:textId="77777777" w:rsidR="00C43F4C" w:rsidRPr="008C3D1A" w:rsidRDefault="00C43F4C" w:rsidP="00C43F4C">
                              <w:pPr>
                                <w:spacing w:line="288" w:lineRule="auto"/>
                                <w:rPr>
                                  <w:rFonts w:eastAsia="Arial" w:cs="Arial"/>
                                  <w:b/>
                                  <w:bCs/>
                                  <w:color w:val="4986A0"/>
                                  <w:kern w:val="24"/>
                                  <w:sz w:val="18"/>
                                  <w:szCs w:val="18"/>
                                  <w:lang w:val="en-US"/>
                                </w:rPr>
                              </w:pPr>
                              <w:r w:rsidRPr="008C3D1A">
                                <w:rPr>
                                  <w:rFonts w:eastAsia="Arial" w:cs="Arial"/>
                                  <w:b/>
                                  <w:bCs/>
                                  <w:color w:val="4986A0"/>
                                  <w:kern w:val="24"/>
                                  <w:sz w:val="18"/>
                                  <w:szCs w:val="18"/>
                                  <w:lang w:val="en-US"/>
                                </w:rPr>
                                <w:t>Data from retailers and stakeholders</w:t>
                              </w:r>
                            </w:p>
                          </w:txbxContent>
                        </wps:txbx>
                        <wps:bodyPr spcFirstLastPara="0" vert="horz" wrap="square" lIns="0" tIns="0" rIns="0" bIns="0" numCol="1" spcCol="1276" anchor="t" anchorCtr="0">
                          <a:noAutofit/>
                        </wps:bodyPr>
                      </wps:wsp>
                      <wps:wsp>
                        <wps:cNvPr id="141" name="Freeform: Shape 141">
                          <a:extLst>
                            <a:ext uri="{FF2B5EF4-FFF2-40B4-BE49-F238E27FC236}">
                              <a16:creationId xmlns:a16="http://schemas.microsoft.com/office/drawing/2014/main" id="{DCB47CDA-9624-4A18-8E4B-834766132E12}"/>
                            </a:ext>
                          </a:extLst>
                        </wps:cNvPr>
                        <wps:cNvSpPr/>
                        <wps:spPr>
                          <a:xfrm>
                            <a:off x="3216319" y="549268"/>
                            <a:ext cx="1004690" cy="1044240"/>
                          </a:xfrm>
                          <a:custGeom>
                            <a:avLst/>
                            <a:gdLst>
                              <a:gd name="connsiteX0" fmla="*/ 0 w 1421718"/>
                              <a:gd name="connsiteY0" fmla="*/ 0 h 1446154"/>
                              <a:gd name="connsiteX1" fmla="*/ 1421718 w 1421718"/>
                              <a:gd name="connsiteY1" fmla="*/ 0 h 1446154"/>
                              <a:gd name="connsiteX2" fmla="*/ 1421718 w 1421718"/>
                              <a:gd name="connsiteY2" fmla="*/ 1446154 h 1446154"/>
                              <a:gd name="connsiteX3" fmla="*/ 0 w 1421718"/>
                              <a:gd name="connsiteY3" fmla="*/ 1446154 h 1446154"/>
                              <a:gd name="connsiteX4" fmla="*/ 0 w 1421718"/>
                              <a:gd name="connsiteY4" fmla="*/ 0 h 14461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1718" h="1446154">
                                <a:moveTo>
                                  <a:pt x="0" y="0"/>
                                </a:moveTo>
                                <a:lnTo>
                                  <a:pt x="1421718" y="0"/>
                                </a:lnTo>
                                <a:lnTo>
                                  <a:pt x="1421718" y="1446154"/>
                                </a:lnTo>
                                <a:lnTo>
                                  <a:pt x="0" y="1446154"/>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7A8A3A05" w14:textId="77777777" w:rsidR="00C43F4C" w:rsidRPr="008C3D1A" w:rsidRDefault="00C43F4C" w:rsidP="00C43F4C">
                              <w:pPr>
                                <w:spacing w:line="288" w:lineRule="auto"/>
                                <w:rPr>
                                  <w:rFonts w:eastAsia="Arial" w:cs="Arial"/>
                                  <w:b/>
                                  <w:bCs/>
                                  <w:color w:val="4986A0"/>
                                  <w:kern w:val="24"/>
                                  <w:sz w:val="18"/>
                                  <w:szCs w:val="18"/>
                                  <w:lang w:val="en-US"/>
                                </w:rPr>
                              </w:pPr>
                              <w:r>
                                <w:rPr>
                                  <w:rFonts w:eastAsia="Arial" w:cs="Arial"/>
                                  <w:b/>
                                  <w:bCs/>
                                  <w:color w:val="4986A0"/>
                                  <w:kern w:val="24"/>
                                  <w:sz w:val="18"/>
                                  <w:szCs w:val="18"/>
                                  <w:lang w:val="en-US"/>
                                </w:rPr>
                                <w:t>Stakeholder feedback from workshops and submissions</w:t>
                              </w:r>
                            </w:p>
                          </w:txbxContent>
                        </wps:txbx>
                        <wps:bodyPr spcFirstLastPara="0" vert="horz" wrap="square" lIns="0" tIns="0" rIns="0" bIns="0" numCol="1" spcCol="1276" anchor="t" anchorCtr="0">
                          <a:noAutofit/>
                        </wps:bodyPr>
                      </wps:wsp>
                      <wps:wsp>
                        <wps:cNvPr id="142" name="Freeform: Shape 142">
                          <a:extLst>
                            <a:ext uri="{FF2B5EF4-FFF2-40B4-BE49-F238E27FC236}">
                              <a16:creationId xmlns:a16="http://schemas.microsoft.com/office/drawing/2014/main" id="{DCB47CDA-9624-4A18-8E4B-834766132E12}"/>
                            </a:ext>
                          </a:extLst>
                        </wps:cNvPr>
                        <wps:cNvSpPr/>
                        <wps:spPr>
                          <a:xfrm>
                            <a:off x="4655274" y="541280"/>
                            <a:ext cx="1253763" cy="1045681"/>
                          </a:xfrm>
                          <a:custGeom>
                            <a:avLst/>
                            <a:gdLst>
                              <a:gd name="connsiteX0" fmla="*/ 0 w 1421718"/>
                              <a:gd name="connsiteY0" fmla="*/ 0 h 1446154"/>
                              <a:gd name="connsiteX1" fmla="*/ 1421718 w 1421718"/>
                              <a:gd name="connsiteY1" fmla="*/ 0 h 1446154"/>
                              <a:gd name="connsiteX2" fmla="*/ 1421718 w 1421718"/>
                              <a:gd name="connsiteY2" fmla="*/ 1446154 h 1446154"/>
                              <a:gd name="connsiteX3" fmla="*/ 0 w 1421718"/>
                              <a:gd name="connsiteY3" fmla="*/ 1446154 h 1446154"/>
                              <a:gd name="connsiteX4" fmla="*/ 0 w 1421718"/>
                              <a:gd name="connsiteY4" fmla="*/ 0 h 14461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1718" h="1446154">
                                <a:moveTo>
                                  <a:pt x="0" y="0"/>
                                </a:moveTo>
                                <a:lnTo>
                                  <a:pt x="1421718" y="0"/>
                                </a:lnTo>
                                <a:lnTo>
                                  <a:pt x="1421718" y="1446154"/>
                                </a:lnTo>
                                <a:lnTo>
                                  <a:pt x="0" y="1446154"/>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005958D9" w14:textId="77777777" w:rsidR="00C43F4C" w:rsidRPr="008C3D1A" w:rsidRDefault="00C43F4C" w:rsidP="00C43F4C">
                              <w:pPr>
                                <w:spacing w:line="288" w:lineRule="auto"/>
                                <w:rPr>
                                  <w:rFonts w:eastAsia="Arial" w:cs="Arial"/>
                                  <w:b/>
                                  <w:bCs/>
                                  <w:color w:val="4986A0"/>
                                  <w:kern w:val="24"/>
                                  <w:sz w:val="18"/>
                                  <w:szCs w:val="18"/>
                                  <w:lang w:val="en-US"/>
                                </w:rPr>
                              </w:pPr>
                              <w:r w:rsidRPr="008C3D1A">
                                <w:rPr>
                                  <w:rFonts w:eastAsia="Arial" w:cs="Arial"/>
                                  <w:b/>
                                  <w:bCs/>
                                  <w:color w:val="4986A0"/>
                                  <w:kern w:val="24"/>
                                  <w:sz w:val="18"/>
                                  <w:szCs w:val="18"/>
                                  <w:lang w:val="en-US"/>
                                </w:rPr>
                                <w:t xml:space="preserve">Call recordings between retailers and customers receiving </w:t>
                              </w:r>
                              <w:r>
                                <w:rPr>
                                  <w:rFonts w:eastAsia="Arial" w:cs="Arial"/>
                                  <w:b/>
                                  <w:bCs/>
                                  <w:color w:val="4986A0"/>
                                  <w:kern w:val="24"/>
                                  <w:sz w:val="18"/>
                                  <w:szCs w:val="18"/>
                                  <w:lang w:val="en-US"/>
                                </w:rPr>
                                <w:t>tailored</w:t>
                              </w:r>
                              <w:r w:rsidRPr="008C3D1A">
                                <w:rPr>
                                  <w:rFonts w:eastAsia="Arial" w:cs="Arial"/>
                                  <w:b/>
                                  <w:bCs/>
                                  <w:color w:val="4986A0"/>
                                  <w:kern w:val="24"/>
                                  <w:sz w:val="18"/>
                                  <w:szCs w:val="18"/>
                                  <w:lang w:val="en-US"/>
                                </w:rPr>
                                <w:t xml:space="preserve"> assistance</w:t>
                              </w:r>
                            </w:p>
                          </w:txbxContent>
                        </wps:txbx>
                        <wps:bodyPr spcFirstLastPara="0" vert="horz" wrap="square" lIns="0" tIns="0" rIns="0" bIns="0" numCol="1" spcCol="1276" anchor="t" anchorCtr="0">
                          <a:noAutofit/>
                        </wps:bodyPr>
                      </wps:wsp>
                      <wps:wsp>
                        <wps:cNvPr id="143" name="Rectangle 143" descr="Magnifying glass">
                          <a:extLst>
                            <a:ext uri="{FF2B5EF4-FFF2-40B4-BE49-F238E27FC236}">
                              <a16:creationId xmlns:a16="http://schemas.microsoft.com/office/drawing/2014/main" id="{B927D4AA-0E4C-4081-84F1-31B8BC70CD58}"/>
                            </a:ext>
                          </a:extLst>
                        </wps:cNvPr>
                        <wps:cNvSpPr/>
                        <wps:spPr>
                          <a:xfrm>
                            <a:off x="727443" y="76436"/>
                            <a:ext cx="483755" cy="459349"/>
                          </a:xfrm>
                          <a:prstGeom prst="rect">
                            <a:avLst/>
                          </a:prstGeom>
                          <a: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a:blip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lIns="91851" tIns="45926" rIns="91851" bIns="45926"/>
                      </wps:wsp>
                      <wps:wsp>
                        <wps:cNvPr id="144" name="Rectangle 144" descr="Bar chart">
                          <a:extLst>
                            <a:ext uri="{FF2B5EF4-FFF2-40B4-BE49-F238E27FC236}">
                              <a16:creationId xmlns:a16="http://schemas.microsoft.com/office/drawing/2014/main" id="{23B36272-E321-4DB5-94FD-9C5D237AE4C7}"/>
                            </a:ext>
                          </a:extLst>
                        </wps:cNvPr>
                        <wps:cNvSpPr/>
                        <wps:spPr>
                          <a:xfrm>
                            <a:off x="1998489" y="76435"/>
                            <a:ext cx="522233" cy="519818"/>
                          </a:xfrm>
                          <a:prstGeom prst="rect">
                            <a:avLst/>
                          </a:prstGeom>
                          <a: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a:blip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lIns="91851" tIns="45926" rIns="91851" bIns="45926"/>
                      </wps:wsp>
                      <wps:wsp>
                        <wps:cNvPr id="145" name="Rectangle 145" descr="Users">
                          <a:extLst>
                            <a:ext uri="{FF2B5EF4-FFF2-40B4-BE49-F238E27FC236}">
                              <a16:creationId xmlns:a16="http://schemas.microsoft.com/office/drawing/2014/main" id="{4FB076F5-2A54-490B-8A21-B258893E6A6E}"/>
                            </a:ext>
                          </a:extLst>
                        </wps:cNvPr>
                        <wps:cNvSpPr/>
                        <wps:spPr>
                          <a:xfrm>
                            <a:off x="3237111" y="76435"/>
                            <a:ext cx="588949" cy="618199"/>
                          </a:xfrm>
                          <a:prstGeom prst="rect">
                            <a:avLst/>
                          </a:prstGeom>
                          <a: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a:blip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lIns="91851" tIns="45926" rIns="91851" bIns="45926"/>
                      </wps:wsp>
                      <wps:wsp>
                        <wps:cNvPr id="146" name="Rectangle 146" descr="Call center">
                          <a:extLst>
                            <a:ext uri="{FF2B5EF4-FFF2-40B4-BE49-F238E27FC236}">
                              <a16:creationId xmlns:a16="http://schemas.microsoft.com/office/drawing/2014/main" id="{FF2D0404-B5DE-47F2-87F0-9379874296A8}"/>
                            </a:ext>
                          </a:extLst>
                        </wps:cNvPr>
                        <wps:cNvSpPr/>
                        <wps:spPr>
                          <a:xfrm>
                            <a:off x="4560799" y="76436"/>
                            <a:ext cx="519316" cy="519826"/>
                          </a:xfrm>
                          <a:prstGeom prst="rect">
                            <a:avLst/>
                          </a:prstGeom>
                          <a: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a:blip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lIns="91851" tIns="45926" rIns="91851" bIns="45926"/>
                      </wps:wsp>
                      <pic:pic xmlns:pic="http://schemas.openxmlformats.org/drawingml/2006/picture">
                        <pic:nvPicPr>
                          <pic:cNvPr id="149" name="Picture 149"/>
                          <pic:cNvPicPr>
                            <a:picLocks noChangeAspect="1"/>
                          </pic:cNvPicPr>
                        </pic:nvPicPr>
                        <pic:blipFill>
                          <a:blip r:embed="rId61" cstate="print">
                            <a:lum bright="70000" contrast="-70000"/>
                            <a:extLst>
                              <a:ext uri="{BEBA8EAE-BF5A-486C-A8C5-ECC9F3942E4B}">
                                <a14:imgProps xmlns:a14="http://schemas.microsoft.com/office/drawing/2010/main">
                                  <a14:imgLayer r:embed="rId6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1425333" y="1607347"/>
                            <a:ext cx="573157" cy="573091"/>
                          </a:xfrm>
                          <a:prstGeom prst="rect">
                            <a:avLst/>
                          </a:prstGeom>
                          <a:noFill/>
                          <a:ln>
                            <a:noFill/>
                          </a:ln>
                        </pic:spPr>
                      </pic:pic>
                    </wpc:wpc>
                  </a:graphicData>
                </a:graphic>
              </wp:inline>
            </w:drawing>
          </mc:Choice>
          <mc:Fallback>
            <w:pict>
              <v:group w14:anchorId="41E810F8" id="Canvas 24" o:spid="_x0000_s1027" editas="canvas" alt="Infographic showing the key inputs into the findings report which are publicly available consumer research, data from retailers and stakeholders, stakeholder feedback from workshops and submissions, and call recordings between retailers and customers receiving tailored assistance. &#10;The findings report includes review findings and areas for improving implementation." style="width:481.9pt;height:204.75pt;mso-position-horizontal-relative:char;mso-position-vertical-relative:line" coordsize="61194,26003" o:gfxdata="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Infographic showing the key inputs into the findings report which are publicly available consumer research, data from retailers and stakeholders, stakeholder feedback from workshops and submissions, and call recordings between retailers and customers receiving tailored assistance. &#10;The findings report includes review findings and areas for improving implementation." style="position:absolute;width:61194;height:26003;visibility:visible;mso-wrap-style:square" filled="t">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 o:spid="_x0000_s1029" type="#_x0000_t5" style="position:absolute;left:1174;width:59212;height:21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" fillcolor="#f2f2f2 [3052]" stroked="f" strokeweight="1pt">
                  <v:textbox inset="2.55142mm,1.2757mm,2.55142mm,1.2757mm"/>
                </v:shape>
                <v:roundrect id="Rectangle: Rounded Corners 28" o:spid="_x0000_s1030" style="position:absolute;left:13275;top:15036;width:34822;height:8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" fillcolor="#236192 [3204]" stroked="f" strokeweight="1pt">
                  <v:stroke joinstyle="miter"/>
                  <v:textbox inset="2.55142mm,1.2757mm,2.55142mm,1.2757mm">
                    <w:txbxContent>
                      <w:p w14:paraId="3903A74E" w14:textId="77777777" w:rsidR="00C43F4C" w:rsidRDefault="00C43F4C" w:rsidP="00C43F4C">
                        <w:pPr>
                          <w:spacing w:before="0" w:after="120" w:line="240" w:lineRule="auto"/>
                          <w:ind w:left="1418"/>
                          <w:rPr>
                            <w:lang w:val="en-US"/>
                          </w:rPr>
                        </w:pPr>
                        <w:r w:rsidRPr="00B2074D">
                          <w:rPr>
                            <w:b/>
                            <w:bCs/>
                            <w:lang w:val="en-US"/>
                          </w:rPr>
                          <w:t>Findings report</w:t>
                        </w:r>
                      </w:p>
                      <w:p w14:paraId="5C363925" w14:textId="77777777" w:rsidR="00C43F4C" w:rsidRPr="00B2074D" w:rsidRDefault="00C43F4C" w:rsidP="008E42FA">
                        <w:pPr>
                          <w:pStyle w:val="ListParagraph"/>
                          <w:numPr>
                            <w:ilvl w:val="0"/>
                            <w:numId w:val="17"/>
                          </w:numPr>
                          <w:spacing w:before="0" w:after="0" w:line="240" w:lineRule="auto"/>
                          <w:ind w:left="1701" w:hanging="284"/>
                          <w:rPr>
                            <w:sz w:val="20"/>
                            <w:szCs w:val="20"/>
                            <w:lang w:val="en-US"/>
                          </w:rPr>
                        </w:pPr>
                        <w:r w:rsidRPr="00B2074D">
                          <w:rPr>
                            <w:sz w:val="20"/>
                            <w:szCs w:val="20"/>
                            <w:lang w:val="en-US"/>
                          </w:rPr>
                          <w:t>review findings</w:t>
                        </w:r>
                      </w:p>
                      <w:p w14:paraId="273B2A2B" w14:textId="77777777" w:rsidR="00C43F4C" w:rsidRPr="00B2074D" w:rsidRDefault="00C43F4C" w:rsidP="008E42FA">
                        <w:pPr>
                          <w:pStyle w:val="ListParagraph"/>
                          <w:numPr>
                            <w:ilvl w:val="0"/>
                            <w:numId w:val="17"/>
                          </w:numPr>
                          <w:spacing w:before="0" w:after="0" w:line="240" w:lineRule="auto"/>
                          <w:ind w:left="1701" w:hanging="284"/>
                          <w:rPr>
                            <w:sz w:val="20"/>
                            <w:szCs w:val="20"/>
                            <w:lang w:val="en-US"/>
                          </w:rPr>
                        </w:pPr>
                        <w:r w:rsidRPr="00B2074D">
                          <w:rPr>
                            <w:sz w:val="20"/>
                            <w:szCs w:val="20"/>
                            <w:lang w:val="en-US"/>
                          </w:rPr>
                          <w:t>areas for improving implementation</w:t>
                        </w:r>
                      </w:p>
                    </w:txbxContent>
                  </v:textbox>
                </v:roundrect>
                <v:shape id="Freeform: Shape 134" o:spid="_x0000_s1031" style="position:absolute;left:8216;top:5310;width:9037;height:10447;visibility:visible;mso-wrap-style:square;v-text-anchor:top" coordsize="1421718,1446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" adj="-11796480,,5400" path="m,l1421718,r,1446154l,1446154,,xe" filled="f" stroked="f">
                  <v:stroke joinstyle="miter"/>
                  <v:formulas/>
                  <v:path arrowok="t" o:connecttype="custom" o:connectlocs="0,0;903649,0;903649,1044688;0,1044688;0,0" o:connectangles="0,0,0,0,0" textboxrect="0,0,1421718,1446154"/>
                  <v:textbox inset="0,0,0,0">
                    <w:txbxContent>
                      <w:p w14:paraId="1BAB083A" w14:textId="77777777" w:rsidR="00C43F4C" w:rsidRPr="008C3D1A" w:rsidRDefault="00C43F4C" w:rsidP="00C43F4C">
                        <w:pPr>
                          <w:spacing w:line="288" w:lineRule="auto"/>
                          <w:rPr>
                            <w:rFonts w:hAnsi="Arial"/>
                            <w:b/>
                            <w:bCs/>
                            <w:color w:val="4986A0" w:themeColor="text2"/>
                            <w:kern w:val="24"/>
                            <w:sz w:val="18"/>
                            <w:szCs w:val="18"/>
                          </w:rPr>
                        </w:pPr>
                        <w:r w:rsidRPr="008C3D1A">
                          <w:rPr>
                            <w:rFonts w:hAnsi="Arial"/>
                            <w:b/>
                            <w:bCs/>
                            <w:color w:val="4986A0" w:themeColor="text2"/>
                            <w:kern w:val="24"/>
                            <w:sz w:val="18"/>
                            <w:szCs w:val="18"/>
                          </w:rPr>
                          <w:t>Publicly available consumer research</w:t>
                        </w:r>
                      </w:p>
                    </w:txbxContent>
                  </v:textbox>
                </v:shape>
                <v:shape id="Freeform: Shape 140" o:spid="_x0000_s1032" style="position:absolute;left:19984;top:5314;width:10047;height:10443;visibility:visible;mso-wrap-style:square;v-text-anchor:top" coordsize="1421718,1446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" adj="-11796480,,5400" path="m,l1421718,r,1446154l,1446154,,xe" filled="f" stroked="f">
                  <v:stroke joinstyle="miter"/>
                  <v:formulas/>
                  <v:path arrowok="t" o:connecttype="custom" o:connectlocs="0,0;1004690,0;1004690,1044240;0,1044240;0,0" o:connectangles="0,0,0,0,0" textboxrect="0,0,1421718,1446154"/>
                  <v:textbox inset="0,0,0,0">
                    <w:txbxContent>
                      <w:p w14:paraId="195A15B5" w14:textId="77777777" w:rsidR="00C43F4C" w:rsidRPr="008C3D1A" w:rsidRDefault="00C43F4C" w:rsidP="00C43F4C">
                        <w:pPr>
                          <w:spacing w:line="288" w:lineRule="auto"/>
                          <w:rPr>
                            <w:rFonts w:eastAsia="Arial" w:cs="Arial"/>
                            <w:b/>
                            <w:bCs/>
                            <w:color w:val="4986A0"/>
                            <w:kern w:val="24"/>
                            <w:sz w:val="18"/>
                            <w:szCs w:val="18"/>
                            <w:lang w:val="en-US"/>
                          </w:rPr>
                        </w:pPr>
                        <w:r w:rsidRPr="008C3D1A">
                          <w:rPr>
                            <w:rFonts w:eastAsia="Arial" w:cs="Arial"/>
                            <w:b/>
                            <w:bCs/>
                            <w:color w:val="4986A0"/>
                            <w:kern w:val="24"/>
                            <w:sz w:val="18"/>
                            <w:szCs w:val="18"/>
                            <w:lang w:val="en-US"/>
                          </w:rPr>
                          <w:t>Data from retailers and stakeholders</w:t>
                        </w:r>
                      </w:p>
                    </w:txbxContent>
                  </v:textbox>
                </v:shape>
                <v:shape id="Freeform: Shape 141" o:spid="_x0000_s1033" style="position:absolute;left:32163;top:5492;width:10047;height:10443;visibility:visible;mso-wrap-style:square;v-text-anchor:top" coordsize="1421718,1446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" adj="-11796480,,5400" path="m,l1421718,r,1446154l,1446154,,xe" filled="f" stroked="f">
                  <v:stroke joinstyle="miter"/>
                  <v:formulas/>
                  <v:path arrowok="t" o:connecttype="custom" o:connectlocs="0,0;1004690,0;1004690,1044240;0,1044240;0,0" o:connectangles="0,0,0,0,0" textboxrect="0,0,1421718,1446154"/>
                  <v:textbox inset="0,0,0,0">
                    <w:txbxContent>
                      <w:p w14:paraId="7A8A3A05" w14:textId="77777777" w:rsidR="00C43F4C" w:rsidRPr="008C3D1A" w:rsidRDefault="00C43F4C" w:rsidP="00C43F4C">
                        <w:pPr>
                          <w:spacing w:line="288" w:lineRule="auto"/>
                          <w:rPr>
                            <w:rFonts w:eastAsia="Arial" w:cs="Arial"/>
                            <w:b/>
                            <w:bCs/>
                            <w:color w:val="4986A0"/>
                            <w:kern w:val="24"/>
                            <w:sz w:val="18"/>
                            <w:szCs w:val="18"/>
                            <w:lang w:val="en-US"/>
                          </w:rPr>
                        </w:pPr>
                        <w:r>
                          <w:rPr>
                            <w:rFonts w:eastAsia="Arial" w:cs="Arial"/>
                            <w:b/>
                            <w:bCs/>
                            <w:color w:val="4986A0"/>
                            <w:kern w:val="24"/>
                            <w:sz w:val="18"/>
                            <w:szCs w:val="18"/>
                            <w:lang w:val="en-US"/>
                          </w:rPr>
                          <w:t>Stakeholder feedback from workshops and submissions</w:t>
                        </w:r>
                      </w:p>
                    </w:txbxContent>
                  </v:textbox>
                </v:shape>
                <v:shape id="Freeform: Shape 142" o:spid="_x0000_s1034" style="position:absolute;left:46552;top:5412;width:12538;height:10457;visibility:visible;mso-wrap-style:square;v-text-anchor:top" coordsize="1421718,1446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" adj="-11796480,,5400" path="m,l1421718,r,1446154l,1446154,,xe" filled="f" stroked="f">
                  <v:stroke joinstyle="miter"/>
                  <v:formulas/>
                  <v:path arrowok="t" o:connecttype="custom" o:connectlocs="0,0;1253763,0;1253763,1045681;0,1045681;0,0" o:connectangles="0,0,0,0,0" textboxrect="0,0,1421718,1446154"/>
                  <v:textbox inset="0,0,0,0">
                    <w:txbxContent>
                      <w:p w14:paraId="005958D9" w14:textId="77777777" w:rsidR="00C43F4C" w:rsidRPr="008C3D1A" w:rsidRDefault="00C43F4C" w:rsidP="00C43F4C">
                        <w:pPr>
                          <w:spacing w:line="288" w:lineRule="auto"/>
                          <w:rPr>
                            <w:rFonts w:eastAsia="Arial" w:cs="Arial"/>
                            <w:b/>
                            <w:bCs/>
                            <w:color w:val="4986A0"/>
                            <w:kern w:val="24"/>
                            <w:sz w:val="18"/>
                            <w:szCs w:val="18"/>
                            <w:lang w:val="en-US"/>
                          </w:rPr>
                        </w:pPr>
                        <w:r w:rsidRPr="008C3D1A">
                          <w:rPr>
                            <w:rFonts w:eastAsia="Arial" w:cs="Arial"/>
                            <w:b/>
                            <w:bCs/>
                            <w:color w:val="4986A0"/>
                            <w:kern w:val="24"/>
                            <w:sz w:val="18"/>
                            <w:szCs w:val="18"/>
                            <w:lang w:val="en-US"/>
                          </w:rPr>
                          <w:t xml:space="preserve">Call recordings between retailers and customers receiving </w:t>
                        </w:r>
                        <w:r>
                          <w:rPr>
                            <w:rFonts w:eastAsia="Arial" w:cs="Arial"/>
                            <w:b/>
                            <w:bCs/>
                            <w:color w:val="4986A0"/>
                            <w:kern w:val="24"/>
                            <w:sz w:val="18"/>
                            <w:szCs w:val="18"/>
                            <w:lang w:val="en-US"/>
                          </w:rPr>
                          <w:t>tailored</w:t>
                        </w:r>
                        <w:r w:rsidRPr="008C3D1A">
                          <w:rPr>
                            <w:rFonts w:eastAsia="Arial" w:cs="Arial"/>
                            <w:b/>
                            <w:bCs/>
                            <w:color w:val="4986A0"/>
                            <w:kern w:val="24"/>
                            <w:sz w:val="18"/>
                            <w:szCs w:val="18"/>
                            <w:lang w:val="en-US"/>
                          </w:rPr>
                          <w:t xml:space="preserve"> assistance</w:t>
                        </w:r>
                      </w:p>
                    </w:txbxContent>
                  </v:textbox>
                </v:shape>
                <v:rect id="Rectangle 143" o:spid="_x0000_s1035" alt="Magnifying glass" style="position:absolute;left:7274;top:764;width:4837;height:4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" stroked="f" strokeweight="1pt">
                  <v:fill r:id="rId63" o:title="Magnifying glass" recolor="t" rotate="t" type="frame"/>
                  <v:textbox inset="2.55142mm,1.2757mm,2.55142mm,1.2757mm"/>
                </v:rect>
                <v:rect id="Rectangle 144" o:spid="_x0000_s1036" alt="Bar chart" style="position:absolute;left:19984;top:764;width:5223;height:5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" stroked="f" strokeweight="1pt">
                  <v:fill r:id="rId64" o:title="Bar chart" recolor="t" rotate="t" type="frame"/>
                  <v:textbox inset="2.55142mm,1.2757mm,2.55142mm,1.2757mm"/>
                </v:rect>
                <v:rect id="Rectangle 145" o:spid="_x0000_s1037" alt="Users" style="position:absolute;left:32371;top:764;width:5889;height:6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" stroked="f" strokeweight="1pt">
                  <v:fill r:id="rId65" o:title="Users" recolor="t" rotate="t" type="frame"/>
                  <v:textbox inset="2.55142mm,1.2757mm,2.55142mm,1.2757mm"/>
                </v:rect>
                <v:rect id="Rectangle 146" o:spid="_x0000_s1038" alt="Call center" style="position:absolute;left:45607;top:764;width:5194;height:5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" stroked="f" strokeweight="1pt">
                  <v:fill r:id="rId66" o:title="Call center" recolor="t" rotate="t" type="frame"/>
                  <v:textbox inset="2.55142mm,1.2757mm,2.55142mm,1.2757mm"/>
                </v:rect>
                <v:shape id="Picture 149" o:spid="_x0000_s1039" type="#_x0000_t75" style="position:absolute;left:14253;top:16073;width:5731;height: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">
                  <v:imagedata r:id="rId67" o:title="" gain="19661f" blacklevel="22938f"/>
                </v:shape>
                <w10:anchorlock/>
              </v:group>
            </w:pict>
          </mc:Fallback>
        </mc:AlternateContent>
      </w:r>
    </w:p>
    <w:p w14:paraId="7E3D0B95" w14:textId="77777777" w:rsidR="00C43F4C" w:rsidRDefault="00C43F4C" w:rsidP="00C43F4C">
      <w:r>
        <w:t>In the</w:t>
      </w:r>
      <w:r w:rsidDel="00D0156B">
        <w:t xml:space="preserve"> </w:t>
      </w:r>
      <w:r>
        <w:t>second and final phase of the review, we will identify options for improving the operation of the framework. This will include working with interested stakeholders to design practical solutions to the issues raised in the review. We will also consider developing further guidance or industry education to further support implementation of the payment difficulty framework.</w:t>
      </w:r>
    </w:p>
    <w:p w14:paraId="06F24087" w14:textId="254FA04F" w:rsidR="00C43F4C" w:rsidRDefault="00C43F4C" w:rsidP="00C43F4C">
      <w:pPr>
        <w:pStyle w:val="Pull-outHeading"/>
      </w:pPr>
      <w:r>
        <w:lastRenderedPageBreak/>
        <w:t>Bringing customer voices into our review: our call recording</w:t>
      </w:r>
      <w:r w:rsidR="00BB6050">
        <w:t>s</w:t>
      </w:r>
      <w:r>
        <w:t xml:space="preserve"> study</w:t>
      </w:r>
    </w:p>
    <w:p w14:paraId="16A23604" w14:textId="10AA7DA5" w:rsidR="00C43F4C" w:rsidRDefault="00C43F4C" w:rsidP="00C43F4C">
      <w:pPr>
        <w:pStyle w:val="Pull-outHeading"/>
        <w:rPr>
          <w:b w:val="0"/>
          <w:bCs w:val="0"/>
        </w:rPr>
      </w:pPr>
      <w:r>
        <w:rPr>
          <w:b w:val="0"/>
          <w:bCs w:val="0"/>
        </w:rPr>
        <w:t>Our c</w:t>
      </w:r>
      <w:r w:rsidRPr="00BE6BAB">
        <w:rPr>
          <w:b w:val="0"/>
          <w:bCs w:val="0"/>
        </w:rPr>
        <w:t>all recording</w:t>
      </w:r>
      <w:r w:rsidR="00BB6050">
        <w:rPr>
          <w:b w:val="0"/>
          <w:bCs w:val="0"/>
        </w:rPr>
        <w:t>s</w:t>
      </w:r>
      <w:r w:rsidRPr="00BE6BAB">
        <w:rPr>
          <w:b w:val="0"/>
          <w:bCs w:val="0"/>
        </w:rPr>
        <w:t xml:space="preserve"> study is one </w:t>
      </w:r>
      <w:r>
        <w:rPr>
          <w:b w:val="0"/>
          <w:bCs w:val="0"/>
        </w:rPr>
        <w:t xml:space="preserve">of the </w:t>
      </w:r>
      <w:r w:rsidRPr="00BE6BAB">
        <w:rPr>
          <w:b w:val="0"/>
          <w:bCs w:val="0"/>
        </w:rPr>
        <w:t>key input</w:t>
      </w:r>
      <w:r>
        <w:rPr>
          <w:b w:val="0"/>
          <w:bCs w:val="0"/>
        </w:rPr>
        <w:t>s into the review of the implementation of the payment difficulty framework.</w:t>
      </w:r>
      <w:r w:rsidR="00610D74">
        <w:rPr>
          <w:rStyle w:val="FootnoteReference"/>
          <w:b w:val="0"/>
          <w:bCs w:val="0"/>
        </w:rPr>
        <w:footnoteReference w:id="11"/>
      </w:r>
      <w:r>
        <w:rPr>
          <w:b w:val="0"/>
          <w:bCs w:val="0"/>
        </w:rPr>
        <w:t xml:space="preserve"> This study follows the </w:t>
      </w:r>
      <w:r w:rsidRPr="00BE6BAB">
        <w:rPr>
          <w:b w:val="0"/>
          <w:bCs w:val="0"/>
        </w:rPr>
        <w:t xml:space="preserve">commission’s commitment to incorporate the </w:t>
      </w:r>
      <w:r w:rsidR="00F10D84">
        <w:rPr>
          <w:b w:val="0"/>
          <w:bCs w:val="0"/>
        </w:rPr>
        <w:t>customer</w:t>
      </w:r>
      <w:r w:rsidRPr="00BE6BAB">
        <w:rPr>
          <w:b w:val="0"/>
          <w:bCs w:val="0"/>
        </w:rPr>
        <w:t xml:space="preserve"> voice in our regulatory work</w:t>
      </w:r>
      <w:r>
        <w:rPr>
          <w:b w:val="0"/>
          <w:bCs w:val="0"/>
        </w:rPr>
        <w:t>, as per our ‘Getting to Fair’ strategy.</w:t>
      </w:r>
    </w:p>
    <w:p w14:paraId="67FEE90E" w14:textId="059AA11F" w:rsidR="00C43F4C" w:rsidRDefault="00C43F4C" w:rsidP="00C43F4C">
      <w:pPr>
        <w:pStyle w:val="Pull-outHeading"/>
        <w:rPr>
          <w:b w:val="0"/>
          <w:bCs w:val="0"/>
        </w:rPr>
      </w:pPr>
      <w:r>
        <w:rPr>
          <w:b w:val="0"/>
          <w:bCs w:val="0"/>
        </w:rPr>
        <w:t>This study involved the a</w:t>
      </w:r>
      <w:r w:rsidRPr="00FC4E58">
        <w:rPr>
          <w:b w:val="0"/>
          <w:bCs w:val="0"/>
        </w:rPr>
        <w:t xml:space="preserve">nalysis of call recordings and supplementary information from retailers providing assistance to customers under the payment difficulty framework. </w:t>
      </w:r>
      <w:r>
        <w:rPr>
          <w:b w:val="0"/>
          <w:bCs w:val="0"/>
        </w:rPr>
        <w:t xml:space="preserve">This analysis included the assessment of </w:t>
      </w:r>
      <w:r w:rsidRPr="00FC4E58">
        <w:rPr>
          <w:b w:val="0"/>
          <w:bCs w:val="0"/>
        </w:rPr>
        <w:t xml:space="preserve">how retailers interacted with </w:t>
      </w:r>
      <w:r w:rsidR="00F10D84">
        <w:rPr>
          <w:b w:val="0"/>
          <w:bCs w:val="0"/>
        </w:rPr>
        <w:t>customer</w:t>
      </w:r>
      <w:r w:rsidRPr="00FC4E58">
        <w:rPr>
          <w:b w:val="0"/>
          <w:bCs w:val="0"/>
        </w:rPr>
        <w:t>s in these call recordings, primarily whether energy retailers are providing assistance to customers under the payment difficult framework appropriately.</w:t>
      </w:r>
      <w:r>
        <w:rPr>
          <w:b w:val="0"/>
          <w:bCs w:val="0"/>
        </w:rPr>
        <w:t xml:space="preserve"> </w:t>
      </w:r>
      <w:r w:rsidRPr="00B248FA">
        <w:rPr>
          <w:b w:val="0"/>
          <w:bCs w:val="0"/>
        </w:rPr>
        <w:t xml:space="preserve">This </w:t>
      </w:r>
      <w:r>
        <w:rPr>
          <w:b w:val="0"/>
          <w:bCs w:val="0"/>
        </w:rPr>
        <w:t xml:space="preserve">analysis does </w:t>
      </w:r>
      <w:r w:rsidRPr="00B248FA">
        <w:rPr>
          <w:b w:val="0"/>
          <w:bCs w:val="0"/>
        </w:rPr>
        <w:t>not capture customer</w:t>
      </w:r>
      <w:r>
        <w:rPr>
          <w:b w:val="0"/>
          <w:bCs w:val="0"/>
        </w:rPr>
        <w:t xml:space="preserve">s </w:t>
      </w:r>
      <w:r w:rsidRPr="00B248FA">
        <w:rPr>
          <w:b w:val="0"/>
          <w:bCs w:val="0"/>
        </w:rPr>
        <w:t xml:space="preserve">who </w:t>
      </w:r>
      <w:r>
        <w:rPr>
          <w:b w:val="0"/>
          <w:bCs w:val="0"/>
        </w:rPr>
        <w:t xml:space="preserve">did not receive assistance. </w:t>
      </w:r>
    </w:p>
    <w:p w14:paraId="393FA15E" w14:textId="77777777" w:rsidR="00C43F4C" w:rsidRDefault="00C43F4C" w:rsidP="00C43F4C">
      <w:pPr>
        <w:pStyle w:val="Pull-outHeading"/>
        <w:rPr>
          <w:b w:val="0"/>
          <w:bCs w:val="0"/>
        </w:rPr>
      </w:pPr>
      <w:r>
        <w:rPr>
          <w:b w:val="0"/>
          <w:bCs w:val="0"/>
        </w:rPr>
        <w:t xml:space="preserve">Call recordings and supporting information were requested from retailers with residential customers receiving payment assistance. We were able to request this information through formal notices issued to retailers under section 36 of the ESC Act 2001. These notices were issued in December 2021, and we received responses to these notices in early 2022. </w:t>
      </w:r>
    </w:p>
    <w:p w14:paraId="591E6079" w14:textId="2267F50C" w:rsidR="00C43F4C" w:rsidRDefault="00C43F4C" w:rsidP="00C43F4C">
      <w:pPr>
        <w:pStyle w:val="Pull-outHeading"/>
        <w:rPr>
          <w:b w:val="0"/>
          <w:bCs w:val="0"/>
        </w:rPr>
      </w:pPr>
      <w:r>
        <w:rPr>
          <w:b w:val="0"/>
          <w:bCs w:val="0"/>
        </w:rPr>
        <w:t xml:space="preserve">Our sampling methodology aimed for call recordings and information relating to </w:t>
      </w:r>
      <w:r w:rsidR="00CA5351">
        <w:rPr>
          <w:b w:val="0"/>
          <w:bCs w:val="0"/>
        </w:rPr>
        <w:t xml:space="preserve">a representative sample of </w:t>
      </w:r>
      <w:r>
        <w:rPr>
          <w:b w:val="0"/>
          <w:bCs w:val="0"/>
        </w:rPr>
        <w:t>100 customers. We received call recordings from 94 customers and engaged ORIMA Research to independently analyse these calls and supporting information.</w:t>
      </w:r>
    </w:p>
    <w:p w14:paraId="7D67ED2D" w14:textId="3DD93AB6" w:rsidR="00C43F4C" w:rsidRDefault="00C43F4C" w:rsidP="00C43F4C">
      <w:pPr>
        <w:pStyle w:val="Pull-outHeading"/>
        <w:rPr>
          <w:b w:val="0"/>
          <w:bCs w:val="0"/>
        </w:rPr>
      </w:pPr>
      <w:r>
        <w:rPr>
          <w:b w:val="0"/>
          <w:bCs w:val="0"/>
        </w:rPr>
        <w:t xml:space="preserve">Findings from this study are discussed throughout this report. </w:t>
      </w:r>
      <w:r w:rsidRPr="00446828">
        <w:rPr>
          <w:b w:val="0"/>
          <w:bCs w:val="0"/>
        </w:rPr>
        <w:fldChar w:fldCharType="begin"/>
      </w:r>
      <w:r w:rsidRPr="00446828">
        <w:rPr>
          <w:b w:val="0"/>
          <w:bCs w:val="0"/>
        </w:rPr>
        <w:instrText xml:space="preserve"> REF _Ref103676388 \h </w:instrText>
      </w:r>
      <w:r w:rsidR="00446828" w:rsidRPr="00446828">
        <w:rPr>
          <w:b w:val="0"/>
          <w:bCs w:val="0"/>
        </w:rPr>
        <w:instrText xml:space="preserve"> \* MERGEFORMAT </w:instrText>
      </w:r>
      <w:r w:rsidRPr="00446828">
        <w:rPr>
          <w:b w:val="0"/>
          <w:bCs w:val="0"/>
        </w:rPr>
      </w:r>
      <w:r w:rsidRPr="00446828">
        <w:rPr>
          <w:b w:val="0"/>
          <w:bCs w:val="0"/>
        </w:rPr>
        <w:fldChar w:fldCharType="separate"/>
      </w:r>
      <w:r w:rsidR="00357DD7" w:rsidRPr="00357DD7">
        <w:rPr>
          <w:b w:val="0"/>
          <w:bCs w:val="0"/>
        </w:rPr>
        <w:t>Appendix 1: Call recordings study scope and methodology</w:t>
      </w:r>
      <w:r w:rsidRPr="00446828">
        <w:rPr>
          <w:b w:val="0"/>
          <w:bCs w:val="0"/>
        </w:rPr>
        <w:fldChar w:fldCharType="end"/>
      </w:r>
      <w:r w:rsidRPr="00446828">
        <w:rPr>
          <w:b w:val="0"/>
          <w:bCs w:val="0"/>
        </w:rPr>
        <w:t xml:space="preserve"> provides further details</w:t>
      </w:r>
      <w:r>
        <w:rPr>
          <w:b w:val="0"/>
          <w:bCs w:val="0"/>
        </w:rPr>
        <w:t xml:space="preserve"> about our sampling and analyses methodology. The full call recordings study report has been released alongside our findings report.</w:t>
      </w:r>
    </w:p>
    <w:p w14:paraId="24DA9727" w14:textId="12E5856A" w:rsidR="00446828" w:rsidRDefault="00446828" w:rsidP="00AB38AE">
      <w:pPr>
        <w:pStyle w:val="Caption"/>
        <w:rPr>
          <w:rFonts w:ascii="Tahoma" w:eastAsiaTheme="majorEastAsia" w:hAnsi="Tahoma" w:cstheme="majorBidi"/>
          <w:sz w:val="26"/>
          <w:szCs w:val="26"/>
        </w:rPr>
      </w:pPr>
    </w:p>
    <w:p w14:paraId="1702D4C8" w14:textId="2E91A7AE" w:rsidR="00C43F4C" w:rsidRPr="005C6209" w:rsidRDefault="00C43F4C" w:rsidP="00C43F4C">
      <w:pPr>
        <w:pStyle w:val="Heading2"/>
      </w:pPr>
      <w:bookmarkStart w:id="76" w:name="_Toc104850117"/>
      <w:r>
        <w:lastRenderedPageBreak/>
        <w:t>How we assessed the framework’s implementation against its objectives</w:t>
      </w:r>
      <w:bookmarkEnd w:id="76"/>
      <w:r>
        <w:t xml:space="preserve"> </w:t>
      </w:r>
    </w:p>
    <w:p w14:paraId="62A9B2D4" w14:textId="40333355" w:rsidR="00C43F4C" w:rsidRDefault="00C43F4C" w:rsidP="00C43F4C">
      <w:pPr>
        <w:keepNext/>
        <w:keepLines/>
        <w:jc w:val="both"/>
      </w:pPr>
      <w:r>
        <w:t>W</w:t>
      </w:r>
      <w:r w:rsidRPr="00E060CA">
        <w:t>e considered the original objectives of the framework and whether the framework was being implemented effectively against those objectives.</w:t>
      </w:r>
      <w:r w:rsidRPr="007951A8">
        <w:t xml:space="preserve"> </w:t>
      </w:r>
      <w:r>
        <w:t>The following chapters set out our key findings as they relate to these questions (</w:t>
      </w:r>
      <w:r>
        <w:fldChar w:fldCharType="begin"/>
      </w:r>
      <w:r>
        <w:instrText xml:space="preserve"> REF _Ref103009307 \h </w:instrText>
      </w:r>
      <w:r>
        <w:fldChar w:fldCharType="separate"/>
      </w:r>
      <w:r w:rsidR="00357DD7">
        <w:t xml:space="preserve">Table </w:t>
      </w:r>
      <w:r w:rsidR="00357DD7">
        <w:rPr>
          <w:noProof/>
        </w:rPr>
        <w:t>2</w:t>
      </w:r>
      <w:r>
        <w:fldChar w:fldCharType="end"/>
      </w:r>
      <w:r>
        <w:t xml:space="preserve">). </w:t>
      </w:r>
    </w:p>
    <w:p w14:paraId="233E555F" w14:textId="691CD076" w:rsidR="00C43F4C" w:rsidRDefault="00C43F4C" w:rsidP="00F14D9A">
      <w:pPr>
        <w:pStyle w:val="Figure-Table-BoxHeading"/>
        <w:keepNext/>
        <w:keepLines/>
        <w:numPr>
          <w:ilvl w:val="0"/>
          <w:numId w:val="0"/>
        </w:numPr>
        <w:ind w:left="851" w:hanging="851"/>
      </w:pPr>
      <w:bookmarkStart w:id="77" w:name="_Ref103009307"/>
      <w:bookmarkStart w:id="78" w:name="_Ref103009301"/>
      <w:r>
        <w:t xml:space="preserve">Table </w:t>
      </w:r>
      <w:r>
        <w:fldChar w:fldCharType="begin"/>
      </w:r>
      <w:r>
        <w:instrText>SEQ Table \* ARABIC</w:instrText>
      </w:r>
      <w:r>
        <w:fldChar w:fldCharType="separate"/>
      </w:r>
      <w:r w:rsidR="00357DD7">
        <w:rPr>
          <w:noProof/>
        </w:rPr>
        <w:t>2</w:t>
      </w:r>
      <w:r>
        <w:fldChar w:fldCharType="end"/>
      </w:r>
      <w:bookmarkEnd w:id="77"/>
      <w:r>
        <w:tab/>
        <w:t>Framework objectives and our findings report questions</w:t>
      </w:r>
      <w:bookmarkEnd w:id="78"/>
    </w:p>
    <w:tbl>
      <w:tblPr>
        <w:tblStyle w:val="TableGrid"/>
        <w:tblW w:w="0" w:type="auto"/>
        <w:tblLook w:val="04A0" w:firstRow="1" w:lastRow="0" w:firstColumn="1" w:lastColumn="0" w:noHBand="0" w:noVBand="1"/>
      </w:tblPr>
      <w:tblGrid>
        <w:gridCol w:w="4819"/>
        <w:gridCol w:w="4819"/>
      </w:tblGrid>
      <w:tr w:rsidR="00C43F4C" w14:paraId="269911BE" w14:textId="77777777" w:rsidTr="00DC3F20">
        <w:trPr>
          <w:cnfStyle w:val="100000000000" w:firstRow="1" w:lastRow="0" w:firstColumn="0" w:lastColumn="0" w:oddVBand="0" w:evenVBand="0" w:oddHBand="0" w:evenHBand="0" w:firstRowFirstColumn="0" w:firstRowLastColumn="0" w:lastRowFirstColumn="0" w:lastRowLastColumn="0"/>
        </w:trPr>
        <w:tc>
          <w:tcPr>
            <w:tcW w:w="4819" w:type="dxa"/>
          </w:tcPr>
          <w:p w14:paraId="295DD5A2" w14:textId="77777777" w:rsidR="00C43F4C" w:rsidRPr="008C3D1A" w:rsidRDefault="00C43F4C" w:rsidP="00DC3F20">
            <w:pPr>
              <w:pStyle w:val="TableBody"/>
              <w:rPr>
                <w:sz w:val="20"/>
                <w:szCs w:val="20"/>
              </w:rPr>
            </w:pPr>
            <w:r w:rsidRPr="008C3D1A">
              <w:rPr>
                <w:sz w:val="20"/>
                <w:szCs w:val="20"/>
              </w:rPr>
              <w:t>Framework objectives</w:t>
            </w:r>
          </w:p>
        </w:tc>
        <w:tc>
          <w:tcPr>
            <w:tcW w:w="4819" w:type="dxa"/>
          </w:tcPr>
          <w:p w14:paraId="0FD98391" w14:textId="77777777" w:rsidR="00C43F4C" w:rsidRPr="008C3D1A" w:rsidRDefault="00C43F4C" w:rsidP="00DC3F20">
            <w:pPr>
              <w:pStyle w:val="TableBody"/>
              <w:rPr>
                <w:sz w:val="20"/>
                <w:szCs w:val="20"/>
              </w:rPr>
            </w:pPr>
            <w:r w:rsidRPr="008C3D1A">
              <w:rPr>
                <w:sz w:val="20"/>
                <w:szCs w:val="20"/>
              </w:rPr>
              <w:t>Our findings report questions</w:t>
            </w:r>
          </w:p>
        </w:tc>
      </w:tr>
      <w:tr w:rsidR="00C43F4C" w14:paraId="606A6F6D" w14:textId="77777777" w:rsidTr="00DC3F20">
        <w:trPr>
          <w:cnfStyle w:val="000000100000" w:firstRow="0" w:lastRow="0" w:firstColumn="0" w:lastColumn="0" w:oddVBand="0" w:evenVBand="0" w:oddHBand="1" w:evenHBand="0" w:firstRowFirstColumn="0" w:firstRowLastColumn="0" w:lastRowFirstColumn="0" w:lastRowLastColumn="0"/>
        </w:trPr>
        <w:tc>
          <w:tcPr>
            <w:tcW w:w="4819" w:type="dxa"/>
          </w:tcPr>
          <w:p w14:paraId="594A651D" w14:textId="77777777" w:rsidR="00C43F4C" w:rsidRPr="008C3D1A" w:rsidRDefault="00C43F4C" w:rsidP="00DC3F20">
            <w:pPr>
              <w:pStyle w:val="TableBody"/>
              <w:rPr>
                <w:sz w:val="20"/>
                <w:szCs w:val="20"/>
              </w:rPr>
            </w:pPr>
            <w:r w:rsidRPr="008C3D1A">
              <w:rPr>
                <w:sz w:val="20"/>
                <w:szCs w:val="20"/>
              </w:rPr>
              <w:t>Help residential customers avoid getting into arrears with their retailer.</w:t>
            </w:r>
            <w:r w:rsidRPr="008C3D1A">
              <w:rPr>
                <w:rStyle w:val="FootnoteReference"/>
                <w:sz w:val="20"/>
                <w:szCs w:val="20"/>
              </w:rPr>
              <w:footnoteReference w:id="12"/>
            </w:r>
          </w:p>
        </w:tc>
        <w:tc>
          <w:tcPr>
            <w:tcW w:w="4819" w:type="dxa"/>
          </w:tcPr>
          <w:p w14:paraId="1615E121" w14:textId="77777777" w:rsidR="00C43F4C" w:rsidRPr="008C3D1A" w:rsidRDefault="00C43F4C" w:rsidP="00DC3F20">
            <w:pPr>
              <w:pStyle w:val="TableBody"/>
              <w:rPr>
                <w:sz w:val="20"/>
                <w:szCs w:val="20"/>
              </w:rPr>
            </w:pPr>
            <w:r w:rsidRPr="008C3D1A">
              <w:rPr>
                <w:sz w:val="20"/>
                <w:szCs w:val="20"/>
              </w:rPr>
              <w:t>Are residential energy customers avoiding getting into arrears with their retailer?</w:t>
            </w:r>
          </w:p>
        </w:tc>
      </w:tr>
      <w:tr w:rsidR="00C43F4C" w14:paraId="4BD55327" w14:textId="77777777" w:rsidTr="00DC3F20">
        <w:trPr>
          <w:cnfStyle w:val="000000010000" w:firstRow="0" w:lastRow="0" w:firstColumn="0" w:lastColumn="0" w:oddVBand="0" w:evenVBand="0" w:oddHBand="0" w:evenHBand="1" w:firstRowFirstColumn="0" w:firstRowLastColumn="0" w:lastRowFirstColumn="0" w:lastRowLastColumn="0"/>
        </w:trPr>
        <w:tc>
          <w:tcPr>
            <w:tcW w:w="4819" w:type="dxa"/>
          </w:tcPr>
          <w:p w14:paraId="6E418A87" w14:textId="77777777" w:rsidR="00C43F4C" w:rsidRPr="008C3D1A" w:rsidRDefault="00C43F4C" w:rsidP="00DC3F20">
            <w:pPr>
              <w:pStyle w:val="TableBody"/>
              <w:rPr>
                <w:sz w:val="20"/>
                <w:szCs w:val="20"/>
              </w:rPr>
            </w:pPr>
            <w:r w:rsidRPr="008C3D1A">
              <w:rPr>
                <w:sz w:val="20"/>
                <w:szCs w:val="20"/>
              </w:rPr>
              <w:t>Give residential customers, who are in arrears, flexible and practicable assistance that makes it easier for them to pay for their on-going energy use, repay their arrears and lower their energy costs.</w:t>
            </w:r>
            <w:r w:rsidRPr="008C3D1A">
              <w:rPr>
                <w:rStyle w:val="FootnoteReference"/>
                <w:sz w:val="20"/>
                <w:szCs w:val="20"/>
              </w:rPr>
              <w:footnoteReference w:id="13"/>
            </w:r>
          </w:p>
        </w:tc>
        <w:tc>
          <w:tcPr>
            <w:tcW w:w="4819" w:type="dxa"/>
          </w:tcPr>
          <w:p w14:paraId="636C4664" w14:textId="77777777" w:rsidR="00C43F4C" w:rsidRPr="008C3D1A" w:rsidRDefault="00C43F4C" w:rsidP="00DC3F20">
            <w:pPr>
              <w:pStyle w:val="TableBody"/>
              <w:rPr>
                <w:sz w:val="20"/>
                <w:szCs w:val="20"/>
              </w:rPr>
            </w:pPr>
            <w:r w:rsidRPr="008C3D1A">
              <w:rPr>
                <w:sz w:val="20"/>
                <w:szCs w:val="20"/>
              </w:rPr>
              <w:t>Are residential energy customers supported to pay their ongoing energy use, repay their arrears and lower their energy costs?</w:t>
            </w:r>
          </w:p>
        </w:tc>
      </w:tr>
      <w:tr w:rsidR="00C43F4C" w14:paraId="35A8D0FF" w14:textId="77777777" w:rsidTr="00DC3F20">
        <w:trPr>
          <w:cnfStyle w:val="000000100000" w:firstRow="0" w:lastRow="0" w:firstColumn="0" w:lastColumn="0" w:oddVBand="0" w:evenVBand="0" w:oddHBand="1" w:evenHBand="0" w:firstRowFirstColumn="0" w:firstRowLastColumn="0" w:lastRowFirstColumn="0" w:lastRowLastColumn="0"/>
        </w:trPr>
        <w:tc>
          <w:tcPr>
            <w:tcW w:w="4819" w:type="dxa"/>
          </w:tcPr>
          <w:p w14:paraId="51E3DD6D" w14:textId="77777777" w:rsidR="00C43F4C" w:rsidRPr="008C3D1A" w:rsidRDefault="00C43F4C" w:rsidP="00DC3F20">
            <w:pPr>
              <w:pStyle w:val="TableBody"/>
              <w:rPr>
                <w:sz w:val="20"/>
                <w:szCs w:val="20"/>
              </w:rPr>
            </w:pPr>
            <w:r w:rsidRPr="008C3D1A">
              <w:rPr>
                <w:sz w:val="20"/>
                <w:szCs w:val="20"/>
              </w:rPr>
              <w:t>Disconnection of a residential customer for not paying a bill is a measure of last resort.</w:t>
            </w:r>
            <w:r w:rsidRPr="008C3D1A">
              <w:rPr>
                <w:rStyle w:val="FootnoteReference"/>
                <w:sz w:val="20"/>
                <w:szCs w:val="20"/>
              </w:rPr>
              <w:footnoteReference w:id="14"/>
            </w:r>
          </w:p>
        </w:tc>
        <w:tc>
          <w:tcPr>
            <w:tcW w:w="4819" w:type="dxa"/>
          </w:tcPr>
          <w:p w14:paraId="2DB28BC5" w14:textId="77777777" w:rsidR="00C43F4C" w:rsidRPr="008C3D1A" w:rsidRDefault="00C43F4C" w:rsidP="00DC3F20">
            <w:pPr>
              <w:pStyle w:val="TableBody"/>
              <w:rPr>
                <w:sz w:val="20"/>
                <w:szCs w:val="20"/>
              </w:rPr>
            </w:pPr>
            <w:r w:rsidRPr="008C3D1A">
              <w:rPr>
                <w:sz w:val="20"/>
                <w:szCs w:val="20"/>
              </w:rPr>
              <w:t>Are residential energy customers only disconnected for non-payment as a last resort?</w:t>
            </w:r>
          </w:p>
        </w:tc>
      </w:tr>
    </w:tbl>
    <w:p w14:paraId="2866849B" w14:textId="77777777" w:rsidR="00C43F4C" w:rsidRPr="005822B2" w:rsidRDefault="00C43F4C" w:rsidP="00C43F4C">
      <w:pPr>
        <w:keepNext/>
        <w:keepLines/>
      </w:pPr>
      <w:r>
        <w:t xml:space="preserve">To inform our findings, we considered how customers experience the framework and the ways that retailers have specifically implemented the framework. We also sought to </w:t>
      </w:r>
      <w:bookmarkStart w:id="79" w:name="_Toc99679814"/>
      <w:r>
        <w:t xml:space="preserve">better </w:t>
      </w:r>
      <w:r w:rsidRPr="00B91C47">
        <w:t>understand the challenges retailers have faced during implementation</w:t>
      </w:r>
      <w:r>
        <w:t>,</w:t>
      </w:r>
      <w:r w:rsidRPr="00B91C47">
        <w:t xml:space="preserve"> and how </w:t>
      </w:r>
      <w:r>
        <w:t>customers</w:t>
      </w:r>
      <w:r w:rsidRPr="00B91C47">
        <w:t xml:space="preserve"> can be </w:t>
      </w:r>
      <w:r>
        <w:t xml:space="preserve">better </w:t>
      </w:r>
      <w:r w:rsidRPr="00B91C47">
        <w:t>supported to engage with their retailers.</w:t>
      </w:r>
      <w:bookmarkEnd w:id="79"/>
    </w:p>
    <w:p w14:paraId="7FF9EA19" w14:textId="77777777" w:rsidR="00C43F4C" w:rsidRDefault="00C43F4C" w:rsidP="00C43F4C">
      <w:pPr>
        <w:spacing w:before="0" w:line="259" w:lineRule="auto"/>
        <w:rPr>
          <w:rFonts w:ascii="Tahoma" w:eastAsiaTheme="majorEastAsia" w:hAnsi="Tahoma" w:cstheme="majorBidi"/>
          <w:b/>
          <w:sz w:val="26"/>
          <w:szCs w:val="26"/>
        </w:rPr>
      </w:pPr>
      <w:r>
        <w:br w:type="page"/>
      </w:r>
    </w:p>
    <w:p w14:paraId="3196BF56" w14:textId="77777777" w:rsidR="00C43F4C" w:rsidRDefault="00C43F4C" w:rsidP="00C43F4C">
      <w:pPr>
        <w:pStyle w:val="Heading1"/>
        <w:sectPr w:rsidR="00C43F4C" w:rsidSect="00DC3F20">
          <w:footerReference w:type="default" r:id="rId68"/>
          <w:pgSz w:w="11906" w:h="16838"/>
          <w:pgMar w:top="1134" w:right="1134" w:bottom="1134" w:left="1134" w:header="709" w:footer="692" w:gutter="0"/>
          <w:cols w:space="720"/>
          <w:docGrid w:linePitch="299"/>
        </w:sectPr>
      </w:pPr>
    </w:p>
    <w:p w14:paraId="7F3722A0" w14:textId="77777777" w:rsidR="00C43F4C" w:rsidRPr="00445D9A" w:rsidRDefault="00C43F4C" w:rsidP="00C43F4C">
      <w:pPr>
        <w:pStyle w:val="Heading1"/>
      </w:pPr>
      <w:bookmarkStart w:id="80" w:name="_Toc104850118"/>
      <w:r w:rsidRPr="00445D9A">
        <w:lastRenderedPageBreak/>
        <w:t xml:space="preserve">Common themes </w:t>
      </w:r>
      <w:r>
        <w:t xml:space="preserve">across the </w:t>
      </w:r>
      <w:r w:rsidRPr="00445D9A">
        <w:t>framework</w:t>
      </w:r>
      <w:bookmarkEnd w:id="80"/>
    </w:p>
    <w:p w14:paraId="013852E8" w14:textId="77777777" w:rsidR="00C43F4C" w:rsidRPr="0017363D" w:rsidRDefault="00C43F4C" w:rsidP="00C43F4C">
      <w:pPr>
        <w:pStyle w:val="Introductionsentence"/>
      </w:pPr>
      <w:r>
        <w:t xml:space="preserve">Our review of the framework’s implementation identified common themes relating to its three objectives. These themes relate to observable variable customer outcomes, the importance of customer awareness of their entitlements, and that many customers </w:t>
      </w:r>
      <w:r w:rsidRPr="009F0D19">
        <w:t xml:space="preserve">experiencing vulnerability are </w:t>
      </w:r>
      <w:r>
        <w:t xml:space="preserve">also </w:t>
      </w:r>
      <w:r w:rsidRPr="009F0D19">
        <w:t>disproportionately facing barriers to receiving assistance</w:t>
      </w:r>
      <w:r>
        <w:t>.</w:t>
      </w:r>
    </w:p>
    <w:p w14:paraId="68D14EA4" w14:textId="77777777" w:rsidR="00C43F4C" w:rsidRPr="001E1BD4" w:rsidRDefault="00C43F4C" w:rsidP="00C43F4C">
      <w:r>
        <w:t>We</w:t>
      </w:r>
      <w:r w:rsidRPr="001E1BD4">
        <w:t xml:space="preserve"> identified common themes and findings that relate to all three objectives:</w:t>
      </w:r>
    </w:p>
    <w:p w14:paraId="40C2EAE8" w14:textId="77777777" w:rsidR="00C43F4C" w:rsidRPr="001E1BD4" w:rsidRDefault="00C43F4C" w:rsidP="008E42FA">
      <w:pPr>
        <w:pStyle w:val="ListBullet"/>
        <w:numPr>
          <w:ilvl w:val="0"/>
          <w:numId w:val="23"/>
        </w:numPr>
      </w:pPr>
      <w:r w:rsidRPr="001E1BD4">
        <w:t xml:space="preserve">Customer outcomes </w:t>
      </w:r>
      <w:r>
        <w:t>are</w:t>
      </w:r>
      <w:r w:rsidRPr="001E1BD4">
        <w:t xml:space="preserve"> variable across retailers</w:t>
      </w:r>
      <w:r>
        <w:t>.</w:t>
      </w:r>
    </w:p>
    <w:p w14:paraId="10BA98DB" w14:textId="77777777" w:rsidR="00C43F4C" w:rsidRPr="001E1BD4" w:rsidRDefault="00C43F4C" w:rsidP="008E42FA">
      <w:pPr>
        <w:pStyle w:val="ListBullet"/>
        <w:numPr>
          <w:ilvl w:val="0"/>
          <w:numId w:val="23"/>
        </w:numPr>
      </w:pPr>
      <w:r w:rsidRPr="001E1BD4">
        <w:t>Customer awareness of their entitlements is critical for success.</w:t>
      </w:r>
    </w:p>
    <w:p w14:paraId="6186C37A" w14:textId="2C73AF99" w:rsidR="00C43F4C" w:rsidRPr="001E1BD4" w:rsidRDefault="00C43F4C" w:rsidP="008E42FA">
      <w:pPr>
        <w:pStyle w:val="ListBullet"/>
        <w:numPr>
          <w:ilvl w:val="0"/>
          <w:numId w:val="23"/>
        </w:numPr>
      </w:pPr>
      <w:r>
        <w:t>Many customers</w:t>
      </w:r>
      <w:r w:rsidRPr="001E1BD4">
        <w:t xml:space="preserve"> experiencing vulnerability are disproportionately facing barriers to receiving assistance</w:t>
      </w:r>
      <w:r>
        <w:t>.</w:t>
      </w:r>
      <w:r w:rsidRPr="001E1BD4">
        <w:t xml:space="preserve"> </w:t>
      </w:r>
      <w:r>
        <w:t>This</w:t>
      </w:r>
      <w:r w:rsidRPr="001E1BD4">
        <w:t xml:space="preserve"> highlights the importance of empathy from retailer staff</w:t>
      </w:r>
      <w:r>
        <w:t>,</w:t>
      </w:r>
      <w:r w:rsidRPr="001E1BD4">
        <w:t xml:space="preserve"> which </w:t>
      </w:r>
      <w:r>
        <w:t xml:space="preserve">can </w:t>
      </w:r>
      <w:r w:rsidRPr="001E1BD4">
        <w:t>affect</w:t>
      </w:r>
      <w:r>
        <w:t xml:space="preserve"> the degree that</w:t>
      </w:r>
      <w:r w:rsidRPr="001E1BD4">
        <w:t xml:space="preserve"> customers </w:t>
      </w:r>
      <w:r>
        <w:t>receive</w:t>
      </w:r>
      <w:r w:rsidRPr="001E1BD4">
        <w:t xml:space="preserve"> assistance.</w:t>
      </w:r>
    </w:p>
    <w:p w14:paraId="0A0608D3" w14:textId="77777777" w:rsidR="00C43F4C" w:rsidRDefault="00C43F4C" w:rsidP="00C43F4C">
      <w:r>
        <w:t xml:space="preserve">The following sections summarise how these themes are observed across the implementation of the framework since 2019. The subsequent three chapters will also </w:t>
      </w:r>
      <w:r w:rsidRPr="001E1BD4">
        <w:t>discuss</w:t>
      </w:r>
      <w:r>
        <w:t xml:space="preserve"> </w:t>
      </w:r>
      <w:r w:rsidRPr="001E1BD4">
        <w:t xml:space="preserve">how </w:t>
      </w:r>
      <w:r>
        <w:t>these identified common themes relate</w:t>
      </w:r>
      <w:r w:rsidRPr="001E1BD4">
        <w:t xml:space="preserve"> to the effectiveness of the framework</w:t>
      </w:r>
      <w:r>
        <w:t>’</w:t>
      </w:r>
      <w:r w:rsidRPr="001E1BD4">
        <w:t>s implementation against each of the three objectives.</w:t>
      </w:r>
    </w:p>
    <w:p w14:paraId="248D308A" w14:textId="77777777" w:rsidR="00C43F4C" w:rsidRDefault="00C43F4C" w:rsidP="00C43F4C">
      <w:pPr>
        <w:pStyle w:val="Heading2"/>
      </w:pPr>
      <w:bookmarkStart w:id="81" w:name="_Toc104850119"/>
      <w:r w:rsidRPr="001B257F">
        <w:t>Customer</w:t>
      </w:r>
      <w:r>
        <w:t xml:space="preserve"> outcomes are variable across retailers</w:t>
      </w:r>
      <w:bookmarkEnd w:id="81"/>
    </w:p>
    <w:p w14:paraId="578BE636" w14:textId="77777777" w:rsidR="00C43F4C" w:rsidRPr="00803CFC" w:rsidRDefault="00C43F4C" w:rsidP="00C43F4C">
      <w:r>
        <w:t>The framework was designed to address the wide-ranging retailer responses to energy customers anticipating or facing payment difficulty. It provides a minimum set of standards and entitlements Victorian customers can expect and was designed to allow retailers a degree of flexibility in how they met these standards.</w:t>
      </w:r>
    </w:p>
    <w:p w14:paraId="2D0B9BC8" w14:textId="77777777" w:rsidR="00C43F4C" w:rsidRPr="00803CFC" w:rsidRDefault="00C43F4C" w:rsidP="00C43F4C">
      <w:r>
        <w:t>The variability in the way the framework is being implemented across and within retailers appears to be leading, in some cases, to poorer outcomes for customers. This included:</w:t>
      </w:r>
    </w:p>
    <w:p w14:paraId="31640C4B" w14:textId="263AE697" w:rsidR="00C43F4C" w:rsidRPr="00803CFC" w:rsidRDefault="00C43F4C" w:rsidP="00C43F4C">
      <w:pPr>
        <w:pStyle w:val="ListBullet"/>
        <w:rPr>
          <w:rFonts w:eastAsiaTheme="minorEastAsia"/>
        </w:rPr>
      </w:pPr>
      <w:r>
        <w:t>variation in the levels of customer arrears</w:t>
      </w:r>
      <w:r w:rsidR="00B87892">
        <w:t>,</w:t>
      </w:r>
    </w:p>
    <w:p w14:paraId="66385B68" w14:textId="2EE5B050" w:rsidR="00C43F4C" w:rsidRPr="00803CFC" w:rsidRDefault="00C43F4C" w:rsidP="00C43F4C">
      <w:pPr>
        <w:pStyle w:val="ListBullet"/>
        <w:rPr>
          <w:rFonts w:eastAsiaTheme="minorEastAsia"/>
        </w:rPr>
      </w:pPr>
      <w:r>
        <w:t>variation in the timing of when customers commence or exit assistanc</w:t>
      </w:r>
      <w:r w:rsidR="00B87892">
        <w:t>e, and</w:t>
      </w:r>
    </w:p>
    <w:p w14:paraId="1B178D89" w14:textId="77777777" w:rsidR="00C43F4C" w:rsidRPr="00803CFC" w:rsidRDefault="00C43F4C" w:rsidP="00C43F4C">
      <w:pPr>
        <w:pStyle w:val="ListBullet"/>
        <w:rPr>
          <w:rFonts w:eastAsiaTheme="minorEastAsia"/>
        </w:rPr>
      </w:pPr>
      <w:r>
        <w:t xml:space="preserve">variation in customer arrears levels when commencing or not receiving assistance variation in the efficacy of supporting customers apply for </w:t>
      </w:r>
      <w:r w:rsidRPr="00803CFC">
        <w:t xml:space="preserve">utility relief grants. </w:t>
      </w:r>
    </w:p>
    <w:p w14:paraId="719D71B2" w14:textId="77777777" w:rsidR="00C43F4C" w:rsidRPr="007C2272" w:rsidRDefault="00C43F4C" w:rsidP="00C43F4C">
      <w:r>
        <w:t>Many of these variations highlight examples of where the implementation of the framework is working well for many customers, as well as opportunities to reduce the negative affect of this variability.</w:t>
      </w:r>
    </w:p>
    <w:p w14:paraId="401FAAF5" w14:textId="77777777" w:rsidR="00C43F4C" w:rsidRPr="00813D66" w:rsidRDefault="00C43F4C" w:rsidP="00C43F4C">
      <w:pPr>
        <w:pStyle w:val="Heading2"/>
      </w:pPr>
      <w:bookmarkStart w:id="82" w:name="_Toc104850120"/>
      <w:r w:rsidRPr="001B257F">
        <w:lastRenderedPageBreak/>
        <w:t>Customer</w:t>
      </w:r>
      <w:r>
        <w:t xml:space="preserve"> awareness of their entitlements is critical for success</w:t>
      </w:r>
      <w:bookmarkEnd w:id="82"/>
    </w:p>
    <w:p w14:paraId="19EE450F" w14:textId="77777777" w:rsidR="00C43F4C" w:rsidRDefault="00C43F4C" w:rsidP="00C43F4C">
      <w:r>
        <w:t>The payment difficulty framework has been designed to promote communication and engagement between retailers and their customers. However, if a customer is not aware of their entitlement for support, this may reduce their ability to engage.</w:t>
      </w:r>
    </w:p>
    <w:p w14:paraId="64DC11EF" w14:textId="77777777" w:rsidR="00C43F4C" w:rsidRDefault="00C43F4C" w:rsidP="00C43F4C">
      <w:r>
        <w:t>Our review has found that general awareness of customer entitlements under the framework has improved for customers, community sector organisations, and retailer staff. However, we also found that, despite the increase in customers receiving assistance, there are many customers with energy arrears who are not receiving any assistance.</w:t>
      </w:r>
    </w:p>
    <w:p w14:paraId="69A8F495" w14:textId="77777777" w:rsidR="00C43F4C" w:rsidRDefault="00C43F4C" w:rsidP="00C43F4C">
      <w:r>
        <w:t xml:space="preserve">We found that across all aspects of the framework, there may be opportunities to support more timely customer engagement with retailers by increasing general awareness of the assistance customers are entitled to, in addition to potentially making it easier for them to engage. It may also improve the quality of engagement between customer and retailer, leading to better application of the framework. </w:t>
      </w:r>
    </w:p>
    <w:p w14:paraId="11BBF483" w14:textId="77777777" w:rsidR="00C43F4C" w:rsidRDefault="00C43F4C" w:rsidP="00C43F4C">
      <w:pPr>
        <w:pStyle w:val="Pull-outHeading"/>
      </w:pPr>
      <w:r>
        <w:t>‘It’s Your Energy’ communications campaign, Essential Services Commission</w:t>
      </w:r>
    </w:p>
    <w:p w14:paraId="72A00D25" w14:textId="02FEFB18" w:rsidR="00C43F4C" w:rsidRDefault="00C43F4C" w:rsidP="00C43F4C">
      <w:pPr>
        <w:pStyle w:val="Pull-out"/>
      </w:pPr>
      <w:r>
        <w:rPr>
          <w:noProof/>
        </w:rPr>
        <mc:AlternateContent>
          <mc:Choice Requires="wps">
            <w:drawing>
              <wp:anchor distT="0" distB="0" distL="114300" distR="114300" simplePos="0" relativeHeight="251655168" behindDoc="0" locked="0" layoutInCell="1" allowOverlap="1" wp14:anchorId="4213B625" wp14:editId="66D3079F">
                <wp:simplePos x="0" y="0"/>
                <wp:positionH relativeFrom="column">
                  <wp:posOffset>2557500</wp:posOffset>
                </wp:positionH>
                <wp:positionV relativeFrom="paragraph">
                  <wp:posOffset>708074</wp:posOffset>
                </wp:positionV>
                <wp:extent cx="3455581" cy="3357064"/>
                <wp:effectExtent l="0" t="0" r="0" b="0"/>
                <wp:wrapNone/>
                <wp:docPr id="61" name="Text Box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55581" cy="3357064"/>
                        </a:xfrm>
                        <a:prstGeom prst="rect">
                          <a:avLst/>
                        </a:prstGeom>
                        <a:noFill/>
                        <a:ln w="6350">
                          <a:noFill/>
                        </a:ln>
                      </wps:spPr>
                      <wps:txbx>
                        <w:txbxContent>
                          <w:p w14:paraId="17191FAD" w14:textId="39254987" w:rsidR="00C43F4C" w:rsidRDefault="00C43F4C" w:rsidP="00C43F4C">
                            <w:r>
                              <w:t>The ‘</w:t>
                            </w:r>
                            <w:hyperlink r:id="rId69" w:history="1">
                              <w:r w:rsidRPr="007F74F9">
                                <w:rPr>
                                  <w:rStyle w:val="Hyperlink"/>
                                </w:rPr>
                                <w:t>It’s Your Energy</w:t>
                              </w:r>
                            </w:hyperlink>
                            <w:r>
                              <w:t xml:space="preserve">’ campaign had a particular focus on entitlements to payment assistance for customers struggling with energy bills. </w:t>
                            </w:r>
                          </w:p>
                          <w:p w14:paraId="39E0DD7B" w14:textId="77777777" w:rsidR="00C43F4C" w:rsidRDefault="00C43F4C" w:rsidP="00C43F4C">
                            <w:r>
                              <w:t xml:space="preserve">The campaign strategy aimed at overcoming those perceptions by communicating a simple message in a creative way, having been informed by research highlighting a lack of trust towards energy providers, and high levels of disengagement on the topic. </w:t>
                            </w:r>
                          </w:p>
                          <w:p w14:paraId="029D82EA" w14:textId="77777777" w:rsidR="00C43F4C" w:rsidRDefault="00C43F4C" w:rsidP="00C43F4C">
                            <w:r>
                              <w:t>In July 2019, following the first phase of the campaign, we saw an increase in general awareness from 23 per cent to 31 per cent overall, and from 13 per cent to 18 per cent for those ‘struggling to meet expenditure’.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3B625" id="Text Box 61" o:spid="_x0000_s1040" type="#_x0000_t202" alt="&quot;&quot;" style="position:absolute;left:0;text-align:left;margin-left:201.4pt;margin-top:55.75pt;width:272.1pt;height:26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" filled="f" stroked="f" strokeweight=".5pt">
                <v:textbox>
                  <w:txbxContent>
                    <w:p w14:paraId="17191FAD" w14:textId="39254987" w:rsidR="00C43F4C" w:rsidRDefault="00C43F4C" w:rsidP="00C43F4C">
                      <w:r>
                        <w:t>The ‘</w:t>
                      </w:r>
                      <w:hyperlink r:id="rId70" w:history="1">
                        <w:r w:rsidRPr="007F74F9">
                          <w:rPr>
                            <w:rStyle w:val="Hyperlink"/>
                          </w:rPr>
                          <w:t>It’s Your Energy</w:t>
                        </w:r>
                      </w:hyperlink>
                      <w:r>
                        <w:t xml:space="preserve">’ campaign had a particular focus on entitlements to payment assistance for customers struggling with energy bills. </w:t>
                      </w:r>
                    </w:p>
                    <w:p w14:paraId="39E0DD7B" w14:textId="77777777" w:rsidR="00C43F4C" w:rsidRDefault="00C43F4C" w:rsidP="00C43F4C">
                      <w:r>
                        <w:t xml:space="preserve">The campaign strategy aimed at overcoming those perceptions by communicating a simple message in a creative way, having been informed by research highlighting a lack of trust towards energy providers, and high levels of disengagement on the topic. </w:t>
                      </w:r>
                    </w:p>
                    <w:p w14:paraId="029D82EA" w14:textId="77777777" w:rsidR="00C43F4C" w:rsidRDefault="00C43F4C" w:rsidP="00C43F4C">
                      <w:r>
                        <w:t>In July 2019, following the first phase of the campaign, we saw an increase in general awareness from 23 per cent to 31 per cent overall, and from 13 per cent to 18 per cent for those ‘struggling to meet expenditure’.</w:t>
                      </w:r>
                    </w:p>
                  </w:txbxContent>
                </v:textbox>
              </v:shape>
            </w:pict>
          </mc:Fallback>
        </mc:AlternateContent>
      </w:r>
      <w:r w:rsidRPr="0023303B">
        <w:t xml:space="preserve">Following the introduction of </w:t>
      </w:r>
      <w:r>
        <w:t xml:space="preserve">major retail energy market </w:t>
      </w:r>
      <w:r w:rsidRPr="0023303B">
        <w:t xml:space="preserve">reforms </w:t>
      </w:r>
      <w:r>
        <w:t xml:space="preserve">in </w:t>
      </w:r>
      <w:r w:rsidRPr="0023303B">
        <w:t>Victoria</w:t>
      </w:r>
      <w:r>
        <w:t xml:space="preserve">, the commission ran a public communications campaign aimed at </w:t>
      </w:r>
      <w:r w:rsidRPr="0023303B">
        <w:t>empower</w:t>
      </w:r>
      <w:r>
        <w:t xml:space="preserve">ing </w:t>
      </w:r>
      <w:r w:rsidRPr="0023303B">
        <w:t>and educate Victorians about their</w:t>
      </w:r>
      <w:r>
        <w:t xml:space="preserve"> </w:t>
      </w:r>
      <w:r w:rsidRPr="0023303B">
        <w:t>energy rights</w:t>
      </w:r>
      <w:r>
        <w:t xml:space="preserve"> between July 2019 and December 2020. </w:t>
      </w:r>
    </w:p>
    <w:p w14:paraId="01253031" w14:textId="7E1CA8C9" w:rsidR="00C43F4C" w:rsidRDefault="00C43F4C" w:rsidP="00C43F4C">
      <w:pPr>
        <w:pStyle w:val="Pull-out"/>
      </w:pPr>
      <w:r>
        <w:rPr>
          <w:noProof/>
        </w:rPr>
        <w:drawing>
          <wp:anchor distT="0" distB="0" distL="114300" distR="114300" simplePos="0" relativeHeight="251653120" behindDoc="0" locked="0" layoutInCell="1" allowOverlap="1" wp14:anchorId="22AB487D" wp14:editId="48D85DEA">
            <wp:simplePos x="0" y="0"/>
            <wp:positionH relativeFrom="column">
              <wp:posOffset>140335</wp:posOffset>
            </wp:positionH>
            <wp:positionV relativeFrom="paragraph">
              <wp:posOffset>59233</wp:posOffset>
            </wp:positionV>
            <wp:extent cx="2275367" cy="3226796"/>
            <wp:effectExtent l="0" t="0" r="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75367" cy="3226796"/>
                    </a:xfrm>
                    <a:prstGeom prst="rect">
                      <a:avLst/>
                    </a:prstGeom>
                    <a:noFill/>
                  </pic:spPr>
                </pic:pic>
              </a:graphicData>
            </a:graphic>
            <wp14:sizeRelH relativeFrom="margin">
              <wp14:pctWidth>0</wp14:pctWidth>
            </wp14:sizeRelH>
            <wp14:sizeRelV relativeFrom="margin">
              <wp14:pctHeight>0</wp14:pctHeight>
            </wp14:sizeRelV>
          </wp:anchor>
        </w:drawing>
      </w:r>
    </w:p>
    <w:p w14:paraId="0AB68313" w14:textId="77777777" w:rsidR="00C43F4C" w:rsidRDefault="00C43F4C" w:rsidP="00C43F4C">
      <w:pPr>
        <w:pStyle w:val="Pull-out"/>
      </w:pPr>
    </w:p>
    <w:p w14:paraId="16CF1705" w14:textId="77777777" w:rsidR="00C43F4C" w:rsidRDefault="00C43F4C" w:rsidP="00C43F4C">
      <w:pPr>
        <w:pStyle w:val="Pull-out"/>
      </w:pPr>
    </w:p>
    <w:p w14:paraId="21B2D2C1" w14:textId="77777777" w:rsidR="00C43F4C" w:rsidRDefault="00C43F4C" w:rsidP="00C43F4C">
      <w:pPr>
        <w:pStyle w:val="Pull-out"/>
      </w:pPr>
    </w:p>
    <w:p w14:paraId="644BED39" w14:textId="77777777" w:rsidR="00C43F4C" w:rsidRDefault="00C43F4C" w:rsidP="00C43F4C">
      <w:pPr>
        <w:pStyle w:val="Pull-out"/>
      </w:pPr>
    </w:p>
    <w:p w14:paraId="4FD88141" w14:textId="77777777" w:rsidR="00C43F4C" w:rsidRDefault="00C43F4C" w:rsidP="00C43F4C">
      <w:pPr>
        <w:pStyle w:val="Pull-out"/>
      </w:pPr>
    </w:p>
    <w:p w14:paraId="3FE37F2B" w14:textId="77777777" w:rsidR="00C43F4C" w:rsidRDefault="00C43F4C" w:rsidP="00C43F4C">
      <w:pPr>
        <w:pStyle w:val="Pull-out"/>
      </w:pPr>
    </w:p>
    <w:p w14:paraId="15926552" w14:textId="77777777" w:rsidR="00C43F4C" w:rsidRDefault="00C43F4C" w:rsidP="00C43F4C">
      <w:pPr>
        <w:pStyle w:val="Pull-out"/>
      </w:pPr>
    </w:p>
    <w:p w14:paraId="2C45C651" w14:textId="77777777" w:rsidR="00C43F4C" w:rsidRDefault="00C43F4C" w:rsidP="00C43F4C">
      <w:pPr>
        <w:pStyle w:val="Pull-out"/>
      </w:pPr>
    </w:p>
    <w:p w14:paraId="0BD5EEDD" w14:textId="77777777" w:rsidR="00C43F4C" w:rsidRDefault="00C43F4C" w:rsidP="00C43F4C">
      <w:pPr>
        <w:pStyle w:val="Pull-out"/>
      </w:pPr>
    </w:p>
    <w:p w14:paraId="29395B2B" w14:textId="77777777" w:rsidR="00C43F4C" w:rsidRDefault="00C43F4C" w:rsidP="00C43F4C">
      <w:pPr>
        <w:pStyle w:val="Pull-out"/>
      </w:pPr>
    </w:p>
    <w:p w14:paraId="186B5405" w14:textId="77777777" w:rsidR="00C43F4C" w:rsidRDefault="00C43F4C" w:rsidP="00C43F4C"/>
    <w:p w14:paraId="6882FDA9" w14:textId="77777777" w:rsidR="00C43F4C" w:rsidRDefault="00C43F4C" w:rsidP="00C43F4C">
      <w:pPr>
        <w:pStyle w:val="Pull-outHeading"/>
      </w:pPr>
      <w:r>
        <w:lastRenderedPageBreak/>
        <w:t>Energy Info Hub, Consumer Policy Research Centre supported by the Victorian government</w:t>
      </w:r>
    </w:p>
    <w:p w14:paraId="044A1EEE" w14:textId="3B3E3C2C" w:rsidR="00C43F4C" w:rsidRDefault="00C43F4C" w:rsidP="00C43F4C">
      <w:pPr>
        <w:pStyle w:val="Pull-out"/>
        <w:rPr>
          <w:i/>
          <w:iCs/>
        </w:rPr>
      </w:pPr>
      <w:r>
        <w:rPr>
          <w:noProof/>
        </w:rPr>
        <mc:AlternateContent>
          <mc:Choice Requires="wps">
            <w:drawing>
              <wp:anchor distT="0" distB="0" distL="114300" distR="114300" simplePos="0" relativeHeight="251657216" behindDoc="0" locked="0" layoutInCell="1" allowOverlap="1" wp14:anchorId="05C7C62C" wp14:editId="2F97BD37">
                <wp:simplePos x="0" y="0"/>
                <wp:positionH relativeFrom="column">
                  <wp:posOffset>2557500</wp:posOffset>
                </wp:positionH>
                <wp:positionV relativeFrom="paragraph">
                  <wp:posOffset>672736</wp:posOffset>
                </wp:positionV>
                <wp:extent cx="3455581" cy="3716977"/>
                <wp:effectExtent l="0" t="0" r="0" b="0"/>
                <wp:wrapNone/>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55581" cy="3716977"/>
                        </a:xfrm>
                        <a:prstGeom prst="rect">
                          <a:avLst/>
                        </a:prstGeom>
                        <a:noFill/>
                        <a:ln w="6350">
                          <a:noFill/>
                        </a:ln>
                      </wps:spPr>
                      <wps:txbx>
                        <w:txbxContent>
                          <w:p w14:paraId="69531468" w14:textId="77777777" w:rsidR="00C43F4C" w:rsidRDefault="00C43F4C" w:rsidP="00C43F4C">
                            <w:r>
                              <w:t>The website contains information to help customers navigate the following aspects of the energy market:</w:t>
                            </w:r>
                          </w:p>
                          <w:p w14:paraId="3342C2C2" w14:textId="77777777" w:rsidR="00C43F4C" w:rsidRDefault="00C43F4C" w:rsidP="008E42FA">
                            <w:pPr>
                              <w:pStyle w:val="ListParagraph"/>
                              <w:numPr>
                                <w:ilvl w:val="0"/>
                                <w:numId w:val="16"/>
                              </w:numPr>
                            </w:pPr>
                            <w:r>
                              <w:t>Accessing energy concessions</w:t>
                            </w:r>
                          </w:p>
                          <w:p w14:paraId="23365250" w14:textId="77777777" w:rsidR="00C43F4C" w:rsidRDefault="00C43F4C" w:rsidP="008E42FA">
                            <w:pPr>
                              <w:pStyle w:val="ListParagraph"/>
                              <w:numPr>
                                <w:ilvl w:val="0"/>
                                <w:numId w:val="16"/>
                              </w:numPr>
                            </w:pPr>
                            <w:r>
                              <w:t>Searching for cheaper energy plans</w:t>
                            </w:r>
                          </w:p>
                          <w:p w14:paraId="760085A0" w14:textId="77777777" w:rsidR="00C43F4C" w:rsidRDefault="00C43F4C" w:rsidP="008E42FA">
                            <w:pPr>
                              <w:pStyle w:val="ListParagraph"/>
                              <w:numPr>
                                <w:ilvl w:val="0"/>
                                <w:numId w:val="16"/>
                              </w:numPr>
                            </w:pPr>
                            <w:r>
                              <w:t>Energy efficiency information</w:t>
                            </w:r>
                          </w:p>
                          <w:p w14:paraId="0D133EAB" w14:textId="77777777" w:rsidR="00C43F4C" w:rsidRDefault="00C43F4C" w:rsidP="008E42FA">
                            <w:pPr>
                              <w:pStyle w:val="ListParagraph"/>
                              <w:numPr>
                                <w:ilvl w:val="0"/>
                                <w:numId w:val="16"/>
                              </w:numPr>
                            </w:pPr>
                            <w:r>
                              <w:t xml:space="preserve">Accessing assistance for payment difficulty </w:t>
                            </w:r>
                          </w:p>
                          <w:p w14:paraId="3657DD32" w14:textId="77777777" w:rsidR="00C43F4C" w:rsidRDefault="00C43F4C" w:rsidP="00C43F4C">
                            <w:r>
                              <w:t>The hub also features videos and downloadable content designed for both households and community support workers.</w:t>
                            </w:r>
                          </w:p>
                          <w:p w14:paraId="63CD8E0B" w14:textId="77777777" w:rsidR="00C43F4C" w:rsidRDefault="00C43F4C" w:rsidP="00C43F4C">
                            <w:r>
                              <w:t xml:space="preserve">The </w:t>
                            </w:r>
                            <w:r w:rsidRPr="003B7A0B">
                              <w:t xml:space="preserve">Consumer Policy Research Centre </w:t>
                            </w:r>
                            <w:r>
                              <w:t xml:space="preserve">also partnered with </w:t>
                            </w:r>
                            <w:r w:rsidRPr="003B7A0B">
                              <w:t xml:space="preserve">Community Information Support Victoria </w:t>
                            </w:r>
                            <w:r>
                              <w:t xml:space="preserve">to train hundreds of </w:t>
                            </w:r>
                            <w:r w:rsidRPr="003B7A0B">
                              <w:t>emergency relief workers to provide effective energy support</w:t>
                            </w:r>
                            <w:r>
                              <w:t xml:space="preserve"> throughout 2020 and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7C62C" id="Text Box 46" o:spid="_x0000_s1041" type="#_x0000_t202" alt="&quot;&quot;" style="position:absolute;left:0;text-align:left;margin-left:201.4pt;margin-top:52.95pt;width:272.1pt;height:29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" filled="f" stroked="f" strokeweight=".5pt">
                <v:textbox>
                  <w:txbxContent>
                    <w:p w14:paraId="69531468" w14:textId="77777777" w:rsidR="00C43F4C" w:rsidRDefault="00C43F4C" w:rsidP="00C43F4C">
                      <w:r>
                        <w:t>The website contains information to help customers navigate the following aspects of the energy market:</w:t>
                      </w:r>
                    </w:p>
                    <w:p w14:paraId="3342C2C2" w14:textId="77777777" w:rsidR="00C43F4C" w:rsidRDefault="00C43F4C" w:rsidP="008E42FA">
                      <w:pPr>
                        <w:pStyle w:val="ListParagraph"/>
                        <w:numPr>
                          <w:ilvl w:val="0"/>
                          <w:numId w:val="16"/>
                        </w:numPr>
                      </w:pPr>
                      <w:r>
                        <w:t>Accessing energy concessions</w:t>
                      </w:r>
                    </w:p>
                    <w:p w14:paraId="23365250" w14:textId="77777777" w:rsidR="00C43F4C" w:rsidRDefault="00C43F4C" w:rsidP="008E42FA">
                      <w:pPr>
                        <w:pStyle w:val="ListParagraph"/>
                        <w:numPr>
                          <w:ilvl w:val="0"/>
                          <w:numId w:val="16"/>
                        </w:numPr>
                      </w:pPr>
                      <w:r>
                        <w:t>Searching for cheaper energy plans</w:t>
                      </w:r>
                    </w:p>
                    <w:p w14:paraId="760085A0" w14:textId="77777777" w:rsidR="00C43F4C" w:rsidRDefault="00C43F4C" w:rsidP="008E42FA">
                      <w:pPr>
                        <w:pStyle w:val="ListParagraph"/>
                        <w:numPr>
                          <w:ilvl w:val="0"/>
                          <w:numId w:val="16"/>
                        </w:numPr>
                      </w:pPr>
                      <w:r>
                        <w:t>Energy efficiency information</w:t>
                      </w:r>
                    </w:p>
                    <w:p w14:paraId="0D133EAB" w14:textId="77777777" w:rsidR="00C43F4C" w:rsidRDefault="00C43F4C" w:rsidP="008E42FA">
                      <w:pPr>
                        <w:pStyle w:val="ListParagraph"/>
                        <w:numPr>
                          <w:ilvl w:val="0"/>
                          <w:numId w:val="16"/>
                        </w:numPr>
                      </w:pPr>
                      <w:r>
                        <w:t xml:space="preserve">Accessing assistance for payment difficulty </w:t>
                      </w:r>
                    </w:p>
                    <w:p w14:paraId="3657DD32" w14:textId="77777777" w:rsidR="00C43F4C" w:rsidRDefault="00C43F4C" w:rsidP="00C43F4C">
                      <w:r>
                        <w:t>The hub also features videos and downloadable content designed for both households and community support workers.</w:t>
                      </w:r>
                    </w:p>
                    <w:p w14:paraId="63CD8E0B" w14:textId="77777777" w:rsidR="00C43F4C" w:rsidRDefault="00C43F4C" w:rsidP="00C43F4C">
                      <w:r>
                        <w:t xml:space="preserve">The </w:t>
                      </w:r>
                      <w:r w:rsidRPr="003B7A0B">
                        <w:t xml:space="preserve">Consumer Policy Research Centre </w:t>
                      </w:r>
                      <w:r>
                        <w:t xml:space="preserve">also partnered with </w:t>
                      </w:r>
                      <w:r w:rsidRPr="003B7A0B">
                        <w:t xml:space="preserve">Community Information Support Victoria </w:t>
                      </w:r>
                      <w:r>
                        <w:t xml:space="preserve">to train hundreds of </w:t>
                      </w:r>
                      <w:r w:rsidRPr="003B7A0B">
                        <w:t>emergency relief workers to provide effective energy support</w:t>
                      </w:r>
                      <w:r>
                        <w:t xml:space="preserve"> throughout 2020 and 2021.</w:t>
                      </w:r>
                    </w:p>
                  </w:txbxContent>
                </v:textbox>
              </v:shape>
            </w:pict>
          </mc:Fallback>
        </mc:AlternateContent>
      </w:r>
      <w:r w:rsidRPr="007725AE">
        <w:t xml:space="preserve">The </w:t>
      </w:r>
      <w:hyperlink r:id="rId72" w:history="1">
        <w:r w:rsidRPr="007725AE">
          <w:rPr>
            <w:rStyle w:val="Hyperlink"/>
          </w:rPr>
          <w:t>Energy Info Hub</w:t>
        </w:r>
      </w:hyperlink>
      <w:r w:rsidRPr="007725AE">
        <w:t xml:space="preserve"> is an online website that provides information for Victorian community workers and energy consumers. The </w:t>
      </w:r>
      <w:r>
        <w:t>Energy Info H</w:t>
      </w:r>
      <w:r w:rsidRPr="007725AE">
        <w:t xml:space="preserve">ub was developed by the Consumer Policy Research Centre and funded by the Victorian government. </w:t>
      </w:r>
      <w:r>
        <w:rPr>
          <w:i/>
          <w:iCs/>
        </w:rPr>
        <w:t xml:space="preserve"> </w:t>
      </w:r>
    </w:p>
    <w:p w14:paraId="2116494D" w14:textId="6F0C7B3A" w:rsidR="00C43F4C" w:rsidRDefault="00C43F4C" w:rsidP="00C43F4C">
      <w:pPr>
        <w:pStyle w:val="Pull-out"/>
        <w:rPr>
          <w:i/>
          <w:iCs/>
        </w:rPr>
      </w:pPr>
      <w:r>
        <w:rPr>
          <w:noProof/>
        </w:rPr>
        <w:drawing>
          <wp:inline distT="0" distB="0" distL="0" distR="0" wp14:anchorId="11845BF0" wp14:editId="0E34B37A">
            <wp:extent cx="2268000" cy="3208285"/>
            <wp:effectExtent l="0" t="0" r="0" b="0"/>
            <wp:docPr id="10" name="Picture 10" descr="A image of the Energy Info Hub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image of the Energy Info Hub website"/>
                    <pic:cNvPicPr/>
                  </pic:nvPicPr>
                  <pic:blipFill>
                    <a:blip r:embed="rId73"/>
                    <a:stretch>
                      <a:fillRect/>
                    </a:stretch>
                  </pic:blipFill>
                  <pic:spPr>
                    <a:xfrm>
                      <a:off x="0" y="0"/>
                      <a:ext cx="2268000" cy="3208285"/>
                    </a:xfrm>
                    <a:prstGeom prst="rect">
                      <a:avLst/>
                    </a:prstGeom>
                  </pic:spPr>
                </pic:pic>
              </a:graphicData>
            </a:graphic>
          </wp:inline>
        </w:drawing>
      </w:r>
    </w:p>
    <w:p w14:paraId="5516E38E" w14:textId="77777777" w:rsidR="00F10D84" w:rsidRDefault="00F10D84" w:rsidP="00C43F4C">
      <w:pPr>
        <w:pStyle w:val="Pull-out"/>
        <w:rPr>
          <w:i/>
          <w:iCs/>
        </w:rPr>
      </w:pPr>
    </w:p>
    <w:p w14:paraId="6F06E24A" w14:textId="66A1200F" w:rsidR="00C43F4C" w:rsidRDefault="00C43F4C" w:rsidP="00C43F4C">
      <w:pPr>
        <w:pStyle w:val="Heading2"/>
      </w:pPr>
      <w:bookmarkStart w:id="83" w:name="_Toc104850121"/>
      <w:r>
        <w:t>Many c</w:t>
      </w:r>
      <w:r w:rsidRPr="001B257F">
        <w:t xml:space="preserve">ustomers experiencing vulnerability are </w:t>
      </w:r>
      <w:r>
        <w:t xml:space="preserve">also </w:t>
      </w:r>
      <w:r w:rsidRPr="001B257F">
        <w:t xml:space="preserve">disproportionately facing barriers to </w:t>
      </w:r>
      <w:r w:rsidR="00F30795">
        <w:t xml:space="preserve">accessing and </w:t>
      </w:r>
      <w:r w:rsidRPr="001B257F">
        <w:t>receiving assistance</w:t>
      </w:r>
      <w:bookmarkEnd w:id="83"/>
    </w:p>
    <w:p w14:paraId="7624307C" w14:textId="304CFC7C" w:rsidR="00C43F4C" w:rsidRPr="006C23B8" w:rsidRDefault="00C43F4C" w:rsidP="00C43F4C">
      <w:r w:rsidRPr="006C23B8">
        <w:t xml:space="preserve">Although the framework has </w:t>
      </w:r>
      <w:r w:rsidR="00CA6BBB" w:rsidRPr="006C23B8">
        <w:t>reduced</w:t>
      </w:r>
      <w:r w:rsidRPr="006C23B8">
        <w:t xml:space="preserve"> barriers to accessing assistance for some customers, other obstacles remain</w:t>
      </w:r>
      <w:r w:rsidR="00B549E5" w:rsidRPr="006C23B8">
        <w:t xml:space="preserve"> for other customers</w:t>
      </w:r>
      <w:r w:rsidRPr="006C23B8">
        <w:t xml:space="preserve">. </w:t>
      </w:r>
      <w:r w:rsidR="002951E3" w:rsidRPr="006C23B8">
        <w:t>There was some stakeholder acknowledgment that retailers’ awareness about customers experiencing or at risk of experiencing vulnerability has increased under the framework. In addition to this awareness, the number of customers receiving assistance has also increased.</w:t>
      </w:r>
      <w:r w:rsidR="00F43F09" w:rsidRPr="006C23B8">
        <w:t xml:space="preserve"> However</w:t>
      </w:r>
      <w:r w:rsidRPr="006C23B8" w:rsidDel="00F43F09">
        <w:t xml:space="preserve">, </w:t>
      </w:r>
      <w:r w:rsidRPr="006C23B8">
        <w:t>as noted in our ‘Getting to fair’ strategy</w:t>
      </w:r>
      <w:r w:rsidR="00910D54" w:rsidRPr="006C23B8">
        <w:t>,</w:t>
      </w:r>
      <w:r w:rsidRPr="006C23B8">
        <w:t xml:space="preserve"> some customers requiring support with their energy bills </w:t>
      </w:r>
      <w:r w:rsidR="00F43F09" w:rsidRPr="006C23B8">
        <w:t xml:space="preserve">experience </w:t>
      </w:r>
      <w:r w:rsidRPr="006C23B8">
        <w:t>multiple barriers</w:t>
      </w:r>
      <w:r w:rsidR="00D66647" w:rsidRPr="006C23B8">
        <w:t xml:space="preserve"> to accessing and receiving assistance</w:t>
      </w:r>
      <w:r w:rsidRPr="006C23B8">
        <w:t>.</w:t>
      </w:r>
      <w:r w:rsidR="00E172FF" w:rsidRPr="006C23B8">
        <w:rPr>
          <w:rStyle w:val="FootnoteReference"/>
        </w:rPr>
        <w:footnoteReference w:id="15"/>
      </w:r>
      <w:r w:rsidRPr="006C23B8">
        <w:t xml:space="preserve"> </w:t>
      </w:r>
      <w:r w:rsidR="00F43F09" w:rsidRPr="006C23B8">
        <w:lastRenderedPageBreak/>
        <w:t xml:space="preserve">We found that these barriers may be heightened for particular cohorts of energy customers </w:t>
      </w:r>
      <w:r w:rsidR="004F6F4E" w:rsidRPr="006C23B8">
        <w:t xml:space="preserve">such as those </w:t>
      </w:r>
      <w:r w:rsidR="00E87249" w:rsidRPr="006C23B8">
        <w:t xml:space="preserve">experiencing family violence, </w:t>
      </w:r>
      <w:r w:rsidR="00B21E17" w:rsidRPr="006C23B8">
        <w:t xml:space="preserve">First Nations </w:t>
      </w:r>
      <w:r w:rsidR="00146D76" w:rsidRPr="006C23B8">
        <w:t xml:space="preserve">customers, </w:t>
      </w:r>
      <w:r w:rsidR="00B21E17" w:rsidRPr="006C23B8">
        <w:t xml:space="preserve">customers from </w:t>
      </w:r>
      <w:r w:rsidR="00146D76" w:rsidRPr="006C23B8">
        <w:t>culturally and linguistically diverse backgrounds</w:t>
      </w:r>
      <w:r w:rsidR="00543464" w:rsidRPr="006C23B8">
        <w:t xml:space="preserve"> and </w:t>
      </w:r>
      <w:r w:rsidR="00802CD0" w:rsidRPr="006C23B8">
        <w:t xml:space="preserve">those with low </w:t>
      </w:r>
      <w:r w:rsidR="00231365" w:rsidRPr="006C23B8">
        <w:t>financial or English literacy</w:t>
      </w:r>
      <w:r w:rsidR="00543464" w:rsidRPr="006C23B8">
        <w:t>, LGBTIQA+ customers</w:t>
      </w:r>
      <w:r w:rsidR="00954926" w:rsidRPr="006C23B8">
        <w:t>. We also note that there appears to a gendered dimension to those seeking assistance under the framework</w:t>
      </w:r>
      <w:r w:rsidR="00D45928" w:rsidRPr="006C23B8">
        <w:t>.</w:t>
      </w:r>
      <w:r w:rsidR="002011CE" w:rsidRPr="006C23B8">
        <w:t xml:space="preserve"> </w:t>
      </w:r>
    </w:p>
    <w:p w14:paraId="04113136" w14:textId="2615C2C6" w:rsidR="00DE2AC9" w:rsidRPr="006C23B8" w:rsidRDefault="00F72CA6" w:rsidP="00CC60A9">
      <w:pPr>
        <w:pStyle w:val="Heading3"/>
      </w:pPr>
      <w:r w:rsidRPr="006C23B8">
        <w:t>Customers</w:t>
      </w:r>
      <w:r w:rsidR="00F80E4E" w:rsidRPr="006C23B8">
        <w:t xml:space="preserve"> experiencing family violence</w:t>
      </w:r>
    </w:p>
    <w:p w14:paraId="6564EBC6" w14:textId="636F0A89" w:rsidR="00C43F4C" w:rsidRPr="006C23B8" w:rsidRDefault="00266507" w:rsidP="00C43F4C">
      <w:r w:rsidRPr="006C23B8">
        <w:t>T</w:t>
      </w:r>
      <w:r w:rsidR="00C43F4C" w:rsidRPr="006C23B8">
        <w:t>here was mixed feedback about the framework’s application being tailored to the different needs of customers, particularly at-risk customers such as those experiencing family violence</w:t>
      </w:r>
      <w:r w:rsidR="005024E9" w:rsidRPr="006C23B8">
        <w:t xml:space="preserve">, </w:t>
      </w:r>
      <w:r w:rsidR="00450316" w:rsidRPr="006C23B8">
        <w:t xml:space="preserve">those with mental health issues or </w:t>
      </w:r>
      <w:r w:rsidR="00DD7CA4" w:rsidRPr="006C23B8">
        <w:t>those in, or recently out, of custody</w:t>
      </w:r>
      <w:r w:rsidR="00C43F4C" w:rsidRPr="006C23B8">
        <w:t>.</w:t>
      </w:r>
      <w:r w:rsidR="00C43F4C" w:rsidRPr="006C23B8">
        <w:rPr>
          <w:rStyle w:val="FootnoteReference"/>
        </w:rPr>
        <w:footnoteReference w:id="16"/>
      </w:r>
      <w:r w:rsidR="00C43F4C" w:rsidRPr="006C23B8">
        <w:t xml:space="preserve"> </w:t>
      </w:r>
      <w:r w:rsidR="00746F5D" w:rsidRPr="006C23B8">
        <w:t xml:space="preserve">For example, </w:t>
      </w:r>
      <w:r w:rsidR="00E705EB" w:rsidRPr="006C23B8">
        <w:t xml:space="preserve">Uniting Vic.Tas’ submission commented: </w:t>
      </w:r>
    </w:p>
    <w:p w14:paraId="70D650C3" w14:textId="09C7CDBE" w:rsidR="00DD6062" w:rsidRPr="006C23B8" w:rsidRDefault="004E6B8C" w:rsidP="004E6B8C">
      <w:pPr>
        <w:pStyle w:val="Quote"/>
      </w:pPr>
      <w:r w:rsidRPr="006C23B8">
        <w:t>Victim survivors of family violence, as well as people in custody, face additional barriers which have not been adequately addressed in the implementation of the framework</w:t>
      </w:r>
      <w:r w:rsidR="003219D9" w:rsidRPr="006C23B8">
        <w:t>.</w:t>
      </w:r>
      <w:r w:rsidR="003219D9" w:rsidRPr="006C23B8">
        <w:rPr>
          <w:rStyle w:val="FootnoteReference"/>
        </w:rPr>
        <w:footnoteReference w:id="17"/>
      </w:r>
    </w:p>
    <w:p w14:paraId="70EDBC13" w14:textId="0387A250" w:rsidR="00F80E4E" w:rsidRPr="006C23B8" w:rsidRDefault="0094663E" w:rsidP="00CC60A9">
      <w:pPr>
        <w:pStyle w:val="Heading3"/>
      </w:pPr>
      <w:r w:rsidRPr="006C23B8">
        <w:t xml:space="preserve">First Nations </w:t>
      </w:r>
      <w:r w:rsidR="00B5053A" w:rsidRPr="006C23B8">
        <w:t xml:space="preserve">customers </w:t>
      </w:r>
    </w:p>
    <w:p w14:paraId="5EC0B726" w14:textId="273EE41D" w:rsidR="00A12543" w:rsidRPr="006C23B8" w:rsidRDefault="00F80E4E" w:rsidP="00A12543">
      <w:r w:rsidRPr="006C23B8">
        <w:t>T</w:t>
      </w:r>
      <w:r w:rsidR="00A12543" w:rsidRPr="006C23B8">
        <w:t>here are concerns about heightened or increased barriers to accessing and receiving entitlements and assistance for First Nations Australian</w:t>
      </w:r>
      <w:r w:rsidR="00A12543" w:rsidRPr="006C23B8" w:rsidDel="00B5053A">
        <w:t xml:space="preserve"> </w:t>
      </w:r>
      <w:r w:rsidR="00E705EB" w:rsidRPr="006C23B8">
        <w:t>energy customers</w:t>
      </w:r>
      <w:r w:rsidR="00A12543" w:rsidRPr="006C23B8">
        <w:t>.</w:t>
      </w:r>
      <w:r w:rsidR="00A12543" w:rsidRPr="006C23B8">
        <w:rPr>
          <w:rStyle w:val="FootnoteReference"/>
        </w:rPr>
        <w:footnoteReference w:id="18"/>
      </w:r>
      <w:r w:rsidR="00A12543" w:rsidRPr="006C23B8">
        <w:t xml:space="preserve"> In 2020, the Consumer Action Law Centre and the Victorian Aboriginal Legal Service noted examples where retailers did not clearly explain a customer’s rights to assistance under the framework, an experience more prevalent for First Nations Australian customers.</w:t>
      </w:r>
      <w:r w:rsidR="00A12543" w:rsidRPr="006C23B8">
        <w:rPr>
          <w:rStyle w:val="FootnoteReference"/>
        </w:rPr>
        <w:footnoteReference w:id="19"/>
      </w:r>
      <w:r w:rsidR="00A12543" w:rsidRPr="006C23B8">
        <w:t xml:space="preserve"> In 2021, they also observed an increase in the proportion of calls from Victorian Aboriginal community members to their financial counsellors about utilities arrears.</w:t>
      </w:r>
      <w:r w:rsidR="00A12543" w:rsidRPr="006C23B8">
        <w:rPr>
          <w:rStyle w:val="FootnoteReference"/>
        </w:rPr>
        <w:footnoteReference w:id="20"/>
      </w:r>
      <w:r w:rsidR="00A12543" w:rsidRPr="006C23B8">
        <w:t xml:space="preserve"> Th Energy and Water Ombudsman of Victoria has noted that more than 1 in 10 of First Nations customers who presented to them were facing imminent </w:t>
      </w:r>
      <w:r w:rsidR="00A12543" w:rsidRPr="006C23B8">
        <w:lastRenderedPageBreak/>
        <w:t>disconnection, closely followed by those who had actually been disconnected. By contrast, only 3.5 in 100 non-First Nations customers faced imminent disconnection</w:t>
      </w:r>
      <w:r w:rsidR="00A12543" w:rsidRPr="006C23B8">
        <w:rPr>
          <w:rFonts w:ascii="Arial" w:eastAsia="Times New Roman" w:hAnsi="Arial" w:cs="Arial"/>
          <w:lang w:eastAsia="en-AU"/>
        </w:rPr>
        <w:t>.</w:t>
      </w:r>
      <w:r w:rsidR="00A12543" w:rsidRPr="006C23B8">
        <w:rPr>
          <w:rStyle w:val="FootnoteReference"/>
          <w:rFonts w:ascii="Arial" w:eastAsia="Times New Roman" w:hAnsi="Arial" w:cs="Arial"/>
          <w:lang w:eastAsia="en-AU"/>
        </w:rPr>
        <w:footnoteReference w:id="21"/>
      </w:r>
    </w:p>
    <w:p w14:paraId="44D77BBA" w14:textId="10D76ADD" w:rsidR="00144B81" w:rsidRPr="006C23B8" w:rsidRDefault="00C810F8" w:rsidP="007A77CA">
      <w:pPr>
        <w:pStyle w:val="Heading3"/>
      </w:pPr>
      <w:r w:rsidRPr="006C23B8">
        <w:t>C</w:t>
      </w:r>
      <w:r w:rsidR="00144B81" w:rsidRPr="006C23B8">
        <w:t xml:space="preserve">ustomers </w:t>
      </w:r>
      <w:r w:rsidRPr="006C23B8">
        <w:t xml:space="preserve">with low financial or </w:t>
      </w:r>
      <w:r w:rsidR="00495B8F" w:rsidRPr="006C23B8">
        <w:t xml:space="preserve">English literacy </w:t>
      </w:r>
    </w:p>
    <w:p w14:paraId="3568FE34" w14:textId="47D032CF" w:rsidR="00294215" w:rsidRPr="006C23B8" w:rsidRDefault="000A456B" w:rsidP="00294215">
      <w:r w:rsidRPr="006C23B8">
        <w:t>Our research found that only 30 per cent of customers who spoke English as a second language were aware of support for payment difficulties, compared to the Victorian average of 42 per cent.</w:t>
      </w:r>
      <w:r w:rsidRPr="006C23B8">
        <w:rPr>
          <w:rStyle w:val="FootnoteReference"/>
        </w:rPr>
        <w:footnoteReference w:id="22"/>
      </w:r>
      <w:r w:rsidRPr="006C23B8">
        <w:t xml:space="preserve"> </w:t>
      </w:r>
      <w:r w:rsidR="00C93914" w:rsidRPr="006C23B8">
        <w:t>Submissions</w:t>
      </w:r>
      <w:r w:rsidR="00C43F4C" w:rsidRPr="006C23B8">
        <w:t xml:space="preserve"> </w:t>
      </w:r>
      <w:r w:rsidR="00EF3CF0" w:rsidRPr="006C23B8">
        <w:t xml:space="preserve">to our review </w:t>
      </w:r>
      <w:r w:rsidR="00C43F4C" w:rsidRPr="006C23B8">
        <w:t xml:space="preserve">reported no significant change in engagement from customers from diverse backgrounds. </w:t>
      </w:r>
      <w:r w:rsidR="00EF3CF0" w:rsidRPr="006C23B8">
        <w:t xml:space="preserve">Our workshop participants </w:t>
      </w:r>
      <w:r w:rsidR="008B1030" w:rsidRPr="006C23B8">
        <w:t>noted the difficulties faced by customers who have low financial or English literacy. These included: a lack of awareness of supports, the challenges of self-advocating, a reluctance by some people to fill out forms</w:t>
      </w:r>
      <w:r w:rsidRPr="006C23B8">
        <w:t>, the effectiveness of written</w:t>
      </w:r>
      <w:r w:rsidR="008B1030" w:rsidRPr="006C23B8">
        <w:t xml:space="preserve"> notices if English is not a first language</w:t>
      </w:r>
      <w:r w:rsidRPr="006C23B8">
        <w:t xml:space="preserve">, and </w:t>
      </w:r>
      <w:r w:rsidR="008B1030" w:rsidRPr="006C23B8">
        <w:t>the impact of closing face to face support services during stay-at-home orders.</w:t>
      </w:r>
      <w:r w:rsidRPr="006C23B8">
        <w:rPr>
          <w:rStyle w:val="FootnoteReference"/>
        </w:rPr>
        <w:footnoteReference w:id="23"/>
      </w:r>
    </w:p>
    <w:p w14:paraId="4D436C62" w14:textId="2C0A2C89" w:rsidR="009233DF" w:rsidRPr="006C23B8" w:rsidRDefault="00535C81" w:rsidP="00CC60A9">
      <w:pPr>
        <w:pStyle w:val="Heading3"/>
      </w:pPr>
      <w:r w:rsidRPr="006C23B8">
        <w:t>LGBTIQA+ customers</w:t>
      </w:r>
    </w:p>
    <w:p w14:paraId="1BC69F20" w14:textId="6D99F451" w:rsidR="00FA4525" w:rsidRPr="006C23B8" w:rsidRDefault="00FA4525" w:rsidP="00FA4525">
      <w:r w:rsidRPr="006C23B8">
        <w:t>The Victorian Pride Lobby’s recent study also noted that lesbian, gay, bisexual, trans and gender diverse, intersex, queer, and asexual (LGBTIQA+) customers often face barriers when engaging with their electricity, gas, and water suppliers.</w:t>
      </w:r>
      <w:r w:rsidRPr="006C23B8">
        <w:rPr>
          <w:rStyle w:val="FootnoteReference"/>
        </w:rPr>
        <w:footnoteReference w:id="24"/>
      </w:r>
      <w:r w:rsidRPr="006C23B8">
        <w:t xml:space="preserve"> The study noted that disrespectful interactions with a supplier leads to distrust, and acts as a further barrier to receiving assistance. We remind energy retailers of their legal obligations under the Equal Opportunity Act, which prohibits direct and indirect discrimination in the provision of goods and services.</w:t>
      </w:r>
      <w:r w:rsidRPr="006C23B8">
        <w:rPr>
          <w:rStyle w:val="FootnoteReference"/>
        </w:rPr>
        <w:footnoteReference w:id="25"/>
      </w:r>
    </w:p>
    <w:p w14:paraId="538497C0" w14:textId="2E00B8B5" w:rsidR="00543464" w:rsidRPr="006C23B8" w:rsidRDefault="00543464" w:rsidP="000100D2">
      <w:pPr>
        <w:pStyle w:val="Heading3"/>
      </w:pPr>
      <w:r w:rsidRPr="006C23B8">
        <w:lastRenderedPageBreak/>
        <w:t>Gender equality and the framework</w:t>
      </w:r>
    </w:p>
    <w:p w14:paraId="2D285938" w14:textId="46B8437C" w:rsidR="00B27D05" w:rsidRPr="006C23B8" w:rsidRDefault="008B3E6A" w:rsidP="007A77CA">
      <w:pPr>
        <w:keepNext/>
        <w:keepLines/>
      </w:pPr>
      <w:r w:rsidRPr="006C23B8">
        <w:t>Women are more likely to experience general economic hardship due to systemic factors such as the wage gap, lower rates of employment, economic abuse and family violence.</w:t>
      </w:r>
      <w:r w:rsidRPr="006C23B8">
        <w:rPr>
          <w:rStyle w:val="FootnoteReference"/>
        </w:rPr>
        <w:footnoteReference w:id="26"/>
      </w:r>
      <w:r w:rsidRPr="006C23B8">
        <w:t xml:space="preserve"> </w:t>
      </w:r>
      <w:r w:rsidR="0024680A" w:rsidRPr="006C23B8">
        <w:t xml:space="preserve">The </w:t>
      </w:r>
      <w:r w:rsidR="00DF044D" w:rsidRPr="006C23B8">
        <w:t xml:space="preserve">Victorian </w:t>
      </w:r>
      <w:r w:rsidR="0024680A" w:rsidRPr="006C23B8">
        <w:t xml:space="preserve">Gender Equality Act </w:t>
      </w:r>
      <w:r w:rsidR="00DF044D" w:rsidRPr="006C23B8">
        <w:t xml:space="preserve">of </w:t>
      </w:r>
      <w:r w:rsidR="0055274E" w:rsidRPr="006C23B8">
        <w:t xml:space="preserve">2020 </w:t>
      </w:r>
      <w:r w:rsidR="00B061F0" w:rsidRPr="006C23B8">
        <w:t xml:space="preserve">(the Act) </w:t>
      </w:r>
      <w:r w:rsidR="00812721" w:rsidRPr="006C23B8">
        <w:t xml:space="preserve">recognises that </w:t>
      </w:r>
      <w:r w:rsidR="0000361A" w:rsidRPr="006C23B8">
        <w:t>‘women have historically experienced discrimination and disadvantage on the basis of sex and gender’</w:t>
      </w:r>
      <w:r w:rsidR="003B06F2" w:rsidRPr="006C23B8">
        <w:t xml:space="preserve"> and that: </w:t>
      </w:r>
    </w:p>
    <w:p w14:paraId="2DCAB570" w14:textId="1E18E19F" w:rsidR="00B223F0" w:rsidRPr="006C23B8" w:rsidRDefault="00B223F0" w:rsidP="007A77CA">
      <w:pPr>
        <w:pStyle w:val="Quote"/>
        <w:keepLines/>
      </w:pPr>
      <w:r w:rsidRPr="006C23B8">
        <w:t>gender inequality may be compounded by</w:t>
      </w:r>
      <w:r w:rsidR="00B27D05" w:rsidRPr="006C23B8">
        <w:t xml:space="preserve"> </w:t>
      </w:r>
      <w:r w:rsidRPr="006C23B8">
        <w:t>other forms of disadvantage or discrimination that a person may experience based</w:t>
      </w:r>
      <w:r w:rsidR="00B27D05" w:rsidRPr="006C23B8">
        <w:t xml:space="preserve"> </w:t>
      </w:r>
      <w:r w:rsidRPr="006C23B8">
        <w:t>on Aboriginality, age, disability, ethnicity, gender identity, race, religion, sexual</w:t>
      </w:r>
      <w:r w:rsidR="00B27D05" w:rsidRPr="006C23B8">
        <w:t xml:space="preserve"> </w:t>
      </w:r>
      <w:r w:rsidRPr="006C23B8">
        <w:t>orientation and other attributes.</w:t>
      </w:r>
      <w:r w:rsidR="00B27D05" w:rsidRPr="006C23B8">
        <w:rPr>
          <w:rStyle w:val="FootnoteReference"/>
        </w:rPr>
        <w:footnoteReference w:id="27"/>
      </w:r>
    </w:p>
    <w:p w14:paraId="7899A036" w14:textId="77A2E8FF" w:rsidR="00C43F4C" w:rsidRDefault="00E244AE" w:rsidP="007A77CA">
      <w:pPr>
        <w:keepLines/>
        <w:sectPr w:rsidR="00C43F4C" w:rsidSect="00DC3F20">
          <w:footerReference w:type="default" r:id="rId74"/>
          <w:pgSz w:w="11906" w:h="16838"/>
          <w:pgMar w:top="1134" w:right="1134" w:bottom="1134" w:left="1134" w:header="709" w:footer="692" w:gutter="0"/>
          <w:cols w:space="720"/>
          <w:docGrid w:linePitch="299"/>
        </w:sectPr>
      </w:pPr>
      <w:r w:rsidRPr="006C23B8">
        <w:t>The Act requires the Victorian public sector to consider and promote gender equality in their policies, programs and services.</w:t>
      </w:r>
      <w:r w:rsidRPr="006C23B8">
        <w:rPr>
          <w:rStyle w:val="FootnoteReference"/>
        </w:rPr>
        <w:footnoteReference w:id="28"/>
      </w:r>
      <w:r w:rsidRPr="006C23B8">
        <w:t xml:space="preserve"> </w:t>
      </w:r>
      <w:r w:rsidR="005377A6" w:rsidRPr="006C23B8">
        <w:t xml:space="preserve">For the review of the payment difficulty framework, we sought to identify </w:t>
      </w:r>
      <w:r w:rsidR="007664A2" w:rsidRPr="006C23B8">
        <w:t xml:space="preserve">whether </w:t>
      </w:r>
      <w:r w:rsidR="005377A6" w:rsidRPr="006C23B8">
        <w:t>there is</w:t>
      </w:r>
      <w:r w:rsidR="00B55AD4" w:rsidRPr="006C23B8">
        <w:t xml:space="preserve"> a gendered dimension to customers seeking assistance under the framework</w:t>
      </w:r>
      <w:r w:rsidR="00BF3258" w:rsidRPr="006C23B8">
        <w:t xml:space="preserve"> so that we could better inform the implementation of the framework</w:t>
      </w:r>
      <w:r w:rsidR="00B55AD4" w:rsidRPr="006C23B8">
        <w:t xml:space="preserve">. </w:t>
      </w:r>
      <w:r w:rsidR="00DB1430" w:rsidRPr="006C23B8">
        <w:t>We did this through collecting gender data as part of the call recording</w:t>
      </w:r>
      <w:r w:rsidR="00BB6050">
        <w:t>s</w:t>
      </w:r>
      <w:r w:rsidR="00DB1430" w:rsidRPr="006C23B8">
        <w:t xml:space="preserve"> study, which found that 69 per cent of customers on the calls assessed were inferred as female.</w:t>
      </w:r>
      <w:r w:rsidR="00DB1430" w:rsidRPr="006C23B8">
        <w:rPr>
          <w:rStyle w:val="FootnoteReference"/>
        </w:rPr>
        <w:footnoteReference w:id="29"/>
      </w:r>
      <w:r w:rsidR="00DB1430" w:rsidRPr="006C23B8">
        <w:t xml:space="preserve"> This finding is similar to recent research undertaken by the </w:t>
      </w:r>
      <w:r w:rsidR="00B55AD4" w:rsidRPr="006C23B8">
        <w:t xml:space="preserve">Consumer Action Law Centre </w:t>
      </w:r>
      <w:r w:rsidR="00DB1430" w:rsidRPr="006C23B8">
        <w:t>which</w:t>
      </w:r>
      <w:r w:rsidR="00B55AD4" w:rsidRPr="006C23B8">
        <w:t xml:space="preserve"> found that female-identifying callers made up 71 per cent of all energy-related calls to </w:t>
      </w:r>
      <w:r w:rsidR="002830C2" w:rsidRPr="006C23B8">
        <w:t xml:space="preserve">their </w:t>
      </w:r>
      <w:r w:rsidR="00B55AD4" w:rsidRPr="006C23B8">
        <w:t>financial counsellors.</w:t>
      </w:r>
      <w:r w:rsidR="00B55AD4" w:rsidRPr="006C23B8">
        <w:rPr>
          <w:rStyle w:val="FootnoteReference"/>
        </w:rPr>
        <w:footnoteReference w:id="30"/>
      </w:r>
      <w:r w:rsidR="00B55AD4" w:rsidRPr="006C23B8">
        <w:t xml:space="preserve"> </w:t>
      </w:r>
      <w:r w:rsidR="00123183" w:rsidRPr="006C23B8">
        <w:t>W</w:t>
      </w:r>
      <w:r w:rsidR="007664A2" w:rsidRPr="006C23B8">
        <w:t>e</w:t>
      </w:r>
      <w:r w:rsidR="00123183" w:rsidRPr="006C23B8">
        <w:t xml:space="preserve"> </w:t>
      </w:r>
      <w:r w:rsidR="007664A2" w:rsidRPr="006C23B8">
        <w:t>recognise that</w:t>
      </w:r>
      <w:r w:rsidRPr="006C23B8">
        <w:t xml:space="preserve"> the </w:t>
      </w:r>
      <w:r w:rsidR="0003312B" w:rsidRPr="006C23B8">
        <w:t xml:space="preserve">intersectionality of </w:t>
      </w:r>
      <w:r w:rsidRPr="006C23B8">
        <w:t>multiple barriers</w:t>
      </w:r>
      <w:r w:rsidR="00FD1D81" w:rsidRPr="006C23B8">
        <w:t xml:space="preserve"> faced by women</w:t>
      </w:r>
      <w:r w:rsidR="004322D2" w:rsidRPr="006C23B8">
        <w:t xml:space="preserve">, including forms of disadvantage or discrimination, </w:t>
      </w:r>
      <w:r w:rsidR="0003312B" w:rsidRPr="006C23B8">
        <w:t>may overlap</w:t>
      </w:r>
      <w:r w:rsidR="004322D2" w:rsidRPr="006C23B8">
        <w:t xml:space="preserve"> with</w:t>
      </w:r>
      <w:r w:rsidR="0003312B" w:rsidRPr="006C23B8">
        <w:t xml:space="preserve"> or compound </w:t>
      </w:r>
      <w:r w:rsidR="002F06AB" w:rsidRPr="006C23B8">
        <w:t>the difficulties they experience trying to access and receive assistance under the framework.</w:t>
      </w:r>
      <w:r w:rsidR="002F06AB">
        <w:t xml:space="preserve"> </w:t>
      </w:r>
    </w:p>
    <w:p w14:paraId="38A43A4B" w14:textId="77777777" w:rsidR="00C43F4C" w:rsidRPr="00445D9A" w:rsidRDefault="00C43F4C" w:rsidP="00C43F4C">
      <w:pPr>
        <w:pStyle w:val="Heading1"/>
      </w:pPr>
      <w:bookmarkStart w:id="84" w:name="_Toc104850122"/>
      <w:r w:rsidRPr="00445D9A">
        <w:lastRenderedPageBreak/>
        <w:t>Are residential energy customers avoiding getting into arrears with their retailer?</w:t>
      </w:r>
      <w:bookmarkEnd w:id="84"/>
    </w:p>
    <w:p w14:paraId="0F5D20B2" w14:textId="77777777" w:rsidR="00C43F4C" w:rsidRDefault="00C43F4C" w:rsidP="00C43F4C">
      <w:pPr>
        <w:pStyle w:val="Introductionsentence"/>
      </w:pPr>
      <w:bookmarkStart w:id="85" w:name="_Ref99966239"/>
      <w:r>
        <w:t>A key objective of the payment difficulty framework is to support customers to help them avoid getting into arrears with their retailer. Under the framework, all Victorian retailers provide readily available standard assistance for customers to encourage early action to avoid arrears.</w:t>
      </w:r>
    </w:p>
    <w:p w14:paraId="3B6087F1" w14:textId="66C576C0" w:rsidR="002F083D" w:rsidRPr="002F083D" w:rsidRDefault="002F083D" w:rsidP="002F083D">
      <w:pPr>
        <w:pStyle w:val="Heading2"/>
      </w:pPr>
      <w:bookmarkStart w:id="86" w:name="_Toc104850123"/>
      <w:r w:rsidRPr="002F083D">
        <w:t>Our key findings: standard assistance</w:t>
      </w:r>
      <w:bookmarkEnd w:id="86"/>
    </w:p>
    <w:tbl>
      <w:tblPr>
        <w:tblStyle w:val="TwoColumnImage"/>
        <w:tblW w:w="9639" w:type="dxa"/>
        <w:tblBorders>
          <w:top w:val="single" w:sz="24" w:space="0" w:color="FFBA5B" w:themeColor="accent4" w:themeTint="99"/>
          <w:left w:val="single" w:sz="24" w:space="0" w:color="FFBA5B" w:themeColor="accent4" w:themeTint="99"/>
          <w:bottom w:val="single" w:sz="24" w:space="0" w:color="FFBA5B" w:themeColor="accent4" w:themeTint="99"/>
          <w:right w:val="single" w:sz="24" w:space="0" w:color="FFBA5B" w:themeColor="accent4" w:themeTint="99"/>
          <w:insideH w:val="single" w:sz="24" w:space="0" w:color="FFBA5B" w:themeColor="accent4" w:themeTint="99"/>
        </w:tblBorders>
        <w:shd w:val="clear" w:color="auto" w:fill="FFD191" w:themeFill="accent4" w:themeFillTint="66"/>
        <w:tblCellMar>
          <w:top w:w="113" w:type="dxa"/>
          <w:bottom w:w="113" w:type="dxa"/>
        </w:tblCellMar>
        <w:tblLook w:val="04A0" w:firstRow="1" w:lastRow="0" w:firstColumn="1" w:lastColumn="0" w:noHBand="0" w:noVBand="1"/>
      </w:tblPr>
      <w:tblGrid>
        <w:gridCol w:w="2144"/>
        <w:gridCol w:w="7495"/>
      </w:tblGrid>
      <w:tr w:rsidR="004C5AA5" w:rsidRPr="000179AE" w14:paraId="45C687E5" w14:textId="77777777" w:rsidTr="00DE7EF4">
        <w:tc>
          <w:tcPr>
            <w:tcW w:w="2144" w:type="dxa"/>
            <w:shd w:val="clear" w:color="auto" w:fill="FFD191" w:themeFill="accent4" w:themeFillTint="66"/>
            <w:vAlign w:val="center"/>
          </w:tcPr>
          <w:p w14:paraId="149FC8E2" w14:textId="77777777" w:rsidR="004C5AA5" w:rsidRPr="000179AE" w:rsidRDefault="004C5AA5" w:rsidP="00DE7EF4">
            <w:pPr>
              <w:pStyle w:val="TableBody"/>
              <w:spacing w:after="120"/>
              <w:ind w:left="284" w:right="-2"/>
              <w:jc w:val="center"/>
              <w:rPr>
                <w:rFonts w:ascii="Tahoma" w:hAnsi="Tahoma" w:cs="Tahoma"/>
                <w:color w:val="262626" w:themeColor="text1" w:themeTint="D9"/>
              </w:rPr>
            </w:pPr>
            <w:r w:rsidRPr="000179AE">
              <w:rPr>
                <w:rFonts w:ascii="Tahoma" w:hAnsi="Tahoma" w:cs="Tahoma"/>
                <w:noProof/>
                <w:color w:val="262626" w:themeColor="text1" w:themeTint="D9"/>
              </w:rPr>
              <w:drawing>
                <wp:inline distT="0" distB="0" distL="0" distR="0" wp14:anchorId="2438A422" wp14:editId="16D60A84">
                  <wp:extent cx="720000" cy="720000"/>
                  <wp:effectExtent l="0" t="0" r="4445" b="4445"/>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495" w:type="dxa"/>
            <w:shd w:val="clear" w:color="auto" w:fill="FFD191" w:themeFill="accent4" w:themeFillTint="66"/>
          </w:tcPr>
          <w:p w14:paraId="2A91486A" w14:textId="26C66B80" w:rsidR="002D131B" w:rsidRDefault="004C5AA5" w:rsidP="00F35989">
            <w:pPr>
              <w:pStyle w:val="Pull-out2"/>
              <w:spacing w:before="0"/>
              <w:ind w:left="0" w:right="107"/>
              <w:contextualSpacing/>
              <w:rPr>
                <w:color w:val="262626" w:themeColor="text1" w:themeTint="D9"/>
              </w:rPr>
            </w:pPr>
            <w:r>
              <w:rPr>
                <w:rFonts w:ascii="Tahoma" w:hAnsi="Tahoma" w:cs="Tahoma"/>
                <w:b/>
                <w:bCs/>
                <w:color w:val="262626" w:themeColor="text1" w:themeTint="D9"/>
                <w:sz w:val="24"/>
                <w:szCs w:val="24"/>
              </w:rPr>
              <w:t xml:space="preserve">Key </w:t>
            </w:r>
            <w:r w:rsidRPr="00F907C4">
              <w:rPr>
                <w:rFonts w:ascii="Tahoma" w:hAnsi="Tahoma" w:cs="Tahoma"/>
                <w:b/>
                <w:bCs/>
                <w:color w:val="262626" w:themeColor="text1" w:themeTint="D9"/>
                <w:sz w:val="24"/>
                <w:szCs w:val="24"/>
                <w:lang w:val="en-US"/>
              </w:rPr>
              <w:t>finding</w:t>
            </w:r>
            <w:r>
              <w:rPr>
                <w:rFonts w:ascii="Tahoma" w:hAnsi="Tahoma" w:cs="Tahoma"/>
                <w:b/>
                <w:bCs/>
                <w:color w:val="262626" w:themeColor="text1" w:themeTint="D9"/>
                <w:sz w:val="24"/>
                <w:szCs w:val="24"/>
              </w:rPr>
              <w:t xml:space="preserve">: </w:t>
            </w:r>
            <w:r w:rsidRPr="000179AE">
              <w:rPr>
                <w:rFonts w:ascii="Tahoma" w:hAnsi="Tahoma" w:cs="Tahoma"/>
                <w:b/>
                <w:bCs/>
                <w:color w:val="262626" w:themeColor="text1" w:themeTint="D9"/>
                <w:sz w:val="24"/>
                <w:szCs w:val="24"/>
              </w:rPr>
              <w:t xml:space="preserve">Implementation of the framework is broadly meeting its </w:t>
            </w:r>
            <w:r w:rsidRPr="00981FD6">
              <w:rPr>
                <w:rFonts w:ascii="Tahoma" w:hAnsi="Tahoma" w:cs="Tahoma"/>
                <w:b/>
                <w:bCs/>
                <w:color w:val="262626" w:themeColor="text1" w:themeTint="D9"/>
                <w:sz w:val="24"/>
                <w:szCs w:val="24"/>
                <w:lang w:val="en-US"/>
              </w:rPr>
              <w:t>objectives</w:t>
            </w:r>
            <w:r w:rsidRPr="000179AE">
              <w:rPr>
                <w:color w:val="262626" w:themeColor="text1" w:themeTint="D9"/>
              </w:rPr>
              <w:t xml:space="preserve"> </w:t>
            </w:r>
          </w:p>
          <w:p w14:paraId="50EA40D8" w14:textId="27080E17" w:rsidR="004C5AA5" w:rsidRPr="00A16764" w:rsidRDefault="00D315E7" w:rsidP="00981FD6">
            <w:pPr>
              <w:pStyle w:val="Pull-out2"/>
              <w:spacing w:before="0"/>
              <w:ind w:left="0" w:right="107"/>
              <w:contextualSpacing/>
            </w:pPr>
            <w:r>
              <w:t>S</w:t>
            </w:r>
            <w:r w:rsidRPr="00D315E7">
              <w:t xml:space="preserve">tandard assistance provides customers with options to </w:t>
            </w:r>
            <w:r w:rsidR="009D1C9E">
              <w:t xml:space="preserve">better </w:t>
            </w:r>
            <w:r w:rsidRPr="00D315E7">
              <w:t xml:space="preserve">manage their energy bills </w:t>
            </w:r>
            <w:r w:rsidR="009D1C9E">
              <w:t>(such as changing bill frequency)</w:t>
            </w:r>
            <w:r w:rsidRPr="00D315E7">
              <w:t>, or to help</w:t>
            </w:r>
            <w:r w:rsidR="00125BA1">
              <w:t xml:space="preserve"> t</w:t>
            </w:r>
            <w:r w:rsidR="00674648">
              <w:t>h</w:t>
            </w:r>
            <w:r w:rsidR="00125BA1">
              <w:t>em</w:t>
            </w:r>
            <w:r w:rsidRPr="00D315E7">
              <w:t xml:space="preserve"> avoid getting into arrears</w:t>
            </w:r>
            <w:r w:rsidR="00FA4E58">
              <w:t xml:space="preserve">. </w:t>
            </w:r>
            <w:r w:rsidR="00923328">
              <w:t>A</w:t>
            </w:r>
            <w:r w:rsidR="004C5AA5" w:rsidRPr="001A5413">
              <w:t xml:space="preserve"> small proportion of customers who receive standard assistance </w:t>
            </w:r>
            <w:r w:rsidR="004C5AA5">
              <w:t>subsequently</w:t>
            </w:r>
            <w:r w:rsidR="004C5AA5" w:rsidRPr="001A5413">
              <w:t xml:space="preserve"> get into arrears with their retailer and </w:t>
            </w:r>
            <w:r w:rsidR="00887985">
              <w:t xml:space="preserve">went on to </w:t>
            </w:r>
            <w:r w:rsidR="004C5AA5" w:rsidRPr="001A5413">
              <w:t>receive tailored assistance from their retailer.</w:t>
            </w:r>
          </w:p>
        </w:tc>
      </w:tr>
      <w:tr w:rsidR="004C5AA5" w:rsidRPr="000179AE" w14:paraId="3728685E" w14:textId="77777777" w:rsidTr="00DE7EF4">
        <w:tc>
          <w:tcPr>
            <w:tcW w:w="2144" w:type="dxa"/>
            <w:shd w:val="clear" w:color="auto" w:fill="FFD191" w:themeFill="accent4" w:themeFillTint="66"/>
            <w:vAlign w:val="center"/>
          </w:tcPr>
          <w:p w14:paraId="6DD62CD0" w14:textId="77777777" w:rsidR="004C5AA5" w:rsidRPr="000179AE" w:rsidRDefault="004C5AA5" w:rsidP="00DE7EF4">
            <w:pPr>
              <w:pStyle w:val="TableBody"/>
              <w:spacing w:after="120"/>
              <w:ind w:left="142" w:right="119"/>
              <w:jc w:val="center"/>
              <w:rPr>
                <w:rFonts w:ascii="Tahoma" w:hAnsi="Tahoma" w:cs="Tahoma"/>
                <w:color w:val="262626" w:themeColor="text1" w:themeTint="D9"/>
              </w:rPr>
            </w:pPr>
            <w:r w:rsidRPr="000179AE">
              <w:rPr>
                <w:noProof/>
                <w:color w:val="262626" w:themeColor="text1" w:themeTint="D9"/>
              </w:rPr>
              <w:drawing>
                <wp:inline distT="0" distB="0" distL="0" distR="0" wp14:anchorId="5E4A5E77" wp14:editId="2C5E3076">
                  <wp:extent cx="720000" cy="720000"/>
                  <wp:effectExtent l="0" t="0" r="0" b="4445"/>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495" w:type="dxa"/>
            <w:shd w:val="clear" w:color="auto" w:fill="FFD191" w:themeFill="accent4" w:themeFillTint="66"/>
            <w:vAlign w:val="center"/>
          </w:tcPr>
          <w:p w14:paraId="4617BF29" w14:textId="2516E159" w:rsidR="004C5AA5" w:rsidRDefault="004C5AA5" w:rsidP="00DE7EF4">
            <w:pPr>
              <w:pStyle w:val="Pull-out2"/>
              <w:spacing w:before="0"/>
              <w:ind w:left="0" w:right="107"/>
              <w:contextualSpacing/>
              <w:rPr>
                <w:rFonts w:ascii="Tahoma" w:hAnsi="Tahoma" w:cs="Tahoma"/>
                <w:b/>
                <w:bCs/>
                <w:color w:val="262626" w:themeColor="text1" w:themeTint="D9"/>
                <w:sz w:val="24"/>
                <w:szCs w:val="24"/>
                <w:lang w:val="en-US"/>
              </w:rPr>
            </w:pPr>
            <w:r w:rsidRPr="00F907C4">
              <w:rPr>
                <w:rFonts w:ascii="Tahoma" w:hAnsi="Tahoma" w:cs="Tahoma"/>
                <w:b/>
                <w:bCs/>
                <w:color w:val="262626" w:themeColor="text1" w:themeTint="D9"/>
                <w:sz w:val="24"/>
                <w:szCs w:val="24"/>
                <w:lang w:val="en-US"/>
              </w:rPr>
              <w:t>Key finding: The level and quality of retailer-customer engagement affects customer outcomes</w:t>
            </w:r>
          </w:p>
          <w:p w14:paraId="4C822092" w14:textId="569208D7" w:rsidR="004C5AA5" w:rsidRPr="003F6264" w:rsidRDefault="00C95B07" w:rsidP="00BD279B">
            <w:pPr>
              <w:pStyle w:val="Pull-out2"/>
              <w:spacing w:before="0"/>
              <w:ind w:left="0" w:right="107"/>
              <w:contextualSpacing/>
              <w:rPr>
                <w:color w:val="262626" w:themeColor="text1" w:themeTint="D9"/>
              </w:rPr>
            </w:pPr>
            <w:r>
              <w:t>Information about standard assistance is publicly available</w:t>
            </w:r>
            <w:r w:rsidR="002F42B6">
              <w:t xml:space="preserve"> but </w:t>
            </w:r>
            <w:r w:rsidR="00F21157">
              <w:t xml:space="preserve">many </w:t>
            </w:r>
            <w:r>
              <w:t>customers can</w:t>
            </w:r>
            <w:r w:rsidR="00D9063A">
              <w:t>not</w:t>
            </w:r>
            <w:r>
              <w:t xml:space="preserve"> access or engage with this information in an effective manner</w:t>
            </w:r>
            <w:r w:rsidR="002F42B6">
              <w:t>.</w:t>
            </w:r>
            <w:r w:rsidRPr="00843D0D">
              <w:rPr>
                <w:color w:val="262626" w:themeColor="text1" w:themeTint="D9"/>
              </w:rPr>
              <w:t xml:space="preserve"> </w:t>
            </w:r>
          </w:p>
        </w:tc>
      </w:tr>
    </w:tbl>
    <w:p w14:paraId="27210212" w14:textId="2AFEE56D" w:rsidR="00C43F4C" w:rsidRDefault="00C43F4C" w:rsidP="00C43F4C">
      <w:pPr>
        <w:pStyle w:val="Heading2"/>
      </w:pPr>
      <w:bookmarkStart w:id="87" w:name="_Toc104850124"/>
      <w:r>
        <w:t>Standard assistance</w:t>
      </w:r>
      <w:bookmarkEnd w:id="87"/>
    </w:p>
    <w:p w14:paraId="385944F5" w14:textId="6192E516" w:rsidR="00C43F4C" w:rsidRDefault="00C43F4C" w:rsidP="00C43F4C">
      <w:r>
        <w:t xml:space="preserve">Standard assistance is available to all customers. </w:t>
      </w:r>
      <w:r w:rsidDel="00E45576">
        <w:t xml:space="preserve">Being an entitlement-based framework, </w:t>
      </w:r>
      <w:r>
        <w:t xml:space="preserve">a </w:t>
      </w:r>
      <w:r w:rsidDel="00E45576">
        <w:t>customer do</w:t>
      </w:r>
      <w:r>
        <w:t>es</w:t>
      </w:r>
      <w:r w:rsidDel="00E45576">
        <w:t xml:space="preserve"> not require their retailer</w:t>
      </w:r>
      <w:r w:rsidR="003B4209">
        <w:t>’</w:t>
      </w:r>
      <w:r w:rsidDel="00E45576">
        <w:t>s permission to access these standard assistance measures.</w:t>
      </w:r>
    </w:p>
    <w:p w14:paraId="53B72B5E" w14:textId="77777777" w:rsidR="00C43F4C" w:rsidRDefault="00C43F4C" w:rsidP="00C43F4C">
      <w:r>
        <w:t>When the framework was designed, standard assistance was intended to be easily accessible to all Victorian customers. They do not necessarily have to be in arrears and should be able to access the assistance by simply asking for it.</w:t>
      </w:r>
    </w:p>
    <w:p w14:paraId="3507901D" w14:textId="77777777" w:rsidR="00C43F4C" w:rsidRDefault="00C43F4C" w:rsidP="00C43F4C">
      <w:pPr>
        <w:pStyle w:val="Pull-outHeading"/>
        <w:keepNext/>
        <w:keepLines/>
      </w:pPr>
      <w:r>
        <w:lastRenderedPageBreak/>
        <w:t>Standard assistance in the Energy Retail Code of Practice</w:t>
      </w:r>
    </w:p>
    <w:p w14:paraId="7E306FA3" w14:textId="77777777" w:rsidR="00C43F4C" w:rsidRDefault="00C43F4C" w:rsidP="00C43F4C">
      <w:pPr>
        <w:pStyle w:val="Pull-out"/>
        <w:keepNext/>
        <w:keepLines/>
      </w:pPr>
      <w:r>
        <w:t xml:space="preserve">Under clause 125 of the Energy Retail Code of Practice, retailers must make at least three different payment options readily available to customers, as follows: </w:t>
      </w:r>
    </w:p>
    <w:p w14:paraId="2337CEE1" w14:textId="77777777" w:rsidR="00C43F4C" w:rsidRPr="00957FA0" w:rsidRDefault="00C43F4C" w:rsidP="00C43F4C">
      <w:pPr>
        <w:pStyle w:val="Pull-outBullet1"/>
      </w:pPr>
      <w:r w:rsidRPr="00957FA0">
        <w:t>making payments of an equal amount over a specified period</w:t>
      </w:r>
    </w:p>
    <w:p w14:paraId="2F086196" w14:textId="77777777" w:rsidR="00C43F4C" w:rsidRPr="00957FA0" w:rsidRDefault="00C43F4C" w:rsidP="00C43F4C">
      <w:pPr>
        <w:pStyle w:val="Pull-outBullet1"/>
      </w:pPr>
      <w:r w:rsidRPr="00957FA0">
        <w:t>options for making payments at different intervals</w:t>
      </w:r>
    </w:p>
    <w:p w14:paraId="6F9474C8" w14:textId="089FF6FC" w:rsidR="00C43F4C" w:rsidRPr="00957FA0" w:rsidRDefault="00C43F4C" w:rsidP="00C43F4C">
      <w:pPr>
        <w:pStyle w:val="Pull-outBullet1"/>
      </w:pPr>
      <w:r w:rsidRPr="00957FA0">
        <w:t>extending the pay-by date for a</w:t>
      </w:r>
      <w:r>
        <w:t xml:space="preserve">n energy </w:t>
      </w:r>
      <w:r w:rsidRPr="00957FA0">
        <w:t>bill for at least one billing cycle in any 12</w:t>
      </w:r>
      <w:r w:rsidR="00BC6740" w:rsidRPr="00957FA0">
        <w:t>-</w:t>
      </w:r>
      <w:r w:rsidRPr="00957FA0">
        <w:t xml:space="preserve">month period, or </w:t>
      </w:r>
    </w:p>
    <w:p w14:paraId="2D510CD3" w14:textId="77777777" w:rsidR="00C43F4C" w:rsidRPr="00957FA0" w:rsidRDefault="00C43F4C" w:rsidP="00C43F4C">
      <w:pPr>
        <w:pStyle w:val="Pull-outBullet1"/>
      </w:pPr>
      <w:r w:rsidRPr="00957FA0">
        <w:t xml:space="preserve">paying for </w:t>
      </w:r>
      <w:r>
        <w:t xml:space="preserve">their </w:t>
      </w:r>
      <w:r w:rsidRPr="00957FA0">
        <w:t>energy use i</w:t>
      </w:r>
      <w:r w:rsidRPr="00957FA0">
        <w:rPr>
          <w:color w:val="000000" w:themeColor="text1"/>
        </w:rPr>
        <w:t>n advance.</w:t>
      </w:r>
      <w:r w:rsidRPr="00957FA0">
        <w:rPr>
          <w:rStyle w:val="FootnoteReference"/>
          <w:color w:val="000000" w:themeColor="text1"/>
        </w:rPr>
        <w:footnoteReference w:id="31"/>
      </w:r>
    </w:p>
    <w:p w14:paraId="1965D159" w14:textId="77777777" w:rsidR="00C43F4C" w:rsidRDefault="00C43F4C" w:rsidP="00C43F4C">
      <w:pPr>
        <w:pStyle w:val="Pull-out"/>
        <w:keepNext/>
        <w:keepLines/>
      </w:pPr>
      <w:r>
        <w:t xml:space="preserve">These payment options have been provided for customers to help manage the payment of energy bills, or to pre-emptively help avoid getting into arrears. </w:t>
      </w:r>
    </w:p>
    <w:p w14:paraId="721CFCE0" w14:textId="77777777" w:rsidR="00C43F4C" w:rsidRDefault="00C43F4C" w:rsidP="00C43F4C">
      <w:pPr>
        <w:pStyle w:val="Pull-out"/>
        <w:keepNext/>
        <w:keepLines/>
      </w:pPr>
      <w:r>
        <w:t>Retailers must make information about the standard assistance they offer readily available to customers, including how that assistance can be accessed.</w:t>
      </w:r>
      <w:r w:rsidRPr="00E45576">
        <w:t xml:space="preserve"> </w:t>
      </w:r>
    </w:p>
    <w:p w14:paraId="5D1E0A65" w14:textId="77777777" w:rsidR="00C43F4C" w:rsidRDefault="00C43F4C" w:rsidP="00C43F4C">
      <w:r>
        <w:t>The following sections provided a detailed discussion of our key findings related to standard assistance under the framework.</w:t>
      </w:r>
    </w:p>
    <w:p w14:paraId="6481A99E" w14:textId="77777777" w:rsidR="00C43F4C" w:rsidRDefault="00C43F4C" w:rsidP="00C43F4C">
      <w:pPr>
        <w:pStyle w:val="Heading2"/>
      </w:pPr>
      <w:bookmarkStart w:id="88" w:name="_Toc104850125"/>
      <w:r>
        <w:t>How customers are offered standard assistance</w:t>
      </w:r>
      <w:bookmarkEnd w:id="88"/>
    </w:p>
    <w:p w14:paraId="21D1A57A" w14:textId="4F081BE5" w:rsidR="00C43F4C" w:rsidRDefault="00C43F4C" w:rsidP="00C43F4C">
      <w:r>
        <w:t>Victorian retailers generally set out the standard assistance options offered to their customers on their websites or in their hardship policies. Many retailers also enable customers to access standard assistance through self-service online or by phone.</w:t>
      </w:r>
      <w:r w:rsidR="0092186D">
        <w:t xml:space="preserve"> </w:t>
      </w:r>
      <w:r>
        <w:t>While most of the retailers offer at least three of options of standard assistance, some retailers offer all four options of standard assistance to its customers, as detailed the following table.</w:t>
      </w:r>
    </w:p>
    <w:p w14:paraId="511C7EC5" w14:textId="77777777" w:rsidR="008627D4" w:rsidRDefault="008627D4">
      <w:pPr>
        <w:spacing w:before="0" w:line="259" w:lineRule="auto"/>
        <w:rPr>
          <w:rFonts w:asciiTheme="majorHAnsi" w:eastAsiaTheme="majorEastAsia" w:hAnsiTheme="majorHAnsi" w:cstheme="majorBidi"/>
          <w:b/>
          <w:color w:val="4986A0" w:themeColor="text2"/>
          <w:szCs w:val="24"/>
          <w:lang w:val="en-US"/>
        </w:rPr>
      </w:pPr>
      <w:bookmarkStart w:id="89" w:name="_Toc103943778"/>
      <w:r>
        <w:br w:type="page"/>
      </w:r>
    </w:p>
    <w:p w14:paraId="02C5F245" w14:textId="631EA9A6" w:rsidR="00C43F4C" w:rsidRPr="001577B3" w:rsidRDefault="00C43F4C" w:rsidP="008627D4">
      <w:pPr>
        <w:pStyle w:val="Figure-Table-BoxHeading"/>
        <w:keepLines/>
        <w:numPr>
          <w:ilvl w:val="0"/>
          <w:numId w:val="0"/>
        </w:numPr>
        <w:ind w:left="851" w:hanging="851"/>
      </w:pPr>
      <w:r>
        <w:lastRenderedPageBreak/>
        <w:t xml:space="preserve">Figure </w:t>
      </w:r>
      <w:r>
        <w:fldChar w:fldCharType="begin"/>
      </w:r>
      <w:r>
        <w:instrText>SEQ Figure \* ARABIC</w:instrText>
      </w:r>
      <w:r>
        <w:fldChar w:fldCharType="separate"/>
      </w:r>
      <w:r w:rsidR="00357DD7">
        <w:rPr>
          <w:noProof/>
        </w:rPr>
        <w:t>8</w:t>
      </w:r>
      <w:r>
        <w:fldChar w:fldCharType="end"/>
      </w:r>
      <w:r>
        <w:tab/>
        <w:t>Standard assistance options offered by retailers</w:t>
      </w:r>
      <w:bookmarkEnd w:id="89"/>
    </w:p>
    <w:tbl>
      <w:tblPr>
        <w:tblStyle w:val="TableGrid"/>
        <w:tblW w:w="0" w:type="auto"/>
        <w:tblLook w:val="04A0" w:firstRow="1" w:lastRow="0" w:firstColumn="1" w:lastColumn="0" w:noHBand="0" w:noVBand="1"/>
      </w:tblPr>
      <w:tblGrid>
        <w:gridCol w:w="1843"/>
        <w:gridCol w:w="1948"/>
        <w:gridCol w:w="1949"/>
        <w:gridCol w:w="1949"/>
        <w:gridCol w:w="1949"/>
      </w:tblGrid>
      <w:tr w:rsidR="00C43F4C" w:rsidRPr="00C53FE8" w14:paraId="684431E5" w14:textId="77777777" w:rsidTr="00DC3F20">
        <w:trPr>
          <w:cnfStyle w:val="100000000000" w:firstRow="1" w:lastRow="0" w:firstColumn="0" w:lastColumn="0" w:oddVBand="0" w:evenVBand="0" w:oddHBand="0" w:evenHBand="0" w:firstRowFirstColumn="0" w:firstRowLastColumn="0" w:lastRowFirstColumn="0" w:lastRowLastColumn="0"/>
        </w:trPr>
        <w:tc>
          <w:tcPr>
            <w:tcW w:w="1843" w:type="dxa"/>
          </w:tcPr>
          <w:p w14:paraId="7EEBF656" w14:textId="77777777" w:rsidR="00C43F4C" w:rsidRPr="001577B3" w:rsidRDefault="00C43F4C" w:rsidP="008627D4">
            <w:pPr>
              <w:pStyle w:val="TableBody"/>
              <w:keepLines/>
              <w:rPr>
                <w:sz w:val="20"/>
                <w:szCs w:val="20"/>
              </w:rPr>
            </w:pPr>
            <w:r w:rsidRPr="001577B3">
              <w:rPr>
                <w:sz w:val="20"/>
                <w:szCs w:val="20"/>
              </w:rPr>
              <w:t>Retailer</w:t>
            </w:r>
          </w:p>
        </w:tc>
        <w:tc>
          <w:tcPr>
            <w:tcW w:w="1948" w:type="dxa"/>
          </w:tcPr>
          <w:p w14:paraId="3D564711" w14:textId="77777777" w:rsidR="00C43F4C" w:rsidRPr="001577B3" w:rsidRDefault="00C43F4C" w:rsidP="008627D4">
            <w:pPr>
              <w:pStyle w:val="TableBody"/>
              <w:keepLines/>
              <w:jc w:val="center"/>
              <w:rPr>
                <w:sz w:val="20"/>
                <w:szCs w:val="20"/>
              </w:rPr>
            </w:pPr>
            <w:r w:rsidRPr="001577B3">
              <w:rPr>
                <w:sz w:val="20"/>
                <w:szCs w:val="20"/>
              </w:rPr>
              <w:t>Making payments of an equal amount over a specified period</w:t>
            </w:r>
          </w:p>
        </w:tc>
        <w:tc>
          <w:tcPr>
            <w:tcW w:w="1949" w:type="dxa"/>
          </w:tcPr>
          <w:p w14:paraId="31F13177" w14:textId="77777777" w:rsidR="00C43F4C" w:rsidRPr="001577B3" w:rsidRDefault="00C43F4C" w:rsidP="008627D4">
            <w:pPr>
              <w:pStyle w:val="TableBody"/>
              <w:keepLines/>
              <w:jc w:val="center"/>
              <w:rPr>
                <w:sz w:val="20"/>
                <w:szCs w:val="20"/>
              </w:rPr>
            </w:pPr>
            <w:r w:rsidRPr="001577B3">
              <w:rPr>
                <w:sz w:val="20"/>
                <w:szCs w:val="20"/>
              </w:rPr>
              <w:t>Options for making payments at different intervals</w:t>
            </w:r>
          </w:p>
        </w:tc>
        <w:tc>
          <w:tcPr>
            <w:tcW w:w="1949" w:type="dxa"/>
          </w:tcPr>
          <w:p w14:paraId="0D03775A" w14:textId="77777777" w:rsidR="00C43F4C" w:rsidRPr="001577B3" w:rsidRDefault="00C43F4C" w:rsidP="008627D4">
            <w:pPr>
              <w:pStyle w:val="TableBody"/>
              <w:keepLines/>
              <w:jc w:val="center"/>
              <w:rPr>
                <w:sz w:val="20"/>
                <w:szCs w:val="20"/>
              </w:rPr>
            </w:pPr>
            <w:r w:rsidRPr="001577B3">
              <w:rPr>
                <w:sz w:val="20"/>
                <w:szCs w:val="20"/>
              </w:rPr>
              <w:t>Extending by a specified period the pay-by date for a bill</w:t>
            </w:r>
          </w:p>
        </w:tc>
        <w:tc>
          <w:tcPr>
            <w:tcW w:w="1949" w:type="dxa"/>
          </w:tcPr>
          <w:p w14:paraId="5906785B" w14:textId="77777777" w:rsidR="00C43F4C" w:rsidRPr="001577B3" w:rsidRDefault="00C43F4C" w:rsidP="008627D4">
            <w:pPr>
              <w:pStyle w:val="TableBody"/>
              <w:keepLines/>
              <w:jc w:val="center"/>
              <w:rPr>
                <w:sz w:val="20"/>
                <w:szCs w:val="20"/>
              </w:rPr>
            </w:pPr>
            <w:r w:rsidRPr="001577B3">
              <w:rPr>
                <w:sz w:val="20"/>
                <w:szCs w:val="20"/>
              </w:rPr>
              <w:t>Paying for energy use in advance</w:t>
            </w:r>
          </w:p>
        </w:tc>
      </w:tr>
      <w:tr w:rsidR="00C43F4C" w:rsidRPr="00C53FE8" w14:paraId="5F506E7B" w14:textId="77777777" w:rsidTr="00DC3F20">
        <w:trPr>
          <w:cnfStyle w:val="000000100000" w:firstRow="0" w:lastRow="0" w:firstColumn="0" w:lastColumn="0" w:oddVBand="0" w:evenVBand="0" w:oddHBand="1" w:evenHBand="0" w:firstRowFirstColumn="0" w:firstRowLastColumn="0" w:lastRowFirstColumn="0" w:lastRowLastColumn="0"/>
        </w:trPr>
        <w:tc>
          <w:tcPr>
            <w:tcW w:w="1843" w:type="dxa"/>
          </w:tcPr>
          <w:p w14:paraId="1B3AFB2E" w14:textId="77777777" w:rsidR="00C43F4C" w:rsidRPr="001577B3" w:rsidRDefault="00C43F4C" w:rsidP="008627D4">
            <w:pPr>
              <w:pStyle w:val="TableBody"/>
              <w:keepLines/>
              <w:rPr>
                <w:sz w:val="20"/>
                <w:szCs w:val="20"/>
              </w:rPr>
            </w:pPr>
            <w:r w:rsidRPr="001577B3">
              <w:rPr>
                <w:sz w:val="20"/>
                <w:szCs w:val="20"/>
              </w:rPr>
              <w:t>1</w:t>
            </w:r>
            <w:r w:rsidRPr="001577B3">
              <w:rPr>
                <w:sz w:val="20"/>
                <w:szCs w:val="20"/>
                <w:vertAlign w:val="superscript"/>
              </w:rPr>
              <w:t>st</w:t>
            </w:r>
            <w:r w:rsidRPr="001577B3">
              <w:rPr>
                <w:sz w:val="20"/>
                <w:szCs w:val="20"/>
              </w:rPr>
              <w:t xml:space="preserve"> Energy</w:t>
            </w:r>
          </w:p>
        </w:tc>
        <w:tc>
          <w:tcPr>
            <w:tcW w:w="1948" w:type="dxa"/>
          </w:tcPr>
          <w:p w14:paraId="40C2D726"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0DC49291"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49377C46"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70A75AB9"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01D2A74D" w14:textId="77777777" w:rsidTr="00DC3F20">
        <w:trPr>
          <w:cnfStyle w:val="000000010000" w:firstRow="0" w:lastRow="0" w:firstColumn="0" w:lastColumn="0" w:oddVBand="0" w:evenVBand="0" w:oddHBand="0" w:evenHBand="1" w:firstRowFirstColumn="0" w:firstRowLastColumn="0" w:lastRowFirstColumn="0" w:lastRowLastColumn="0"/>
        </w:trPr>
        <w:tc>
          <w:tcPr>
            <w:tcW w:w="1843" w:type="dxa"/>
          </w:tcPr>
          <w:p w14:paraId="2BAB4784" w14:textId="77777777" w:rsidR="00C43F4C" w:rsidRPr="001577B3" w:rsidRDefault="00C43F4C" w:rsidP="008627D4">
            <w:pPr>
              <w:pStyle w:val="TableBody"/>
              <w:keepLines/>
              <w:rPr>
                <w:sz w:val="20"/>
                <w:szCs w:val="20"/>
              </w:rPr>
            </w:pPr>
            <w:r w:rsidRPr="001577B3">
              <w:rPr>
                <w:sz w:val="20"/>
                <w:szCs w:val="20"/>
              </w:rPr>
              <w:t>AGL</w:t>
            </w:r>
          </w:p>
        </w:tc>
        <w:tc>
          <w:tcPr>
            <w:tcW w:w="1948" w:type="dxa"/>
          </w:tcPr>
          <w:p w14:paraId="64E35CD5"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016D34F8"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5595BC8C" w14:textId="77777777" w:rsidR="00C43F4C" w:rsidRPr="001577B3" w:rsidRDefault="00C43F4C" w:rsidP="008627D4">
            <w:pPr>
              <w:pStyle w:val="TableBody"/>
              <w:keepLines/>
              <w:jc w:val="center"/>
              <w:rPr>
                <w:sz w:val="20"/>
                <w:szCs w:val="20"/>
              </w:rPr>
            </w:pPr>
          </w:p>
        </w:tc>
        <w:tc>
          <w:tcPr>
            <w:tcW w:w="1949" w:type="dxa"/>
          </w:tcPr>
          <w:p w14:paraId="6C6F3860"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3FAF18D4" w14:textId="77777777" w:rsidTr="00DC3F20">
        <w:trPr>
          <w:cnfStyle w:val="000000100000" w:firstRow="0" w:lastRow="0" w:firstColumn="0" w:lastColumn="0" w:oddVBand="0" w:evenVBand="0" w:oddHBand="1" w:evenHBand="0" w:firstRowFirstColumn="0" w:firstRowLastColumn="0" w:lastRowFirstColumn="0" w:lastRowLastColumn="0"/>
        </w:trPr>
        <w:tc>
          <w:tcPr>
            <w:tcW w:w="1843" w:type="dxa"/>
          </w:tcPr>
          <w:p w14:paraId="0968E228" w14:textId="1179C2E9" w:rsidR="00C43F4C" w:rsidRPr="001577B3" w:rsidRDefault="00C43F4C" w:rsidP="008627D4">
            <w:pPr>
              <w:pStyle w:val="TableBody"/>
              <w:keepLines/>
              <w:rPr>
                <w:sz w:val="20"/>
                <w:szCs w:val="20"/>
              </w:rPr>
            </w:pPr>
            <w:r w:rsidRPr="001577B3">
              <w:rPr>
                <w:sz w:val="20"/>
                <w:szCs w:val="20"/>
              </w:rPr>
              <w:t>Alinta</w:t>
            </w:r>
          </w:p>
        </w:tc>
        <w:tc>
          <w:tcPr>
            <w:tcW w:w="1948" w:type="dxa"/>
          </w:tcPr>
          <w:p w14:paraId="17B8E051"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2A824E59"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64046922"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184239C6"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7C50CF83" w14:textId="77777777" w:rsidTr="00DC3F20">
        <w:trPr>
          <w:cnfStyle w:val="000000010000" w:firstRow="0" w:lastRow="0" w:firstColumn="0" w:lastColumn="0" w:oddVBand="0" w:evenVBand="0" w:oddHBand="0" w:evenHBand="1" w:firstRowFirstColumn="0" w:firstRowLastColumn="0" w:lastRowFirstColumn="0" w:lastRowLastColumn="0"/>
        </w:trPr>
        <w:tc>
          <w:tcPr>
            <w:tcW w:w="1843" w:type="dxa"/>
          </w:tcPr>
          <w:p w14:paraId="3B5843D3" w14:textId="77777777" w:rsidR="00C43F4C" w:rsidRPr="001577B3" w:rsidRDefault="00C43F4C" w:rsidP="008627D4">
            <w:pPr>
              <w:pStyle w:val="TableBody"/>
              <w:keepLines/>
              <w:rPr>
                <w:sz w:val="20"/>
                <w:szCs w:val="20"/>
              </w:rPr>
            </w:pPr>
            <w:r w:rsidRPr="001577B3">
              <w:rPr>
                <w:sz w:val="20"/>
                <w:szCs w:val="20"/>
              </w:rPr>
              <w:t>Diamond Energy</w:t>
            </w:r>
          </w:p>
        </w:tc>
        <w:tc>
          <w:tcPr>
            <w:tcW w:w="1948" w:type="dxa"/>
          </w:tcPr>
          <w:p w14:paraId="442EC214"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50D85D98"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178B7261"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5BAFA4C4"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28C71316" w14:textId="77777777" w:rsidTr="00DC3F20">
        <w:trPr>
          <w:cnfStyle w:val="000000100000" w:firstRow="0" w:lastRow="0" w:firstColumn="0" w:lastColumn="0" w:oddVBand="0" w:evenVBand="0" w:oddHBand="1" w:evenHBand="0" w:firstRowFirstColumn="0" w:firstRowLastColumn="0" w:lastRowFirstColumn="0" w:lastRowLastColumn="0"/>
        </w:trPr>
        <w:tc>
          <w:tcPr>
            <w:tcW w:w="1843" w:type="dxa"/>
          </w:tcPr>
          <w:p w14:paraId="4335CC66" w14:textId="77777777" w:rsidR="00C43F4C" w:rsidRPr="001577B3" w:rsidRDefault="00C43F4C" w:rsidP="008627D4">
            <w:pPr>
              <w:pStyle w:val="TableBody"/>
              <w:keepLines/>
              <w:rPr>
                <w:sz w:val="20"/>
                <w:szCs w:val="20"/>
              </w:rPr>
            </w:pPr>
            <w:r w:rsidRPr="001577B3">
              <w:rPr>
                <w:sz w:val="20"/>
                <w:szCs w:val="20"/>
              </w:rPr>
              <w:t>Dodo</w:t>
            </w:r>
          </w:p>
        </w:tc>
        <w:tc>
          <w:tcPr>
            <w:tcW w:w="1948" w:type="dxa"/>
          </w:tcPr>
          <w:p w14:paraId="01EF4FFB"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54DC0B60" w14:textId="77777777" w:rsidR="00C43F4C" w:rsidRPr="001577B3" w:rsidRDefault="00C43F4C" w:rsidP="008627D4">
            <w:pPr>
              <w:pStyle w:val="TableBody"/>
              <w:keepLines/>
              <w:jc w:val="center"/>
              <w:rPr>
                <w:sz w:val="20"/>
                <w:szCs w:val="20"/>
              </w:rPr>
            </w:pPr>
          </w:p>
        </w:tc>
        <w:tc>
          <w:tcPr>
            <w:tcW w:w="1949" w:type="dxa"/>
          </w:tcPr>
          <w:p w14:paraId="18AD4EC0"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4BB2E34E"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273D8473" w14:textId="77777777" w:rsidTr="00DC3F20">
        <w:trPr>
          <w:cnfStyle w:val="000000010000" w:firstRow="0" w:lastRow="0" w:firstColumn="0" w:lastColumn="0" w:oddVBand="0" w:evenVBand="0" w:oddHBand="0" w:evenHBand="1" w:firstRowFirstColumn="0" w:firstRowLastColumn="0" w:lastRowFirstColumn="0" w:lastRowLastColumn="0"/>
        </w:trPr>
        <w:tc>
          <w:tcPr>
            <w:tcW w:w="1843" w:type="dxa"/>
          </w:tcPr>
          <w:p w14:paraId="7833EE1C" w14:textId="77777777" w:rsidR="00C43F4C" w:rsidRPr="001577B3" w:rsidRDefault="00C43F4C" w:rsidP="008627D4">
            <w:pPr>
              <w:pStyle w:val="TableBody"/>
              <w:keepLines/>
              <w:rPr>
                <w:sz w:val="20"/>
                <w:szCs w:val="20"/>
              </w:rPr>
            </w:pPr>
            <w:r w:rsidRPr="001577B3">
              <w:rPr>
                <w:sz w:val="20"/>
                <w:szCs w:val="20"/>
              </w:rPr>
              <w:t>EnergyAustralia</w:t>
            </w:r>
          </w:p>
        </w:tc>
        <w:tc>
          <w:tcPr>
            <w:tcW w:w="1948" w:type="dxa"/>
          </w:tcPr>
          <w:p w14:paraId="7B428E12"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435149F1"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208E70B4"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13866E2E"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261566E0" w14:textId="77777777" w:rsidTr="00DC3F20">
        <w:trPr>
          <w:cnfStyle w:val="000000100000" w:firstRow="0" w:lastRow="0" w:firstColumn="0" w:lastColumn="0" w:oddVBand="0" w:evenVBand="0" w:oddHBand="1" w:evenHBand="0" w:firstRowFirstColumn="0" w:firstRowLastColumn="0" w:lastRowFirstColumn="0" w:lastRowLastColumn="0"/>
        </w:trPr>
        <w:tc>
          <w:tcPr>
            <w:tcW w:w="1843" w:type="dxa"/>
          </w:tcPr>
          <w:p w14:paraId="7E0EE9EB" w14:textId="6316DC85" w:rsidR="00C43F4C" w:rsidRPr="001577B3" w:rsidRDefault="00C43F4C" w:rsidP="008627D4">
            <w:pPr>
              <w:pStyle w:val="TableBody"/>
              <w:keepLines/>
              <w:rPr>
                <w:sz w:val="20"/>
                <w:szCs w:val="20"/>
              </w:rPr>
            </w:pPr>
            <w:r w:rsidRPr="001577B3">
              <w:rPr>
                <w:sz w:val="20"/>
                <w:szCs w:val="20"/>
              </w:rPr>
              <w:t>Energy Locals</w:t>
            </w:r>
          </w:p>
        </w:tc>
        <w:tc>
          <w:tcPr>
            <w:tcW w:w="1948" w:type="dxa"/>
          </w:tcPr>
          <w:p w14:paraId="1D30DAC7"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7645C840"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6E2035C9"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64BC47A5"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4B94DA75" w14:textId="77777777" w:rsidTr="00DC3F20">
        <w:trPr>
          <w:cnfStyle w:val="000000010000" w:firstRow="0" w:lastRow="0" w:firstColumn="0" w:lastColumn="0" w:oddVBand="0" w:evenVBand="0" w:oddHBand="0" w:evenHBand="1" w:firstRowFirstColumn="0" w:firstRowLastColumn="0" w:lastRowFirstColumn="0" w:lastRowLastColumn="0"/>
        </w:trPr>
        <w:tc>
          <w:tcPr>
            <w:tcW w:w="1843" w:type="dxa"/>
          </w:tcPr>
          <w:p w14:paraId="1E18625D" w14:textId="77777777" w:rsidR="00C43F4C" w:rsidRPr="001577B3" w:rsidRDefault="00C43F4C" w:rsidP="008627D4">
            <w:pPr>
              <w:pStyle w:val="TableBody"/>
              <w:keepLines/>
              <w:rPr>
                <w:sz w:val="20"/>
                <w:szCs w:val="20"/>
              </w:rPr>
            </w:pPr>
            <w:r w:rsidRPr="001577B3">
              <w:rPr>
                <w:sz w:val="20"/>
                <w:szCs w:val="20"/>
              </w:rPr>
              <w:t>Globird</w:t>
            </w:r>
          </w:p>
        </w:tc>
        <w:tc>
          <w:tcPr>
            <w:tcW w:w="1948" w:type="dxa"/>
          </w:tcPr>
          <w:p w14:paraId="28824C19"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29AE2B68"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19C403D5"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0FD3CE0F"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30B3DB89" w14:textId="77777777" w:rsidTr="00DC3F20">
        <w:trPr>
          <w:cnfStyle w:val="000000100000" w:firstRow="0" w:lastRow="0" w:firstColumn="0" w:lastColumn="0" w:oddVBand="0" w:evenVBand="0" w:oddHBand="1" w:evenHBand="0" w:firstRowFirstColumn="0" w:firstRowLastColumn="0" w:lastRowFirstColumn="0" w:lastRowLastColumn="0"/>
        </w:trPr>
        <w:tc>
          <w:tcPr>
            <w:tcW w:w="1843" w:type="dxa"/>
          </w:tcPr>
          <w:p w14:paraId="288D9F82" w14:textId="77777777" w:rsidR="00C43F4C" w:rsidRPr="001577B3" w:rsidRDefault="00C43F4C" w:rsidP="008627D4">
            <w:pPr>
              <w:pStyle w:val="TableBody"/>
              <w:keepLines/>
              <w:rPr>
                <w:sz w:val="20"/>
                <w:szCs w:val="20"/>
              </w:rPr>
            </w:pPr>
            <w:r w:rsidRPr="001577B3">
              <w:rPr>
                <w:sz w:val="20"/>
                <w:szCs w:val="20"/>
              </w:rPr>
              <w:t>Lumo Energy</w:t>
            </w:r>
          </w:p>
        </w:tc>
        <w:tc>
          <w:tcPr>
            <w:tcW w:w="1948" w:type="dxa"/>
          </w:tcPr>
          <w:p w14:paraId="5C2D125F"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48269FAD"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0CC88F89"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05372C87"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4A20308B" w14:textId="77777777" w:rsidTr="00DC3F20">
        <w:trPr>
          <w:cnfStyle w:val="000000010000" w:firstRow="0" w:lastRow="0" w:firstColumn="0" w:lastColumn="0" w:oddVBand="0" w:evenVBand="0" w:oddHBand="0" w:evenHBand="1" w:firstRowFirstColumn="0" w:firstRowLastColumn="0" w:lastRowFirstColumn="0" w:lastRowLastColumn="0"/>
          <w:trHeight w:val="15"/>
        </w:trPr>
        <w:tc>
          <w:tcPr>
            <w:tcW w:w="1843" w:type="dxa"/>
          </w:tcPr>
          <w:p w14:paraId="7EF9DBDA" w14:textId="77777777" w:rsidR="00C43F4C" w:rsidRPr="001577B3" w:rsidRDefault="00C43F4C" w:rsidP="008627D4">
            <w:pPr>
              <w:pStyle w:val="TableBody"/>
              <w:keepLines/>
              <w:rPr>
                <w:sz w:val="20"/>
                <w:szCs w:val="20"/>
              </w:rPr>
            </w:pPr>
            <w:r w:rsidRPr="001577B3">
              <w:rPr>
                <w:sz w:val="20"/>
                <w:szCs w:val="20"/>
              </w:rPr>
              <w:t>Momentum</w:t>
            </w:r>
          </w:p>
        </w:tc>
        <w:tc>
          <w:tcPr>
            <w:tcW w:w="1948" w:type="dxa"/>
          </w:tcPr>
          <w:p w14:paraId="5274262B"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4CE90FB8"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240CE65A"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1DEDE2BD"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6401FD7D" w14:textId="77777777" w:rsidTr="00DC3F20">
        <w:trPr>
          <w:cnfStyle w:val="000000100000" w:firstRow="0" w:lastRow="0" w:firstColumn="0" w:lastColumn="0" w:oddVBand="0" w:evenVBand="0" w:oddHBand="1" w:evenHBand="0" w:firstRowFirstColumn="0" w:firstRowLastColumn="0" w:lastRowFirstColumn="0" w:lastRowLastColumn="0"/>
        </w:trPr>
        <w:tc>
          <w:tcPr>
            <w:tcW w:w="1843" w:type="dxa"/>
          </w:tcPr>
          <w:p w14:paraId="4FF33410" w14:textId="77777777" w:rsidR="00C43F4C" w:rsidRPr="001577B3" w:rsidRDefault="00C43F4C" w:rsidP="008627D4">
            <w:pPr>
              <w:pStyle w:val="TableBody"/>
              <w:keepLines/>
              <w:rPr>
                <w:sz w:val="20"/>
                <w:szCs w:val="20"/>
              </w:rPr>
            </w:pPr>
            <w:r w:rsidRPr="001577B3">
              <w:rPr>
                <w:sz w:val="20"/>
                <w:szCs w:val="20"/>
              </w:rPr>
              <w:t>Origin Energy</w:t>
            </w:r>
          </w:p>
        </w:tc>
        <w:tc>
          <w:tcPr>
            <w:tcW w:w="1948" w:type="dxa"/>
          </w:tcPr>
          <w:p w14:paraId="40213569"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550AD0B0"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1AF4DE16"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3EF8A5EB" w14:textId="77777777" w:rsidR="00C43F4C" w:rsidRPr="001577B3" w:rsidRDefault="00C43F4C" w:rsidP="008627D4">
            <w:pPr>
              <w:pStyle w:val="TableBody"/>
              <w:keepLines/>
              <w:jc w:val="center"/>
              <w:rPr>
                <w:sz w:val="20"/>
                <w:szCs w:val="20"/>
              </w:rPr>
            </w:pPr>
          </w:p>
        </w:tc>
      </w:tr>
      <w:tr w:rsidR="00C43F4C" w:rsidRPr="00C53FE8" w14:paraId="75C3D5C9" w14:textId="77777777" w:rsidTr="00DC3F20">
        <w:trPr>
          <w:cnfStyle w:val="000000010000" w:firstRow="0" w:lastRow="0" w:firstColumn="0" w:lastColumn="0" w:oddVBand="0" w:evenVBand="0" w:oddHBand="0" w:evenHBand="1" w:firstRowFirstColumn="0" w:firstRowLastColumn="0" w:lastRowFirstColumn="0" w:lastRowLastColumn="0"/>
        </w:trPr>
        <w:tc>
          <w:tcPr>
            <w:tcW w:w="1843" w:type="dxa"/>
          </w:tcPr>
          <w:p w14:paraId="3B668B70" w14:textId="07371414" w:rsidR="00C43F4C" w:rsidRPr="001577B3" w:rsidRDefault="00C43F4C" w:rsidP="008627D4">
            <w:pPr>
              <w:pStyle w:val="TableBody"/>
              <w:keepLines/>
              <w:rPr>
                <w:sz w:val="20"/>
                <w:szCs w:val="20"/>
              </w:rPr>
            </w:pPr>
            <w:r w:rsidRPr="001577B3">
              <w:rPr>
                <w:sz w:val="20"/>
                <w:szCs w:val="20"/>
              </w:rPr>
              <w:t>OVO Energy</w:t>
            </w:r>
          </w:p>
        </w:tc>
        <w:tc>
          <w:tcPr>
            <w:tcW w:w="1948" w:type="dxa"/>
          </w:tcPr>
          <w:p w14:paraId="68001829"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66ABB9E1"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6506D689"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526131E4"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7386E215" w14:textId="77777777" w:rsidTr="00DC3F20">
        <w:trPr>
          <w:cnfStyle w:val="000000100000" w:firstRow="0" w:lastRow="0" w:firstColumn="0" w:lastColumn="0" w:oddVBand="0" w:evenVBand="0" w:oddHBand="1" w:evenHBand="0" w:firstRowFirstColumn="0" w:firstRowLastColumn="0" w:lastRowFirstColumn="0" w:lastRowLastColumn="0"/>
        </w:trPr>
        <w:tc>
          <w:tcPr>
            <w:tcW w:w="1843" w:type="dxa"/>
          </w:tcPr>
          <w:p w14:paraId="74ED77AD" w14:textId="77777777" w:rsidR="00C43F4C" w:rsidRPr="001577B3" w:rsidRDefault="00C43F4C" w:rsidP="008627D4">
            <w:pPr>
              <w:pStyle w:val="TableBody"/>
              <w:keepLines/>
              <w:rPr>
                <w:sz w:val="20"/>
                <w:szCs w:val="20"/>
              </w:rPr>
            </w:pPr>
            <w:r w:rsidRPr="001577B3">
              <w:rPr>
                <w:sz w:val="20"/>
                <w:szCs w:val="20"/>
              </w:rPr>
              <w:t>People Energy</w:t>
            </w:r>
          </w:p>
        </w:tc>
        <w:tc>
          <w:tcPr>
            <w:tcW w:w="1948" w:type="dxa"/>
          </w:tcPr>
          <w:p w14:paraId="55152B32"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2827070A"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7C45D75B"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1E63BE43"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04ABE4CC" w14:textId="77777777" w:rsidTr="00DC3F20">
        <w:trPr>
          <w:cnfStyle w:val="000000010000" w:firstRow="0" w:lastRow="0" w:firstColumn="0" w:lastColumn="0" w:oddVBand="0" w:evenVBand="0" w:oddHBand="0" w:evenHBand="1" w:firstRowFirstColumn="0" w:firstRowLastColumn="0" w:lastRowFirstColumn="0" w:lastRowLastColumn="0"/>
        </w:trPr>
        <w:tc>
          <w:tcPr>
            <w:tcW w:w="1843" w:type="dxa"/>
          </w:tcPr>
          <w:p w14:paraId="189C465A" w14:textId="77777777" w:rsidR="00C43F4C" w:rsidRPr="001577B3" w:rsidRDefault="00C43F4C" w:rsidP="008627D4">
            <w:pPr>
              <w:pStyle w:val="TableBody"/>
              <w:keepLines/>
              <w:rPr>
                <w:sz w:val="20"/>
                <w:szCs w:val="20"/>
              </w:rPr>
            </w:pPr>
            <w:r w:rsidRPr="001577B3">
              <w:rPr>
                <w:sz w:val="20"/>
                <w:szCs w:val="20"/>
              </w:rPr>
              <w:t>Powerdirect</w:t>
            </w:r>
          </w:p>
        </w:tc>
        <w:tc>
          <w:tcPr>
            <w:tcW w:w="1948" w:type="dxa"/>
          </w:tcPr>
          <w:p w14:paraId="3E43B4F3"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4681A857"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7723F82E" w14:textId="77777777" w:rsidR="00C43F4C" w:rsidRPr="001577B3" w:rsidRDefault="00C43F4C" w:rsidP="008627D4">
            <w:pPr>
              <w:pStyle w:val="TableBody"/>
              <w:keepLines/>
              <w:jc w:val="center"/>
              <w:rPr>
                <w:sz w:val="20"/>
                <w:szCs w:val="20"/>
              </w:rPr>
            </w:pPr>
          </w:p>
        </w:tc>
        <w:tc>
          <w:tcPr>
            <w:tcW w:w="1949" w:type="dxa"/>
          </w:tcPr>
          <w:p w14:paraId="39F4F01A"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009CA0C1" w14:textId="77777777" w:rsidTr="00DC3F20">
        <w:trPr>
          <w:cnfStyle w:val="000000100000" w:firstRow="0" w:lastRow="0" w:firstColumn="0" w:lastColumn="0" w:oddVBand="0" w:evenVBand="0" w:oddHBand="1" w:evenHBand="0" w:firstRowFirstColumn="0" w:firstRowLastColumn="0" w:lastRowFirstColumn="0" w:lastRowLastColumn="0"/>
        </w:trPr>
        <w:tc>
          <w:tcPr>
            <w:tcW w:w="1843" w:type="dxa"/>
          </w:tcPr>
          <w:p w14:paraId="5175274C" w14:textId="6709F5EA" w:rsidR="00C43F4C" w:rsidRPr="001577B3" w:rsidRDefault="00C43F4C" w:rsidP="008627D4">
            <w:pPr>
              <w:pStyle w:val="TableBody"/>
              <w:keepLines/>
              <w:rPr>
                <w:sz w:val="20"/>
                <w:szCs w:val="20"/>
              </w:rPr>
            </w:pPr>
            <w:r w:rsidRPr="001577B3">
              <w:rPr>
                <w:sz w:val="20"/>
                <w:szCs w:val="20"/>
              </w:rPr>
              <w:t>Powershop</w:t>
            </w:r>
          </w:p>
        </w:tc>
        <w:tc>
          <w:tcPr>
            <w:tcW w:w="1948" w:type="dxa"/>
          </w:tcPr>
          <w:p w14:paraId="16716980"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17E913A4"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63A340A2"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08F380B0"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4FA99005" w14:textId="77777777" w:rsidTr="00DC3F20">
        <w:trPr>
          <w:cnfStyle w:val="000000010000" w:firstRow="0" w:lastRow="0" w:firstColumn="0" w:lastColumn="0" w:oddVBand="0" w:evenVBand="0" w:oddHBand="0" w:evenHBand="1" w:firstRowFirstColumn="0" w:firstRowLastColumn="0" w:lastRowFirstColumn="0" w:lastRowLastColumn="0"/>
        </w:trPr>
        <w:tc>
          <w:tcPr>
            <w:tcW w:w="1843" w:type="dxa"/>
          </w:tcPr>
          <w:p w14:paraId="13CFC42A" w14:textId="77777777" w:rsidR="00C43F4C" w:rsidRPr="001577B3" w:rsidRDefault="00C43F4C" w:rsidP="008627D4">
            <w:pPr>
              <w:pStyle w:val="TableBody"/>
              <w:keepLines/>
              <w:rPr>
                <w:sz w:val="20"/>
                <w:szCs w:val="20"/>
              </w:rPr>
            </w:pPr>
            <w:r w:rsidRPr="001577B3">
              <w:rPr>
                <w:sz w:val="20"/>
                <w:szCs w:val="20"/>
              </w:rPr>
              <w:t>QEnergy</w:t>
            </w:r>
          </w:p>
        </w:tc>
        <w:tc>
          <w:tcPr>
            <w:tcW w:w="1948" w:type="dxa"/>
          </w:tcPr>
          <w:p w14:paraId="24A52DA4"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6FD4BC43"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4F474A11"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7CF149CF"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4F390DB4" w14:textId="77777777" w:rsidTr="00DC3F20">
        <w:trPr>
          <w:cnfStyle w:val="000000100000" w:firstRow="0" w:lastRow="0" w:firstColumn="0" w:lastColumn="0" w:oddVBand="0" w:evenVBand="0" w:oddHBand="1" w:evenHBand="0" w:firstRowFirstColumn="0" w:firstRowLastColumn="0" w:lastRowFirstColumn="0" w:lastRowLastColumn="0"/>
        </w:trPr>
        <w:tc>
          <w:tcPr>
            <w:tcW w:w="1843" w:type="dxa"/>
          </w:tcPr>
          <w:p w14:paraId="3706F98B" w14:textId="77777777" w:rsidR="00C43F4C" w:rsidRPr="001577B3" w:rsidRDefault="00C43F4C" w:rsidP="008627D4">
            <w:pPr>
              <w:pStyle w:val="TableBody"/>
              <w:keepLines/>
              <w:rPr>
                <w:sz w:val="20"/>
                <w:szCs w:val="20"/>
              </w:rPr>
            </w:pPr>
            <w:r w:rsidRPr="001577B3">
              <w:rPr>
                <w:sz w:val="20"/>
                <w:szCs w:val="20"/>
              </w:rPr>
              <w:t>Red Energy</w:t>
            </w:r>
          </w:p>
        </w:tc>
        <w:tc>
          <w:tcPr>
            <w:tcW w:w="1948" w:type="dxa"/>
          </w:tcPr>
          <w:p w14:paraId="21A0084A"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136ABA9B"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008576DF"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1B2E0315"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432571CB" w14:textId="77777777" w:rsidTr="00DC3F20">
        <w:trPr>
          <w:cnfStyle w:val="000000010000" w:firstRow="0" w:lastRow="0" w:firstColumn="0" w:lastColumn="0" w:oddVBand="0" w:evenVBand="0" w:oddHBand="0" w:evenHBand="1" w:firstRowFirstColumn="0" w:firstRowLastColumn="0" w:lastRowFirstColumn="0" w:lastRowLastColumn="0"/>
        </w:trPr>
        <w:tc>
          <w:tcPr>
            <w:tcW w:w="1843" w:type="dxa"/>
          </w:tcPr>
          <w:p w14:paraId="5ACF85E6" w14:textId="77777777" w:rsidR="00C43F4C" w:rsidRPr="001577B3" w:rsidRDefault="00C43F4C" w:rsidP="008627D4">
            <w:pPr>
              <w:pStyle w:val="TableBody"/>
              <w:keepLines/>
              <w:rPr>
                <w:sz w:val="20"/>
                <w:szCs w:val="20"/>
              </w:rPr>
            </w:pPr>
            <w:r w:rsidRPr="001577B3">
              <w:rPr>
                <w:sz w:val="20"/>
                <w:szCs w:val="20"/>
              </w:rPr>
              <w:t>Simply Energy</w:t>
            </w:r>
          </w:p>
        </w:tc>
        <w:tc>
          <w:tcPr>
            <w:tcW w:w="1948" w:type="dxa"/>
          </w:tcPr>
          <w:p w14:paraId="6650A012"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3E19B25F" w14:textId="77777777" w:rsidR="00C43F4C" w:rsidRPr="001577B3" w:rsidRDefault="00C43F4C" w:rsidP="008627D4">
            <w:pPr>
              <w:pStyle w:val="TableBody"/>
              <w:keepLines/>
              <w:jc w:val="center"/>
              <w:rPr>
                <w:sz w:val="20"/>
                <w:szCs w:val="20"/>
              </w:rPr>
            </w:pPr>
          </w:p>
        </w:tc>
        <w:tc>
          <w:tcPr>
            <w:tcW w:w="1949" w:type="dxa"/>
          </w:tcPr>
          <w:p w14:paraId="7ADCCC90"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03A0994B"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38B39E19" w14:textId="77777777" w:rsidTr="00DC3F20">
        <w:trPr>
          <w:cnfStyle w:val="000000100000" w:firstRow="0" w:lastRow="0" w:firstColumn="0" w:lastColumn="0" w:oddVBand="0" w:evenVBand="0" w:oddHBand="1" w:evenHBand="0" w:firstRowFirstColumn="0" w:firstRowLastColumn="0" w:lastRowFirstColumn="0" w:lastRowLastColumn="0"/>
        </w:trPr>
        <w:tc>
          <w:tcPr>
            <w:tcW w:w="1843" w:type="dxa"/>
          </w:tcPr>
          <w:p w14:paraId="0E8B3E48" w14:textId="77777777" w:rsidR="00C43F4C" w:rsidRPr="001577B3" w:rsidRDefault="00C43F4C" w:rsidP="008627D4">
            <w:pPr>
              <w:pStyle w:val="TableBody"/>
              <w:keepLines/>
              <w:rPr>
                <w:sz w:val="20"/>
                <w:szCs w:val="20"/>
              </w:rPr>
            </w:pPr>
            <w:r w:rsidRPr="001577B3">
              <w:rPr>
                <w:sz w:val="20"/>
                <w:szCs w:val="20"/>
              </w:rPr>
              <w:t>Sumo</w:t>
            </w:r>
          </w:p>
        </w:tc>
        <w:tc>
          <w:tcPr>
            <w:tcW w:w="1948" w:type="dxa"/>
          </w:tcPr>
          <w:p w14:paraId="0EE11937"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6C910A46" w14:textId="77777777" w:rsidR="00C43F4C" w:rsidRPr="001577B3" w:rsidRDefault="00C43F4C" w:rsidP="008627D4">
            <w:pPr>
              <w:pStyle w:val="TableBody"/>
              <w:keepLines/>
              <w:jc w:val="center"/>
              <w:rPr>
                <w:sz w:val="20"/>
                <w:szCs w:val="20"/>
              </w:rPr>
            </w:pPr>
          </w:p>
        </w:tc>
        <w:tc>
          <w:tcPr>
            <w:tcW w:w="1949" w:type="dxa"/>
          </w:tcPr>
          <w:p w14:paraId="13442195"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37C9183D"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68645CF9" w14:textId="77777777" w:rsidTr="00DC3F20">
        <w:trPr>
          <w:cnfStyle w:val="000000010000" w:firstRow="0" w:lastRow="0" w:firstColumn="0" w:lastColumn="0" w:oddVBand="0" w:evenVBand="0" w:oddHBand="0" w:evenHBand="1" w:firstRowFirstColumn="0" w:firstRowLastColumn="0" w:lastRowFirstColumn="0" w:lastRowLastColumn="0"/>
        </w:trPr>
        <w:tc>
          <w:tcPr>
            <w:tcW w:w="1843" w:type="dxa"/>
          </w:tcPr>
          <w:p w14:paraId="5DC4F8ED" w14:textId="77777777" w:rsidR="00C43F4C" w:rsidRPr="001577B3" w:rsidRDefault="00C43F4C" w:rsidP="008627D4">
            <w:pPr>
              <w:pStyle w:val="TableBody"/>
              <w:keepLines/>
              <w:rPr>
                <w:sz w:val="20"/>
                <w:szCs w:val="20"/>
              </w:rPr>
            </w:pPr>
            <w:r w:rsidRPr="001577B3">
              <w:rPr>
                <w:sz w:val="20"/>
                <w:szCs w:val="20"/>
              </w:rPr>
              <w:t>Tango</w:t>
            </w:r>
          </w:p>
        </w:tc>
        <w:tc>
          <w:tcPr>
            <w:tcW w:w="1948" w:type="dxa"/>
          </w:tcPr>
          <w:p w14:paraId="688E7FC0"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3DC7D8EB"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36D985FD"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c>
          <w:tcPr>
            <w:tcW w:w="1949" w:type="dxa"/>
          </w:tcPr>
          <w:p w14:paraId="51F613D9" w14:textId="77777777" w:rsidR="00C43F4C" w:rsidRPr="001577B3" w:rsidRDefault="00C43F4C" w:rsidP="008627D4">
            <w:pPr>
              <w:pStyle w:val="TableBody"/>
              <w:keepLines/>
              <w:jc w:val="center"/>
              <w:rPr>
                <w:sz w:val="20"/>
                <w:szCs w:val="20"/>
              </w:rPr>
            </w:pPr>
            <w:r w:rsidRPr="001577B3">
              <w:rPr>
                <w:rFonts w:ascii="Wingdings" w:eastAsia="Wingdings" w:hAnsi="Wingdings" w:cs="Wingdings"/>
                <w:sz w:val="20"/>
                <w:szCs w:val="20"/>
              </w:rPr>
              <w:t>ü</w:t>
            </w:r>
          </w:p>
        </w:tc>
      </w:tr>
      <w:tr w:rsidR="00C43F4C" w:rsidRPr="00C53FE8" w14:paraId="1ECB0628" w14:textId="77777777" w:rsidTr="00DC3F20">
        <w:trPr>
          <w:cnfStyle w:val="000000100000" w:firstRow="0" w:lastRow="0" w:firstColumn="0" w:lastColumn="0" w:oddVBand="0" w:evenVBand="0" w:oddHBand="1" w:evenHBand="0" w:firstRowFirstColumn="0" w:firstRowLastColumn="0" w:lastRowFirstColumn="0" w:lastRowLastColumn="0"/>
        </w:trPr>
        <w:tc>
          <w:tcPr>
            <w:tcW w:w="1843" w:type="dxa"/>
          </w:tcPr>
          <w:p w14:paraId="6D4FA0EF" w14:textId="77777777" w:rsidR="00C43F4C" w:rsidRPr="001577B3" w:rsidRDefault="00C43F4C" w:rsidP="008627D4">
            <w:pPr>
              <w:pStyle w:val="TableBody"/>
              <w:keepLines/>
              <w:rPr>
                <w:b/>
                <w:bCs/>
                <w:sz w:val="20"/>
                <w:szCs w:val="20"/>
              </w:rPr>
            </w:pPr>
            <w:r w:rsidRPr="001577B3">
              <w:rPr>
                <w:b/>
                <w:bCs/>
                <w:sz w:val="20"/>
                <w:szCs w:val="20"/>
              </w:rPr>
              <w:t>No. of retailers</w:t>
            </w:r>
          </w:p>
        </w:tc>
        <w:tc>
          <w:tcPr>
            <w:tcW w:w="1948" w:type="dxa"/>
          </w:tcPr>
          <w:p w14:paraId="22DDE0EB" w14:textId="77777777" w:rsidR="00C43F4C" w:rsidRPr="001577B3" w:rsidRDefault="00C43F4C" w:rsidP="008627D4">
            <w:pPr>
              <w:pStyle w:val="TableBody"/>
              <w:keepLines/>
              <w:jc w:val="center"/>
              <w:rPr>
                <w:b/>
                <w:bCs/>
                <w:sz w:val="20"/>
                <w:szCs w:val="20"/>
              </w:rPr>
            </w:pPr>
            <w:r>
              <w:rPr>
                <w:b/>
                <w:bCs/>
                <w:sz w:val="20"/>
                <w:szCs w:val="20"/>
              </w:rPr>
              <w:t>20</w:t>
            </w:r>
            <w:r w:rsidRPr="001577B3">
              <w:rPr>
                <w:b/>
                <w:bCs/>
                <w:sz w:val="20"/>
                <w:szCs w:val="20"/>
              </w:rPr>
              <w:t xml:space="preserve"> out of 20</w:t>
            </w:r>
          </w:p>
        </w:tc>
        <w:tc>
          <w:tcPr>
            <w:tcW w:w="1949" w:type="dxa"/>
          </w:tcPr>
          <w:p w14:paraId="350A6705" w14:textId="77777777" w:rsidR="00C43F4C" w:rsidRPr="001577B3" w:rsidRDefault="00C43F4C" w:rsidP="008627D4">
            <w:pPr>
              <w:pStyle w:val="TableBody"/>
              <w:keepLines/>
              <w:jc w:val="center"/>
              <w:rPr>
                <w:b/>
                <w:bCs/>
                <w:sz w:val="20"/>
                <w:szCs w:val="20"/>
              </w:rPr>
            </w:pPr>
            <w:r w:rsidRPr="001577B3">
              <w:rPr>
                <w:b/>
                <w:bCs/>
                <w:sz w:val="20"/>
                <w:szCs w:val="20"/>
              </w:rPr>
              <w:t>1</w:t>
            </w:r>
            <w:r>
              <w:rPr>
                <w:b/>
                <w:bCs/>
                <w:sz w:val="20"/>
                <w:szCs w:val="20"/>
              </w:rPr>
              <w:t>7</w:t>
            </w:r>
            <w:r w:rsidRPr="001577B3">
              <w:rPr>
                <w:b/>
                <w:bCs/>
                <w:sz w:val="20"/>
                <w:szCs w:val="20"/>
              </w:rPr>
              <w:t xml:space="preserve"> out of 20</w:t>
            </w:r>
          </w:p>
        </w:tc>
        <w:tc>
          <w:tcPr>
            <w:tcW w:w="1949" w:type="dxa"/>
          </w:tcPr>
          <w:p w14:paraId="6B1F07E0" w14:textId="77777777" w:rsidR="00C43F4C" w:rsidRPr="001577B3" w:rsidRDefault="00C43F4C" w:rsidP="008627D4">
            <w:pPr>
              <w:pStyle w:val="TableBody"/>
              <w:keepLines/>
              <w:jc w:val="center"/>
              <w:rPr>
                <w:b/>
                <w:bCs/>
                <w:sz w:val="20"/>
                <w:szCs w:val="20"/>
              </w:rPr>
            </w:pPr>
            <w:r w:rsidRPr="001577B3">
              <w:rPr>
                <w:b/>
                <w:bCs/>
                <w:sz w:val="20"/>
                <w:szCs w:val="20"/>
              </w:rPr>
              <w:t>1</w:t>
            </w:r>
            <w:r>
              <w:rPr>
                <w:b/>
                <w:bCs/>
                <w:sz w:val="20"/>
                <w:szCs w:val="20"/>
              </w:rPr>
              <w:t>8</w:t>
            </w:r>
            <w:r w:rsidRPr="001577B3">
              <w:rPr>
                <w:b/>
                <w:bCs/>
                <w:sz w:val="20"/>
                <w:szCs w:val="20"/>
              </w:rPr>
              <w:t xml:space="preserve"> out of 20</w:t>
            </w:r>
          </w:p>
        </w:tc>
        <w:tc>
          <w:tcPr>
            <w:tcW w:w="1949" w:type="dxa"/>
          </w:tcPr>
          <w:p w14:paraId="207E0D25" w14:textId="77777777" w:rsidR="00C43F4C" w:rsidRPr="001577B3" w:rsidRDefault="00C43F4C" w:rsidP="008627D4">
            <w:pPr>
              <w:pStyle w:val="TableBody"/>
              <w:keepLines/>
              <w:jc w:val="center"/>
              <w:rPr>
                <w:b/>
                <w:bCs/>
                <w:sz w:val="20"/>
                <w:szCs w:val="20"/>
              </w:rPr>
            </w:pPr>
            <w:r w:rsidRPr="001577B3">
              <w:rPr>
                <w:b/>
                <w:bCs/>
                <w:sz w:val="20"/>
                <w:szCs w:val="20"/>
              </w:rPr>
              <w:t>1</w:t>
            </w:r>
            <w:r>
              <w:rPr>
                <w:b/>
                <w:bCs/>
                <w:sz w:val="20"/>
                <w:szCs w:val="20"/>
              </w:rPr>
              <w:t>9</w:t>
            </w:r>
            <w:r w:rsidRPr="001577B3">
              <w:rPr>
                <w:b/>
                <w:bCs/>
                <w:sz w:val="20"/>
                <w:szCs w:val="20"/>
              </w:rPr>
              <w:t xml:space="preserve"> out of 20</w:t>
            </w:r>
          </w:p>
        </w:tc>
      </w:tr>
    </w:tbl>
    <w:p w14:paraId="6DB7EB78" w14:textId="0555EF08" w:rsidR="00C43F4C" w:rsidRDefault="001946D5" w:rsidP="00F10D84">
      <w:pPr>
        <w:pStyle w:val="Caption"/>
      </w:pPr>
      <w:r>
        <w:rPr>
          <w:lang w:val="en-US"/>
        </w:rPr>
        <w:t xml:space="preserve">Source: </w:t>
      </w:r>
      <w:r w:rsidR="00C43F4C" w:rsidRPr="00F10D84">
        <w:t>Based</w:t>
      </w:r>
      <w:r w:rsidR="00C43F4C">
        <w:rPr>
          <w:lang w:val="en-US"/>
        </w:rPr>
        <w:t xml:space="preserve"> on retailer websites and hardship policies as </w:t>
      </w:r>
      <w:r w:rsidR="00C43F4C" w:rsidRPr="2B5574B2">
        <w:rPr>
          <w:lang w:val="en-US"/>
        </w:rPr>
        <w:t>of</w:t>
      </w:r>
      <w:r w:rsidR="00C43F4C">
        <w:rPr>
          <w:lang w:val="en-US"/>
        </w:rPr>
        <w:t xml:space="preserve"> 13 May 2022</w:t>
      </w:r>
    </w:p>
    <w:p w14:paraId="43D14A9D" w14:textId="77777777" w:rsidR="00C43F4C" w:rsidRDefault="00C43F4C" w:rsidP="0092186D">
      <w:pPr>
        <w:keepNext/>
        <w:keepLines/>
      </w:pPr>
      <w:r>
        <w:lastRenderedPageBreak/>
        <w:t>Retailers also supplement information about standard assistance with general information about how to manage and lower energy costs, as well as government and non-government support available to customers facing payment difficulty. This information must be readily available to their residential customers, and should include:</w:t>
      </w:r>
    </w:p>
    <w:p w14:paraId="4F2831CA" w14:textId="4DE93F9A" w:rsidR="00C43F4C" w:rsidRDefault="00C43F4C" w:rsidP="008E42FA">
      <w:pPr>
        <w:pStyle w:val="ListBullet"/>
        <w:keepNext/>
        <w:keepLines/>
        <w:numPr>
          <w:ilvl w:val="0"/>
          <w:numId w:val="11"/>
        </w:numPr>
      </w:pPr>
      <w:r>
        <w:t>the retailer’s financial hardship policy</w:t>
      </w:r>
      <w:r w:rsidR="001716B0">
        <w:t>,</w:t>
      </w:r>
    </w:p>
    <w:p w14:paraId="540AFA88" w14:textId="1745054E" w:rsidR="00C43F4C" w:rsidRDefault="00C43F4C" w:rsidP="008E42FA">
      <w:pPr>
        <w:pStyle w:val="ListBullet"/>
        <w:keepNext/>
        <w:keepLines/>
        <w:numPr>
          <w:ilvl w:val="0"/>
          <w:numId w:val="11"/>
        </w:numPr>
      </w:pPr>
      <w:r>
        <w:t>the assistance available to customers and how to access it</w:t>
      </w:r>
      <w:r w:rsidR="001716B0">
        <w:t>,</w:t>
      </w:r>
    </w:p>
    <w:p w14:paraId="443A1FAD" w14:textId="304DCD7E" w:rsidR="00C43F4C" w:rsidRDefault="00C43F4C" w:rsidP="008E42FA">
      <w:pPr>
        <w:pStyle w:val="ListBullet"/>
        <w:keepNext/>
        <w:keepLines/>
        <w:numPr>
          <w:ilvl w:val="0"/>
          <w:numId w:val="11"/>
        </w:numPr>
      </w:pPr>
      <w:r>
        <w:t>how customers might lower their energy costs</w:t>
      </w:r>
      <w:r w:rsidR="001716B0">
        <w:t>, and</w:t>
      </w:r>
    </w:p>
    <w:p w14:paraId="04DE1BC0" w14:textId="12B1DCDA" w:rsidR="00C43F4C" w:rsidRDefault="00C43F4C" w:rsidP="008E42FA">
      <w:pPr>
        <w:pStyle w:val="ListBullet"/>
        <w:keepNext/>
        <w:keepLines/>
        <w:numPr>
          <w:ilvl w:val="0"/>
          <w:numId w:val="11"/>
        </w:numPr>
      </w:pPr>
      <w:r>
        <w:t xml:space="preserve">available government and non-government assistance (including </w:t>
      </w:r>
      <w:r w:rsidR="002B7A72">
        <w:t>utility relief grants</w:t>
      </w:r>
      <w:r>
        <w:t xml:space="preserve"> and energy concessions) that may help customers meet their energy costs. </w:t>
      </w:r>
    </w:p>
    <w:p w14:paraId="57DB3771" w14:textId="77777777" w:rsidR="00C43F4C" w:rsidRDefault="00C43F4C" w:rsidP="00C43F4C">
      <w:r>
        <w:t>Our review of retailers’ websites in early 2019 and 2021 found that most of the information presented to customers was easy to find and understand. However, in early 2019, we found some retailers’ websites were missing the required information for customers, particularly about the kinds of assistance available to customers.</w:t>
      </w:r>
      <w:r>
        <w:rPr>
          <w:rStyle w:val="FootnoteReference"/>
        </w:rPr>
        <w:footnoteReference w:id="32"/>
      </w:r>
      <w:r>
        <w:t xml:space="preserve"> We worked with retailers to ensure this information was more accessible for customers. Subsequently, all retailers we contacted made changes to their websites to reflect this.</w:t>
      </w:r>
    </w:p>
    <w:p w14:paraId="0FEAC7B7" w14:textId="77777777" w:rsidR="00C43F4C" w:rsidRDefault="00C43F4C" w:rsidP="00C43F4C">
      <w:r>
        <w:t>While information about standard assistance is publicly available, we are conscious that not all customers can access or engage with this information in an effective manner. For example, based on a recent study conducted by Honeycomb, customers who are unemployed or have English as a second language appear less aware of support for payment difficulty compared to the average Victorian.</w:t>
      </w:r>
      <w:r>
        <w:rPr>
          <w:rStyle w:val="FootnoteReference"/>
        </w:rPr>
        <w:footnoteReference w:id="33"/>
      </w:r>
    </w:p>
    <w:p w14:paraId="3CFC6CE8" w14:textId="77777777" w:rsidR="00C43F4C" w:rsidRDefault="00C43F4C" w:rsidP="00C43F4C">
      <w:r w:rsidRPr="00EB6730">
        <w:t xml:space="preserve">It </w:t>
      </w:r>
      <w:r>
        <w:t xml:space="preserve">remains </w:t>
      </w:r>
      <w:r w:rsidRPr="00EB6730">
        <w:t xml:space="preserve">important </w:t>
      </w:r>
      <w:r>
        <w:t xml:space="preserve">that </w:t>
      </w:r>
      <w:r w:rsidRPr="00EB6730">
        <w:t xml:space="preserve">customers are aware that </w:t>
      </w:r>
      <w:r>
        <w:t xml:space="preserve">standard </w:t>
      </w:r>
      <w:r w:rsidRPr="00EB6730">
        <w:t>assistance is available at any time for all Victorian customers, to help manage bills and avoid getting into arrears.</w:t>
      </w:r>
    </w:p>
    <w:p w14:paraId="3AEAC750" w14:textId="69801D0A" w:rsidR="00C43F4C" w:rsidRDefault="00C43F4C" w:rsidP="00C43F4C">
      <w:pPr>
        <w:pStyle w:val="Heading2"/>
      </w:pPr>
      <w:bookmarkStart w:id="90" w:name="_Toc104850126"/>
      <w:r>
        <w:t xml:space="preserve">Supporting customers </w:t>
      </w:r>
      <w:r w:rsidR="00907E1B">
        <w:t>through</w:t>
      </w:r>
      <w:r>
        <w:t xml:space="preserve"> standard assistance</w:t>
      </w:r>
      <w:bookmarkEnd w:id="90"/>
    </w:p>
    <w:p w14:paraId="5BED2965" w14:textId="623C369B" w:rsidR="00C43F4C" w:rsidRDefault="00C43F4C" w:rsidP="00C43F4C">
      <w:pPr>
        <w:rPr>
          <w:lang w:val="en-US"/>
        </w:rPr>
      </w:pPr>
      <w:r>
        <w:t xml:space="preserve">Customers may access standard assistance for various reasons, including for </w:t>
      </w:r>
      <w:r>
        <w:rPr>
          <w:lang w:val="en-US"/>
        </w:rPr>
        <w:t xml:space="preserve">convenience, rather than to proactively prevent getting into arrears. </w:t>
      </w:r>
      <w:r>
        <w:t xml:space="preserve">Around 96,000 </w:t>
      </w:r>
      <w:r>
        <w:rPr>
          <w:lang w:val="en-US"/>
        </w:rPr>
        <w:t>Victorian electricity customers were receiving standard assistance every month on average in 2020-21 – equivalent to 3.6 per cent of all Victorian residential electricity customers.</w:t>
      </w:r>
    </w:p>
    <w:p w14:paraId="3459DFA9" w14:textId="712FAC59" w:rsidR="00C43F4C" w:rsidRDefault="00C43F4C" w:rsidP="00C43F4C">
      <w:r>
        <w:rPr>
          <w:lang w:val="en-US"/>
        </w:rPr>
        <w:lastRenderedPageBreak/>
        <w:t xml:space="preserve">Stakeholders observed </w:t>
      </w:r>
      <w:r>
        <w:t>that payment plans are requested even when customers are not experiencing payment difficulty</w:t>
      </w:r>
      <w:r w:rsidR="00715B94">
        <w:t>. Re</w:t>
      </w:r>
      <w:r>
        <w:t>tailers often offer this as a ‘bill smoothing’ option for customers</w:t>
      </w:r>
      <w:r w:rsidR="003C2EED">
        <w:t>, which is a form of standard assistance</w:t>
      </w:r>
      <w:r>
        <w:t>. In its submissions to the commission, both AGL and Origin Energy detailed the ways customers can manage their accounts, including their payment plans and options of setting up direct debit payments.</w:t>
      </w:r>
      <w:r>
        <w:rPr>
          <w:rStyle w:val="FootnoteReference"/>
        </w:rPr>
        <w:footnoteReference w:id="34"/>
      </w:r>
    </w:p>
    <w:p w14:paraId="3D06AFCD" w14:textId="77777777" w:rsidR="006C5C3C" w:rsidRDefault="006C5C3C" w:rsidP="006C5C3C">
      <w:r>
        <w:t>Some retailers provide self-service options for its customers to access standard assistance, such as Origin Energy:</w:t>
      </w:r>
    </w:p>
    <w:p w14:paraId="44931EF1" w14:textId="77777777" w:rsidR="006C5C3C" w:rsidRDefault="006C5C3C" w:rsidP="006C5C3C">
      <w:pPr>
        <w:pStyle w:val="Quote"/>
      </w:pPr>
      <w:r>
        <w:t>A customer can also use the Origin App to view their bills, usage history, and access some of the available payment options. A customer can request a payment extension, or a payment plan with instalments at any time. Origin also offers EasiPay, which allows customers to pay an agreed amount at intervals by direct debit. This can be set up at any time and if a customer has not been billed yet or has a zero balance allows the customer to make payments in advance.</w:t>
      </w:r>
      <w:r>
        <w:rPr>
          <w:rStyle w:val="FootnoteReference"/>
        </w:rPr>
        <w:footnoteReference w:id="35"/>
      </w:r>
    </w:p>
    <w:p w14:paraId="76E6134F" w14:textId="31360C0F" w:rsidR="00C43F4C" w:rsidRPr="00A526CC" w:rsidRDefault="00C43F4C" w:rsidP="00C43F4C">
      <w:pPr>
        <w:rPr>
          <w:lang w:val="en-US"/>
        </w:rPr>
      </w:pPr>
      <w:r w:rsidRPr="00A526CC">
        <w:rPr>
          <w:lang w:val="en-US"/>
        </w:rPr>
        <w:t>At the start of the coronavirus pandemic, energy retailers also received an increased number of enquiries from customers about payment assistance. During that time, there was extensive media</w:t>
      </w:r>
      <w:r w:rsidR="00ED255C">
        <w:rPr>
          <w:lang w:val="en-US"/>
        </w:rPr>
        <w:t xml:space="preserve"> coverage</w:t>
      </w:r>
      <w:r w:rsidRPr="00A526CC">
        <w:rPr>
          <w:lang w:val="en-US"/>
        </w:rPr>
        <w:t xml:space="preserve"> and communication to Victorian </w:t>
      </w:r>
      <w:r w:rsidR="00F10D84">
        <w:rPr>
          <w:lang w:val="en-US"/>
        </w:rPr>
        <w:t>customer</w:t>
      </w:r>
      <w:r w:rsidRPr="00A526CC">
        <w:rPr>
          <w:lang w:val="en-US"/>
        </w:rPr>
        <w:t xml:space="preserve">s from various service providers (such as banking and utility providers) of temporary payment relief being offered. Some customers subsequently took up options of standard assistance, such as </w:t>
      </w:r>
      <w:r w:rsidRPr="035F8A34">
        <w:rPr>
          <w:lang w:val="en-US"/>
        </w:rPr>
        <w:t>extending</w:t>
      </w:r>
      <w:r w:rsidRPr="00A526CC">
        <w:rPr>
          <w:lang w:val="en-US"/>
        </w:rPr>
        <w:t xml:space="preserve"> the pay-by-date of their current energy bill. </w:t>
      </w:r>
    </w:p>
    <w:p w14:paraId="737FB163" w14:textId="77777777" w:rsidR="00C43F4C" w:rsidRPr="00A526CC" w:rsidRDefault="00C43F4C" w:rsidP="00C43F4C">
      <w:pPr>
        <w:rPr>
          <w:lang w:val="en-US"/>
        </w:rPr>
      </w:pPr>
      <w:r w:rsidRPr="00A526CC">
        <w:rPr>
          <w:lang w:val="en-US"/>
        </w:rPr>
        <w:t xml:space="preserve">During the pandemic, some retailers temporarily expanded </w:t>
      </w:r>
      <w:r w:rsidRPr="035F8A34">
        <w:rPr>
          <w:lang w:val="en-US"/>
        </w:rPr>
        <w:t>their</w:t>
      </w:r>
      <w:r w:rsidRPr="00A526CC">
        <w:rPr>
          <w:lang w:val="en-US"/>
        </w:rPr>
        <w:t xml:space="preserve"> minimum standard assistance options to include extensions of pay-by-dates for </w:t>
      </w:r>
      <w:r w:rsidRPr="035F8A34">
        <w:rPr>
          <w:lang w:val="en-US"/>
        </w:rPr>
        <w:t>their</w:t>
      </w:r>
      <w:r w:rsidRPr="00A526CC">
        <w:rPr>
          <w:lang w:val="en-US"/>
        </w:rPr>
        <w:t xml:space="preserve"> customers. AGL also noticed that customers actively access</w:t>
      </w:r>
      <w:r w:rsidRPr="035F8A34">
        <w:rPr>
          <w:lang w:val="en-US"/>
        </w:rPr>
        <w:t>ed</w:t>
      </w:r>
      <w:r w:rsidRPr="00A526CC">
        <w:rPr>
          <w:lang w:val="en-US"/>
        </w:rPr>
        <w:t xml:space="preserve"> self-service options to help manage their energy bills</w:t>
      </w:r>
      <w:r w:rsidRPr="035F8A34">
        <w:rPr>
          <w:lang w:val="en-US"/>
        </w:rPr>
        <w:t xml:space="preserve"> during this time</w:t>
      </w:r>
      <w:r w:rsidRPr="00A526CC">
        <w:rPr>
          <w:lang w:val="en-US"/>
        </w:rPr>
        <w:t>:</w:t>
      </w:r>
    </w:p>
    <w:p w14:paraId="04C50E31" w14:textId="27F4AA89" w:rsidR="00C43F4C" w:rsidRPr="00A526CC" w:rsidRDefault="00C43F4C" w:rsidP="00C43F4C">
      <w:pPr>
        <w:pStyle w:val="Quote"/>
        <w:rPr>
          <w:lang w:val="en-US"/>
        </w:rPr>
      </w:pPr>
      <w:r w:rsidRPr="00A526CC">
        <w:rPr>
          <w:lang w:val="en-US"/>
        </w:rPr>
        <w:t>The COVID-19 pandemic fundamentally shifted the way that many consumers prefer to engage with their energy retailer. This was particularly evident in consumers accessing payment support through online platforms including AGL’s COVID-19 Support Program in 2020 and the My Account online portal. Customer feedback metrics show positive sentiment towards being able to self-service based on their needs and financial position at the time.</w:t>
      </w:r>
      <w:r w:rsidRPr="00A526CC">
        <w:rPr>
          <w:rStyle w:val="FootnoteReference"/>
          <w:lang w:val="en-US"/>
        </w:rPr>
        <w:footnoteReference w:id="36"/>
      </w:r>
    </w:p>
    <w:p w14:paraId="16BE1E95" w14:textId="77777777" w:rsidR="00C43F4C" w:rsidRPr="00A526CC" w:rsidRDefault="00C43F4C" w:rsidP="00C43F4C">
      <w:pPr>
        <w:rPr>
          <w:lang w:val="en-US"/>
        </w:rPr>
      </w:pPr>
      <w:r w:rsidRPr="00A526CC">
        <w:rPr>
          <w:lang w:val="en-US"/>
        </w:rPr>
        <w:lastRenderedPageBreak/>
        <w:t xml:space="preserve">The uptake of standard assistance demonstrates the potential benefits of the framework, particularly during unique events such as the pandemic. In these cases, some customers were able to access support to help them </w:t>
      </w:r>
      <w:r w:rsidRPr="61C796EE">
        <w:rPr>
          <w:lang w:val="en-US"/>
        </w:rPr>
        <w:t>avoid</w:t>
      </w:r>
      <w:r w:rsidRPr="00A526CC">
        <w:rPr>
          <w:lang w:val="en-US"/>
        </w:rPr>
        <w:t xml:space="preserve"> going into arrears.</w:t>
      </w:r>
    </w:p>
    <w:p w14:paraId="16A7F720" w14:textId="77777777" w:rsidR="00C43F4C" w:rsidRPr="001577B3" w:rsidRDefault="00C43F4C" w:rsidP="00C43F4C">
      <w:pPr>
        <w:pStyle w:val="Heading3"/>
      </w:pPr>
      <w:r>
        <w:t>S</w:t>
      </w:r>
      <w:r w:rsidRPr="001577B3">
        <w:t xml:space="preserve">tandard assistance </w:t>
      </w:r>
      <w:r>
        <w:t xml:space="preserve">helps to prevent </w:t>
      </w:r>
      <w:r w:rsidRPr="001577B3">
        <w:t>customers from getting into arrears</w:t>
      </w:r>
    </w:p>
    <w:p w14:paraId="44C0348E" w14:textId="77777777" w:rsidR="00C43F4C" w:rsidRPr="00877921" w:rsidRDefault="00C43F4C" w:rsidP="00C43F4C">
      <w:r w:rsidRPr="00877921">
        <w:t>While standard assistance provides customers with options to manage their energy bills for convenience</w:t>
      </w:r>
      <w:r>
        <w:t>,</w:t>
      </w:r>
      <w:r w:rsidRPr="00877921">
        <w:t xml:space="preserve"> or to help avoid getting into arrears, some customers ultimately end up in having arrears and </w:t>
      </w:r>
      <w:r>
        <w:t>require</w:t>
      </w:r>
      <w:r w:rsidRPr="00877921">
        <w:t xml:space="preserve"> further support (under tailored assistance, as described in the next chapter).</w:t>
      </w:r>
    </w:p>
    <w:p w14:paraId="1CAD12B1" w14:textId="712E66F2" w:rsidR="00C43F4C" w:rsidRDefault="00C43F4C" w:rsidP="00C43F4C">
      <w:r>
        <w:t>On average in 2020-</w:t>
      </w:r>
      <w:r w:rsidRPr="00877921">
        <w:t xml:space="preserve">21, around </w:t>
      </w:r>
      <w:r w:rsidR="00BB7664">
        <w:t xml:space="preserve">15 </w:t>
      </w:r>
      <w:r>
        <w:t xml:space="preserve">per cent of electricity </w:t>
      </w:r>
      <w:r w:rsidRPr="00877921">
        <w:t xml:space="preserve">customers </w:t>
      </w:r>
      <w:r>
        <w:t xml:space="preserve">who previously accessed standard assistance </w:t>
      </w:r>
      <w:r w:rsidRPr="00877921">
        <w:t>commenced tailored assistance</w:t>
      </w:r>
      <w:r>
        <w:t xml:space="preserve">. With around 96,000 electricity customers receiving standard assistance at any point of time, it is likely that many standard assistance </w:t>
      </w:r>
      <w:r w:rsidRPr="00877921">
        <w:t>customers do not end up getting into arrears.</w:t>
      </w:r>
    </w:p>
    <w:p w14:paraId="36B2C161" w14:textId="349A5AF9" w:rsidR="00C43F4C" w:rsidRDefault="00C43F4C" w:rsidP="00C95756">
      <w:pPr>
        <w:pStyle w:val="Figure-Table-BoxHeading"/>
        <w:keepNext/>
        <w:keepLines/>
        <w:numPr>
          <w:ilvl w:val="0"/>
          <w:numId w:val="0"/>
        </w:numPr>
      </w:pPr>
      <w:bookmarkStart w:id="91" w:name="_Toc103943779"/>
      <w:r>
        <w:t xml:space="preserve">Figure </w:t>
      </w:r>
      <w:r>
        <w:fldChar w:fldCharType="begin"/>
      </w:r>
      <w:r>
        <w:instrText>SEQ Figure \* ARABIC</w:instrText>
      </w:r>
      <w:r>
        <w:fldChar w:fldCharType="separate"/>
      </w:r>
      <w:r w:rsidR="00357DD7">
        <w:rPr>
          <w:noProof/>
        </w:rPr>
        <w:t>9</w:t>
      </w:r>
      <w:r>
        <w:fldChar w:fldCharType="end"/>
      </w:r>
      <w:r>
        <w:tab/>
        <w:t>Percentage of customers receiving standard assistance (monthly average in 2020-21)</w:t>
      </w:r>
      <w:bookmarkEnd w:id="91"/>
    </w:p>
    <w:p w14:paraId="02B17F1B" w14:textId="2F48D60D" w:rsidR="00C43F4C" w:rsidRDefault="00C43F4C" w:rsidP="00F10D84">
      <w:pPr>
        <w:spacing w:after="360"/>
        <w:jc w:val="center"/>
      </w:pPr>
      <w:r>
        <w:rPr>
          <w:noProof/>
        </w:rPr>
        <w:drawing>
          <wp:inline distT="0" distB="0" distL="0" distR="0" wp14:anchorId="43CC996D" wp14:editId="07F3585C">
            <wp:extent cx="2175933" cy="1814830"/>
            <wp:effectExtent l="0" t="0" r="0" b="0"/>
            <wp:docPr id="54" name="Chart 54" descr="Infographic showing that 3.6% of Victorian residential electricity customers received standard assistance.">
              <a:extLst xmlns:a="http://schemas.openxmlformats.org/drawingml/2006/main">
                <a:ext uri="{FF2B5EF4-FFF2-40B4-BE49-F238E27FC236}">
                  <a16:creationId xmlns:a16="http://schemas.microsoft.com/office/drawing/2014/main" id="{45765946-1270-4B4E-B4B2-BCED46875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noProof/>
        </w:rPr>
        <w:drawing>
          <wp:inline distT="0" distB="0" distL="0" distR="0" wp14:anchorId="370BE83A" wp14:editId="1CD4BD86">
            <wp:extent cx="2248323" cy="1844040"/>
            <wp:effectExtent l="0" t="0" r="0" b="3810"/>
            <wp:docPr id="56" name="Chart 56" descr="Infographic showing that 16% of customers commencing tailored assistance were previously on standard assistance.">
              <a:extLst xmlns:a="http://schemas.openxmlformats.org/drawingml/2006/main">
                <a:ext uri="{FF2B5EF4-FFF2-40B4-BE49-F238E27FC236}">
                  <a16:creationId xmlns:a16="http://schemas.microsoft.com/office/drawing/2014/main" id="{5770D0B0-054B-4309-B96E-E1DA2C5D7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550606E" w14:textId="77777777" w:rsidR="00C43F4C" w:rsidRDefault="00C43F4C" w:rsidP="00C43F4C">
      <w:r>
        <w:t>Certain retailers</w:t>
      </w:r>
      <w:r w:rsidRPr="00877921">
        <w:t xml:space="preserve"> may be more effective at helping</w:t>
      </w:r>
      <w:r>
        <w:t xml:space="preserve"> customers avoid a large build-up of arrears before receiving tailored assistance. Standard assistance may be used by retailers as one way to not only help a customer avoid getting into arrears, but to also help prevent the accumulating of large arrears prior to receiving tailored assistance. </w:t>
      </w:r>
    </w:p>
    <w:p w14:paraId="56DC380F" w14:textId="5EA204C6" w:rsidR="00C43F4C" w:rsidRPr="006C5C3C" w:rsidRDefault="00C43F4C" w:rsidP="006C5C3C">
      <w:r>
        <w:t xml:space="preserve">We discuss key findings specifically associated with </w:t>
      </w:r>
      <w:r w:rsidRPr="00255363">
        <w:t>tailored</w:t>
      </w:r>
      <w:r>
        <w:t xml:space="preserve"> assistance in the following chapter.</w:t>
      </w:r>
      <w:bookmarkStart w:id="92" w:name="_Toc100098133"/>
      <w:bookmarkEnd w:id="85"/>
    </w:p>
    <w:p w14:paraId="595F86A4" w14:textId="0874096E" w:rsidR="00C43F4C" w:rsidRDefault="00C43F4C" w:rsidP="00594CAF">
      <w:pPr>
        <w:pStyle w:val="Heading2"/>
      </w:pPr>
      <w:bookmarkStart w:id="93" w:name="_Toc104850127"/>
      <w:r>
        <w:t xml:space="preserve">Improving </w:t>
      </w:r>
      <w:r w:rsidR="00E2143E">
        <w:t>the operation</w:t>
      </w:r>
      <w:r>
        <w:t xml:space="preserve"> of the framework: </w:t>
      </w:r>
      <w:r w:rsidR="00594CAF">
        <w:t>supporting customers’</w:t>
      </w:r>
      <w:r>
        <w:t xml:space="preserve"> entitlements </w:t>
      </w:r>
      <w:r w:rsidR="00594CAF">
        <w:t>to assistance</w:t>
      </w:r>
      <w:bookmarkEnd w:id="93"/>
    </w:p>
    <w:p w14:paraId="40BD30B2" w14:textId="77777777" w:rsidR="00C43F4C" w:rsidRDefault="00C43F4C" w:rsidP="00C43F4C">
      <w:r>
        <w:t xml:space="preserve">Many Victorian customers have taken up standard </w:t>
      </w:r>
      <w:r w:rsidRPr="00DA22EA">
        <w:t xml:space="preserve">assistance options for both convenience and to avoid getting into arrears. </w:t>
      </w:r>
      <w:r>
        <w:t xml:space="preserve">However, not all customers avoid getting into arrears with their retailers, even with the support provided through standard assistance. </w:t>
      </w:r>
    </w:p>
    <w:p w14:paraId="350204D1" w14:textId="16F9681B" w:rsidR="00C43F4C" w:rsidRDefault="002C2484" w:rsidP="00C43F4C">
      <w:r>
        <w:lastRenderedPageBreak/>
        <w:t>At</w:t>
      </w:r>
      <w:r w:rsidR="00C43F4C" w:rsidRPr="00DA22EA">
        <w:t xml:space="preserve"> the onset of the coronavirus pandemic, it appears that both customers and retailers have utilised standard assistance options to help pre-emptively manage the risk of accruing arrears. </w:t>
      </w:r>
      <w:r w:rsidR="00C43F4C">
        <w:t>T</w:t>
      </w:r>
      <w:r w:rsidR="00C43F4C" w:rsidRPr="00DA22EA">
        <w:t xml:space="preserve">his assistance is </w:t>
      </w:r>
      <w:r w:rsidR="00C43F4C">
        <w:t>more likely to be accessed</w:t>
      </w:r>
      <w:r w:rsidR="00C43F4C" w:rsidRPr="00DA22EA">
        <w:t xml:space="preserve"> when customers </w:t>
      </w:r>
      <w:r w:rsidR="00C43F4C">
        <w:t>are clearly aware of its availability. This is evident by the increased uptake of standard assistance after direct messaging from retailers detailing temporary relief information for customers during the pandemic.</w:t>
      </w:r>
    </w:p>
    <w:p w14:paraId="297F8BD6" w14:textId="29D05428" w:rsidR="00C43F4C" w:rsidRDefault="00C43F4C" w:rsidP="00C43F4C">
      <w:r w:rsidRPr="008D4807">
        <w:t>Raising customer awareness and understanding of their energy rights and entitlements under the payment difficulty framework may lead to more customer engagement with energy retailers about their energy plans, accounts</w:t>
      </w:r>
      <w:r w:rsidR="00685DD8" w:rsidRPr="008D4807">
        <w:t>,</w:t>
      </w:r>
      <w:r w:rsidRPr="008D4807">
        <w:t xml:space="preserve"> and possible assistance. </w:t>
      </w:r>
      <w:r>
        <w:t xml:space="preserve">This </w:t>
      </w:r>
      <w:r w:rsidRPr="00AC4B54">
        <w:t>could assist customers with payment options that help them avoid getting into arrears</w:t>
      </w:r>
      <w:r>
        <w:t>, p</w:t>
      </w:r>
      <w:r w:rsidRPr="008D4807">
        <w:t xml:space="preserve">articularly with parts of the community where current </w:t>
      </w:r>
      <w:r w:rsidRPr="006C23B8">
        <w:t xml:space="preserve">information provided does not seem to be tailored to them and before higher levels of </w:t>
      </w:r>
      <w:r w:rsidR="0015558C" w:rsidRPr="006C23B8">
        <w:t>arrears</w:t>
      </w:r>
      <w:r w:rsidRPr="006C23B8">
        <w:t xml:space="preserve"> accumulate.</w:t>
      </w:r>
      <w:r w:rsidR="00FE6206" w:rsidRPr="006C23B8">
        <w:t xml:space="preserve"> There are various </w:t>
      </w:r>
      <w:r w:rsidR="00C74D0F" w:rsidRPr="006C23B8">
        <w:t>ways to raise customer awareness, and depending on customers, this could be supported by trusted sources of information such as community groups</w:t>
      </w:r>
      <w:r w:rsidR="00790973" w:rsidRPr="006C23B8">
        <w:t xml:space="preserve"> and </w:t>
      </w:r>
      <w:r w:rsidR="00C74D0F" w:rsidRPr="006C23B8">
        <w:t>support workers.</w:t>
      </w:r>
    </w:p>
    <w:tbl>
      <w:tblPr>
        <w:tblStyle w:val="TwoColumnImage"/>
        <w:tblW w:w="9574" w:type="dxa"/>
        <w:tblBorders>
          <w:top w:val="single" w:sz="24" w:space="0" w:color="6CB59D" w:themeColor="accent5" w:themeTint="80"/>
          <w:left w:val="single" w:sz="24" w:space="0" w:color="6CB59D" w:themeColor="accent5" w:themeTint="80"/>
          <w:bottom w:val="single" w:sz="24" w:space="0" w:color="6CB59D" w:themeColor="accent5" w:themeTint="80"/>
          <w:right w:val="single" w:sz="24" w:space="0" w:color="6CB59D" w:themeColor="accent5" w:themeTint="80"/>
        </w:tblBorders>
        <w:shd w:val="clear" w:color="auto" w:fill="B5DACE" w:themeFill="accent5" w:themeFillTint="40"/>
        <w:tblCellMar>
          <w:top w:w="113" w:type="dxa"/>
          <w:bottom w:w="113" w:type="dxa"/>
        </w:tblCellMar>
        <w:tblLook w:val="04A0" w:firstRow="1" w:lastRow="0" w:firstColumn="1" w:lastColumn="0" w:noHBand="0" w:noVBand="1"/>
      </w:tblPr>
      <w:tblGrid>
        <w:gridCol w:w="2380"/>
        <w:gridCol w:w="5528"/>
        <w:gridCol w:w="1666"/>
      </w:tblGrid>
      <w:tr w:rsidR="00C43F4C" w:rsidRPr="000179AE" w14:paraId="160EAADA" w14:textId="77777777" w:rsidTr="00DC3F20">
        <w:tc>
          <w:tcPr>
            <w:tcW w:w="9574" w:type="dxa"/>
            <w:gridSpan w:val="3"/>
            <w:tcBorders>
              <w:bottom w:val="nil"/>
            </w:tcBorders>
            <w:shd w:val="clear" w:color="auto" w:fill="B5DACE" w:themeFill="accent5" w:themeFillTint="40"/>
          </w:tcPr>
          <w:p w14:paraId="1D245647" w14:textId="0F766339" w:rsidR="00C43F4C" w:rsidRPr="006F1802" w:rsidRDefault="00594CAF" w:rsidP="00DC3F20">
            <w:pPr>
              <w:pStyle w:val="TableBody"/>
              <w:ind w:left="142" w:right="121"/>
              <w:rPr>
                <w:rFonts w:ascii="Tahoma" w:hAnsi="Tahoma" w:cs="Tahoma"/>
                <w:color w:val="262626" w:themeColor="text1" w:themeTint="D9"/>
                <w:sz w:val="26"/>
                <w:szCs w:val="26"/>
              </w:rPr>
            </w:pPr>
            <w:r>
              <w:rPr>
                <w:rFonts w:ascii="Tahoma" w:hAnsi="Tahoma" w:cs="Tahoma"/>
                <w:b/>
                <w:bCs/>
                <w:color w:val="262626" w:themeColor="text1" w:themeTint="D9"/>
                <w:sz w:val="26"/>
                <w:szCs w:val="26"/>
              </w:rPr>
              <w:t>Improving the operation of the framework</w:t>
            </w:r>
          </w:p>
        </w:tc>
      </w:tr>
      <w:tr w:rsidR="00C43F4C" w:rsidRPr="000179AE" w14:paraId="322DD190" w14:textId="77777777" w:rsidTr="00DC3F20">
        <w:tc>
          <w:tcPr>
            <w:tcW w:w="9574" w:type="dxa"/>
            <w:gridSpan w:val="3"/>
            <w:tcBorders>
              <w:top w:val="nil"/>
              <w:bottom w:val="nil"/>
            </w:tcBorders>
            <w:shd w:val="clear" w:color="auto" w:fill="B5DACE" w:themeFill="accent5" w:themeFillTint="40"/>
          </w:tcPr>
          <w:p w14:paraId="4BBD247E" w14:textId="77777777" w:rsidR="00C43F4C" w:rsidRPr="000179AE" w:rsidRDefault="00C43F4C" w:rsidP="00DC3F20">
            <w:pPr>
              <w:pStyle w:val="TableBody"/>
              <w:ind w:left="142" w:right="121"/>
              <w:rPr>
                <w:rFonts w:ascii="Tahoma" w:hAnsi="Tahoma" w:cs="Tahoma"/>
                <w:b/>
                <w:bCs/>
                <w:color w:val="262626" w:themeColor="text1" w:themeTint="D9"/>
              </w:rPr>
            </w:pPr>
            <w:r w:rsidRPr="0013353A">
              <w:rPr>
                <w:rFonts w:ascii="Tahoma" w:hAnsi="Tahoma" w:cs="Tahoma"/>
                <w:b/>
                <w:bCs/>
                <w:color w:val="262626" w:themeColor="text1" w:themeTint="D9"/>
              </w:rPr>
              <w:t xml:space="preserve">The level and quality of retailer-customer engagement </w:t>
            </w:r>
            <w:r>
              <w:rPr>
                <w:rFonts w:ascii="Tahoma" w:hAnsi="Tahoma" w:cs="Tahoma"/>
                <w:b/>
                <w:bCs/>
                <w:color w:val="262626" w:themeColor="text1" w:themeTint="D9"/>
              </w:rPr>
              <w:t>a</w:t>
            </w:r>
            <w:r w:rsidRPr="0013353A">
              <w:rPr>
                <w:rFonts w:ascii="Tahoma" w:hAnsi="Tahoma" w:cs="Tahoma"/>
                <w:b/>
                <w:bCs/>
                <w:color w:val="262626" w:themeColor="text1" w:themeTint="D9"/>
              </w:rPr>
              <w:t>ffects customer outcomes</w:t>
            </w:r>
          </w:p>
        </w:tc>
      </w:tr>
      <w:tr w:rsidR="00C43F4C" w:rsidRPr="000179AE" w14:paraId="2CB8D878" w14:textId="77777777" w:rsidTr="00DC3F20">
        <w:tc>
          <w:tcPr>
            <w:tcW w:w="2380" w:type="dxa"/>
            <w:tcBorders>
              <w:top w:val="nil"/>
              <w:bottom w:val="single" w:sz="24" w:space="0" w:color="6CB59D" w:themeColor="accent5" w:themeTint="80"/>
            </w:tcBorders>
            <w:shd w:val="clear" w:color="auto" w:fill="B5DACE" w:themeFill="accent5" w:themeFillTint="40"/>
            <w:vAlign w:val="center"/>
          </w:tcPr>
          <w:p w14:paraId="22CD4859" w14:textId="77777777" w:rsidR="00C43F4C" w:rsidRPr="0042768D" w:rsidRDefault="00C43F4C" w:rsidP="00DC3F20">
            <w:pPr>
              <w:pStyle w:val="TableBody"/>
              <w:ind w:left="284" w:right="-2"/>
              <w:jc w:val="center"/>
              <w:rPr>
                <w:rFonts w:ascii="Tahoma" w:hAnsi="Tahoma" w:cs="Tahoma"/>
                <w:color w:val="262626" w:themeColor="text1" w:themeTint="D9"/>
                <w:highlight w:val="yellow"/>
              </w:rPr>
            </w:pPr>
            <w:r w:rsidRPr="000179AE">
              <w:rPr>
                <w:noProof/>
                <w:color w:val="262626" w:themeColor="text1" w:themeTint="D9"/>
              </w:rPr>
              <w:drawing>
                <wp:inline distT="0" distB="0" distL="0" distR="0" wp14:anchorId="3C17E93C" wp14:editId="3475F5C9">
                  <wp:extent cx="720000" cy="720000"/>
                  <wp:effectExtent l="0" t="0" r="0" b="4445"/>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5528" w:type="dxa"/>
            <w:tcBorders>
              <w:top w:val="nil"/>
              <w:bottom w:val="single" w:sz="24" w:space="0" w:color="6CB59D" w:themeColor="accent5" w:themeTint="80"/>
            </w:tcBorders>
            <w:shd w:val="clear" w:color="auto" w:fill="B5DACE" w:themeFill="accent5" w:themeFillTint="40"/>
            <w:vAlign w:val="center"/>
          </w:tcPr>
          <w:p w14:paraId="385D394D" w14:textId="439126FE" w:rsidR="00C43F4C" w:rsidRDefault="00594CAF" w:rsidP="00C43F4C">
            <w:pPr>
              <w:pStyle w:val="ListBullet"/>
              <w:spacing w:before="0"/>
              <w:ind w:left="357" w:hanging="357"/>
              <w:contextualSpacing w:val="0"/>
            </w:pPr>
            <w:r w:rsidRPr="00BE4702">
              <w:t>Further support customers’ entitlement to assistance during retailer communication</w:t>
            </w:r>
            <w:r w:rsidRPr="00046BFF">
              <w:t>.</w:t>
            </w:r>
          </w:p>
        </w:tc>
        <w:tc>
          <w:tcPr>
            <w:tcW w:w="1666" w:type="dxa"/>
            <w:tcBorders>
              <w:top w:val="nil"/>
              <w:bottom w:val="single" w:sz="24" w:space="0" w:color="6CB59D" w:themeColor="accent5" w:themeTint="80"/>
            </w:tcBorders>
            <w:shd w:val="clear" w:color="auto" w:fill="B5DACE" w:themeFill="accent5" w:themeFillTint="40"/>
            <w:vAlign w:val="center"/>
          </w:tcPr>
          <w:p w14:paraId="6B6C16F0" w14:textId="1FB2CBE7" w:rsidR="00C43F4C" w:rsidRPr="0013353A" w:rsidRDefault="00C43F4C" w:rsidP="009A55C6">
            <w:pPr>
              <w:pStyle w:val="ListBullet"/>
              <w:numPr>
                <w:ilvl w:val="0"/>
                <w:numId w:val="0"/>
              </w:numPr>
              <w:spacing w:before="0" w:line="240" w:lineRule="auto"/>
              <w:rPr>
                <w:b/>
                <w:bCs/>
              </w:rPr>
            </w:pPr>
          </w:p>
        </w:tc>
      </w:tr>
    </w:tbl>
    <w:p w14:paraId="4A5540FF" w14:textId="77777777" w:rsidR="00C43F4C" w:rsidRDefault="00C43F4C" w:rsidP="00C43F4C"/>
    <w:p w14:paraId="43AB4277" w14:textId="77777777" w:rsidR="00C43F4C" w:rsidRDefault="00C43F4C" w:rsidP="00C43F4C">
      <w:pPr>
        <w:pStyle w:val="Heading1"/>
        <w:sectPr w:rsidR="00C43F4C" w:rsidSect="00DC3F20">
          <w:footerReference w:type="default" r:id="rId79"/>
          <w:pgSz w:w="11906" w:h="16838"/>
          <w:pgMar w:top="1134" w:right="1134" w:bottom="1134" w:left="1134" w:header="709" w:footer="692" w:gutter="0"/>
          <w:cols w:space="720"/>
          <w:docGrid w:linePitch="299"/>
        </w:sectPr>
      </w:pPr>
    </w:p>
    <w:p w14:paraId="1C21A22E" w14:textId="77777777" w:rsidR="00C43F4C" w:rsidRPr="00445D9A" w:rsidRDefault="00C43F4C" w:rsidP="00C43F4C">
      <w:pPr>
        <w:pStyle w:val="Heading1"/>
      </w:pPr>
      <w:bookmarkStart w:id="94" w:name="_Toc104850128"/>
      <w:r w:rsidRPr="00445D9A">
        <w:lastRenderedPageBreak/>
        <w:t>Are residential energy customers supported to pay their ongoing energy use, repay their arrears and lower their energy costs?</w:t>
      </w:r>
      <w:bookmarkEnd w:id="94"/>
    </w:p>
    <w:p w14:paraId="5157751C" w14:textId="77777777" w:rsidR="00C43F4C" w:rsidRDefault="00C43F4C" w:rsidP="00C43F4C">
      <w:pPr>
        <w:pStyle w:val="Introductionsentence"/>
      </w:pPr>
      <w:r>
        <w:t xml:space="preserve">A key objective of the payment difficulty framework is to support customers who fall into arrears with their energy retailer. Under the framework, all Victorian retailers are required to inform and support customers with specific forms of tailored assistance to help </w:t>
      </w:r>
      <w:r w:rsidRPr="003A13BA">
        <w:t>pay their ongoing energy use, repay their arrears and lower their energy costs</w:t>
      </w:r>
      <w:r>
        <w:t>.</w:t>
      </w:r>
    </w:p>
    <w:p w14:paraId="0DB990AD" w14:textId="11845FDA" w:rsidR="002F083D" w:rsidRDefault="002F083D" w:rsidP="002F083D">
      <w:pPr>
        <w:pStyle w:val="Heading2"/>
      </w:pPr>
      <w:bookmarkStart w:id="95" w:name="_Toc104850129"/>
      <w:r w:rsidRPr="002F083D">
        <w:t>Our key findings: tailored assistance</w:t>
      </w:r>
      <w:bookmarkEnd w:id="95"/>
    </w:p>
    <w:tbl>
      <w:tblPr>
        <w:tblStyle w:val="TwoColumnImage"/>
        <w:tblW w:w="9639" w:type="dxa"/>
        <w:tblBorders>
          <w:top w:val="single" w:sz="24" w:space="0" w:color="FFBA5B" w:themeColor="accent4" w:themeTint="99"/>
          <w:left w:val="single" w:sz="24" w:space="0" w:color="FFBA5B" w:themeColor="accent4" w:themeTint="99"/>
          <w:bottom w:val="single" w:sz="24" w:space="0" w:color="FFBA5B" w:themeColor="accent4" w:themeTint="99"/>
          <w:right w:val="single" w:sz="24" w:space="0" w:color="FFBA5B" w:themeColor="accent4" w:themeTint="99"/>
          <w:insideH w:val="single" w:sz="24" w:space="0" w:color="FFBA5B" w:themeColor="accent4" w:themeTint="99"/>
        </w:tblBorders>
        <w:shd w:val="clear" w:color="auto" w:fill="FFD191" w:themeFill="accent4" w:themeFillTint="66"/>
        <w:tblCellMar>
          <w:top w:w="113" w:type="dxa"/>
          <w:bottom w:w="113" w:type="dxa"/>
        </w:tblCellMar>
        <w:tblLook w:val="04A0" w:firstRow="1" w:lastRow="0" w:firstColumn="1" w:lastColumn="0" w:noHBand="0" w:noVBand="1"/>
      </w:tblPr>
      <w:tblGrid>
        <w:gridCol w:w="2144"/>
        <w:gridCol w:w="7495"/>
      </w:tblGrid>
      <w:tr w:rsidR="00A81AF5" w:rsidRPr="00F907C4" w14:paraId="57B53185" w14:textId="77777777" w:rsidTr="002F083D">
        <w:trPr>
          <w:trHeight w:val="20"/>
        </w:trPr>
        <w:tc>
          <w:tcPr>
            <w:tcW w:w="2144" w:type="dxa"/>
            <w:shd w:val="clear" w:color="auto" w:fill="FFD191" w:themeFill="accent4" w:themeFillTint="66"/>
            <w:vAlign w:val="center"/>
          </w:tcPr>
          <w:p w14:paraId="737DF72E" w14:textId="77777777" w:rsidR="00A81AF5" w:rsidRPr="00F907C4" w:rsidRDefault="00A81AF5" w:rsidP="00172369">
            <w:pPr>
              <w:pStyle w:val="TableBody"/>
              <w:spacing w:after="120"/>
              <w:ind w:left="284" w:right="-2"/>
              <w:jc w:val="center"/>
              <w:rPr>
                <w:rFonts w:ascii="Tahoma" w:hAnsi="Tahoma" w:cs="Tahoma"/>
                <w:b/>
                <w:bCs/>
                <w:color w:val="262626" w:themeColor="text1" w:themeTint="D9"/>
              </w:rPr>
            </w:pPr>
            <w:r w:rsidRPr="00F907C4">
              <w:rPr>
                <w:rFonts w:ascii="Tahoma" w:hAnsi="Tahoma" w:cs="Tahoma"/>
                <w:b/>
                <w:bCs/>
                <w:noProof/>
                <w:color w:val="262626" w:themeColor="text1" w:themeTint="D9"/>
              </w:rPr>
              <w:drawing>
                <wp:inline distT="0" distB="0" distL="0" distR="0" wp14:anchorId="11411F91" wp14:editId="2C62EE79">
                  <wp:extent cx="720000" cy="720000"/>
                  <wp:effectExtent l="0" t="0" r="4445" b="4445"/>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495" w:type="dxa"/>
            <w:shd w:val="clear" w:color="auto" w:fill="FFD191" w:themeFill="accent4" w:themeFillTint="66"/>
            <w:vAlign w:val="center"/>
          </w:tcPr>
          <w:p w14:paraId="65E7327D" w14:textId="412B2CD3" w:rsidR="00A81AF5" w:rsidRDefault="00A81AF5" w:rsidP="00172369">
            <w:pPr>
              <w:pStyle w:val="TableBody"/>
              <w:pBdr>
                <w:top w:val="single" w:sz="48" w:space="1" w:color="FFD191" w:themeColor="accent4" w:themeTint="66"/>
                <w:left w:val="single" w:sz="48" w:space="4" w:color="FFD191" w:themeColor="accent4" w:themeTint="66"/>
                <w:bottom w:val="single" w:sz="48" w:space="1" w:color="FFD191" w:themeColor="accent4" w:themeTint="66"/>
                <w:right w:val="single" w:sz="48" w:space="4" w:color="FFD191" w:themeColor="accent4" w:themeTint="66"/>
              </w:pBdr>
              <w:ind w:right="121"/>
              <w:rPr>
                <w:rFonts w:ascii="Tahoma" w:hAnsi="Tahoma" w:cs="Tahoma"/>
                <w:b/>
                <w:bCs/>
                <w:color w:val="262626" w:themeColor="text1" w:themeTint="D9"/>
                <w:sz w:val="24"/>
                <w:szCs w:val="24"/>
              </w:rPr>
            </w:pPr>
            <w:r w:rsidRPr="00F907C4">
              <w:rPr>
                <w:rFonts w:ascii="Tahoma" w:hAnsi="Tahoma" w:cs="Tahoma"/>
                <w:b/>
                <w:bCs/>
                <w:color w:val="262626" w:themeColor="text1" w:themeTint="D9"/>
                <w:sz w:val="24"/>
                <w:szCs w:val="24"/>
              </w:rPr>
              <w:t>Key finding: Implementation of the framework is broadly meeting its objectives</w:t>
            </w:r>
          </w:p>
          <w:p w14:paraId="433E1DC4" w14:textId="2D4914B7" w:rsidR="009835F6" w:rsidRPr="00B60674" w:rsidRDefault="005412F4" w:rsidP="00172369">
            <w:r>
              <w:t xml:space="preserve">The number of people receiving assistance </w:t>
            </w:r>
            <w:r w:rsidR="00EE02E6">
              <w:t xml:space="preserve">has grown strongly since the </w:t>
            </w:r>
            <w:r w:rsidR="009835F6" w:rsidRPr="00B60674">
              <w:t>framework commenced. In June 2017, there were 32,664 energy customers receiving assistance in retailer hardship programs. By December 2021, there were 61,560 electricity and 48,827 gas customers receiving tailored assistance.</w:t>
            </w:r>
          </w:p>
          <w:p w14:paraId="42808683" w14:textId="1CD27910" w:rsidR="00A81AF5" w:rsidRPr="00F907C4" w:rsidRDefault="009835F6" w:rsidP="00172369">
            <w:r w:rsidRPr="00B60674">
              <w:t>We are also seeing improved customer outcomes for the forms of tailored assistance relating to payment plans and assistance with utility relief grants. This tends to help customers who can pay ongoing usage more.</w:t>
            </w:r>
          </w:p>
        </w:tc>
      </w:tr>
      <w:tr w:rsidR="00A81AF5" w:rsidRPr="00F907C4" w14:paraId="46F0D0A6" w14:textId="77777777" w:rsidTr="002F083D">
        <w:trPr>
          <w:trHeight w:val="20"/>
        </w:trPr>
        <w:tc>
          <w:tcPr>
            <w:tcW w:w="2144" w:type="dxa"/>
            <w:shd w:val="clear" w:color="auto" w:fill="FFD191" w:themeFill="accent4" w:themeFillTint="66"/>
            <w:vAlign w:val="center"/>
          </w:tcPr>
          <w:p w14:paraId="5D39A4AA" w14:textId="77777777" w:rsidR="00A81AF5" w:rsidRPr="00F907C4" w:rsidRDefault="00A81AF5" w:rsidP="00172369">
            <w:pPr>
              <w:pStyle w:val="TableBody"/>
              <w:spacing w:after="120"/>
              <w:ind w:left="142" w:right="119"/>
              <w:jc w:val="center"/>
              <w:rPr>
                <w:rFonts w:ascii="Tahoma" w:hAnsi="Tahoma" w:cs="Tahoma"/>
                <w:b/>
                <w:bCs/>
                <w:color w:val="262626" w:themeColor="text1" w:themeTint="D9"/>
              </w:rPr>
            </w:pPr>
            <w:r w:rsidRPr="00F907C4">
              <w:rPr>
                <w:rFonts w:ascii="Tahoma" w:hAnsi="Tahoma" w:cs="Tahoma"/>
                <w:b/>
                <w:bCs/>
                <w:noProof/>
                <w:color w:val="262626" w:themeColor="text1" w:themeTint="D9"/>
              </w:rPr>
              <w:drawing>
                <wp:inline distT="0" distB="0" distL="0" distR="0" wp14:anchorId="541814E6" wp14:editId="6A635240">
                  <wp:extent cx="720000" cy="720000"/>
                  <wp:effectExtent l="0" t="0" r="4445"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495" w:type="dxa"/>
            <w:shd w:val="clear" w:color="auto" w:fill="FFD191" w:themeFill="accent4" w:themeFillTint="66"/>
            <w:vAlign w:val="center"/>
          </w:tcPr>
          <w:p w14:paraId="144385D0" w14:textId="7375CC10" w:rsidR="00A81AF5" w:rsidRDefault="00A81AF5" w:rsidP="00172369">
            <w:pPr>
              <w:pStyle w:val="TableBody"/>
              <w:pBdr>
                <w:top w:val="single" w:sz="48" w:space="1" w:color="FFD191" w:themeColor="accent4" w:themeTint="66"/>
                <w:left w:val="single" w:sz="48" w:space="4" w:color="FFD191" w:themeColor="accent4" w:themeTint="66"/>
                <w:bottom w:val="single" w:sz="48" w:space="1" w:color="FFD191" w:themeColor="accent4" w:themeTint="66"/>
                <w:right w:val="single" w:sz="48" w:space="4" w:color="FFD191" w:themeColor="accent4" w:themeTint="66"/>
              </w:pBdr>
              <w:ind w:right="121"/>
              <w:rPr>
                <w:rFonts w:ascii="Tahoma" w:hAnsi="Tahoma" w:cs="Tahoma"/>
                <w:b/>
                <w:bCs/>
                <w:color w:val="262626" w:themeColor="text1" w:themeTint="D9"/>
                <w:sz w:val="24"/>
                <w:szCs w:val="24"/>
              </w:rPr>
            </w:pPr>
            <w:r w:rsidRPr="00F907C4">
              <w:rPr>
                <w:rFonts w:ascii="Tahoma" w:hAnsi="Tahoma" w:cs="Tahoma"/>
                <w:b/>
                <w:bCs/>
                <w:color w:val="262626" w:themeColor="text1" w:themeTint="D9"/>
                <w:sz w:val="24"/>
                <w:szCs w:val="24"/>
              </w:rPr>
              <w:t>Key finding: Customer outcomes vary significantly between and within retailers</w:t>
            </w:r>
          </w:p>
          <w:p w14:paraId="6368AA3A" w14:textId="30E10197" w:rsidR="009835F6" w:rsidRDefault="009835F6" w:rsidP="00172369">
            <w:pPr>
              <w:pBdr>
                <w:top w:val="single" w:sz="48" w:space="1" w:color="FFD191" w:themeColor="accent4" w:themeTint="66"/>
                <w:left w:val="single" w:sz="48" w:space="4" w:color="FFD191" w:themeColor="accent4" w:themeTint="66"/>
                <w:bottom w:val="single" w:sz="48" w:space="1" w:color="FFD191" w:themeColor="accent4" w:themeTint="66"/>
                <w:right w:val="single" w:sz="48" w:space="4" w:color="FFD191" w:themeColor="accent4" w:themeTint="66"/>
              </w:pBdr>
            </w:pPr>
            <w:r>
              <w:t>W</w:t>
            </w:r>
            <w:r w:rsidRPr="00B60674">
              <w:t>e continue to see varied outcomes in the way retailers support customers in accessing energy concessions, and the practical help to lower energy</w:t>
            </w:r>
            <w:r w:rsidR="006F2B09">
              <w:t xml:space="preserve"> </w:t>
            </w:r>
            <w:r w:rsidRPr="00B60674">
              <w:t xml:space="preserve">costs. </w:t>
            </w:r>
          </w:p>
          <w:p w14:paraId="076EF670" w14:textId="7D77A9A8" w:rsidR="009835F6" w:rsidRPr="00F907C4" w:rsidRDefault="009835F6" w:rsidP="00172369">
            <w:pPr>
              <w:pBdr>
                <w:top w:val="single" w:sz="48" w:space="1" w:color="FFD191" w:themeColor="accent4" w:themeTint="66"/>
                <w:left w:val="single" w:sz="48" w:space="4" w:color="FFD191" w:themeColor="accent4" w:themeTint="66"/>
                <w:bottom w:val="single" w:sz="48" w:space="1" w:color="FFD191" w:themeColor="accent4" w:themeTint="66"/>
                <w:right w:val="single" w:sz="48" w:space="4" w:color="FFD191" w:themeColor="accent4" w:themeTint="66"/>
              </w:pBdr>
              <w:rPr>
                <w:rFonts w:ascii="Tahoma" w:hAnsi="Tahoma" w:cs="Tahoma"/>
                <w:b/>
                <w:bCs/>
                <w:color w:val="262626" w:themeColor="text1" w:themeTint="D9"/>
                <w:sz w:val="24"/>
                <w:szCs w:val="24"/>
              </w:rPr>
            </w:pPr>
            <w:r w:rsidRPr="00B60674">
              <w:t>Some retailers are more effective at helping customers access assistance early. Different retailers are also found to apply different levels of discretion when negotiating or ending payment arrangements for customers.</w:t>
            </w:r>
          </w:p>
        </w:tc>
      </w:tr>
      <w:tr w:rsidR="00A81AF5" w:rsidRPr="00F907C4" w14:paraId="091484AC" w14:textId="77777777" w:rsidTr="002F083D">
        <w:trPr>
          <w:trHeight w:val="20"/>
        </w:trPr>
        <w:tc>
          <w:tcPr>
            <w:tcW w:w="2144" w:type="dxa"/>
            <w:shd w:val="clear" w:color="auto" w:fill="FFD191" w:themeFill="accent4" w:themeFillTint="66"/>
            <w:vAlign w:val="center"/>
          </w:tcPr>
          <w:p w14:paraId="1F813F5B" w14:textId="77777777" w:rsidR="00A81AF5" w:rsidRPr="00F907C4" w:rsidRDefault="00A81AF5" w:rsidP="00172369">
            <w:pPr>
              <w:pStyle w:val="TableBody"/>
              <w:spacing w:after="120"/>
              <w:ind w:left="142" w:right="119"/>
              <w:jc w:val="center"/>
              <w:rPr>
                <w:rFonts w:ascii="Tahoma" w:hAnsi="Tahoma" w:cs="Tahoma"/>
                <w:b/>
                <w:bCs/>
                <w:color w:val="262626" w:themeColor="text1" w:themeTint="D9"/>
              </w:rPr>
            </w:pPr>
            <w:r w:rsidRPr="00F907C4">
              <w:rPr>
                <w:b/>
                <w:bCs/>
                <w:noProof/>
                <w:color w:val="262626" w:themeColor="text1" w:themeTint="D9"/>
              </w:rPr>
              <w:lastRenderedPageBreak/>
              <w:drawing>
                <wp:inline distT="0" distB="0" distL="0" distR="0" wp14:anchorId="3D28DC67" wp14:editId="7F574739">
                  <wp:extent cx="720000" cy="720000"/>
                  <wp:effectExtent l="0" t="0" r="0" b="4445"/>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495" w:type="dxa"/>
            <w:shd w:val="clear" w:color="auto" w:fill="FFD191" w:themeFill="accent4" w:themeFillTint="66"/>
            <w:vAlign w:val="center"/>
          </w:tcPr>
          <w:p w14:paraId="592045A1" w14:textId="093683FC" w:rsidR="00A81AF5" w:rsidRPr="003C45A5" w:rsidRDefault="00A81AF5" w:rsidP="00172369">
            <w:pPr>
              <w:pStyle w:val="TableBody"/>
              <w:pBdr>
                <w:top w:val="single" w:sz="48" w:space="1" w:color="FFD191" w:themeColor="accent4" w:themeTint="66"/>
                <w:left w:val="single" w:sz="48" w:space="4" w:color="FFD191" w:themeColor="accent4" w:themeTint="66"/>
                <w:bottom w:val="single" w:sz="48" w:space="1" w:color="FFD191" w:themeColor="accent4" w:themeTint="66"/>
                <w:right w:val="single" w:sz="48" w:space="4" w:color="FFD191" w:themeColor="accent4" w:themeTint="66"/>
              </w:pBdr>
              <w:ind w:right="119"/>
              <w:rPr>
                <w:rFonts w:ascii="Tahoma" w:hAnsi="Tahoma" w:cs="Tahoma"/>
                <w:b/>
                <w:color w:val="262626" w:themeColor="text1" w:themeTint="D9"/>
                <w:sz w:val="24"/>
                <w:szCs w:val="24"/>
              </w:rPr>
            </w:pPr>
            <w:r w:rsidRPr="003C45A5">
              <w:rPr>
                <w:rFonts w:ascii="Tahoma" w:hAnsi="Tahoma" w:cs="Tahoma"/>
                <w:b/>
                <w:color w:val="262626" w:themeColor="text1" w:themeTint="D9"/>
                <w:sz w:val="24"/>
                <w:szCs w:val="24"/>
              </w:rPr>
              <w:t xml:space="preserve">Key finding: The level and quality of retailer-customer engagement affects customer outcomes </w:t>
            </w:r>
          </w:p>
          <w:p w14:paraId="3C6851BD" w14:textId="33031FE6" w:rsidR="009835F6" w:rsidRPr="008A18B9" w:rsidRDefault="003C45A5" w:rsidP="00172369">
            <w:pPr>
              <w:rPr>
                <w:rFonts w:ascii="Tahoma" w:hAnsi="Tahoma" w:cs="Tahoma"/>
                <w:b/>
                <w:bCs/>
                <w:color w:val="262626" w:themeColor="text1" w:themeTint="D9"/>
                <w:sz w:val="24"/>
                <w:szCs w:val="24"/>
              </w:rPr>
            </w:pPr>
            <w:r w:rsidRPr="00B60674">
              <w:t xml:space="preserve">We have found that once customers engage with their retailers, the quality of their interactions with retailer representatives varies, both in the customer’s experience of the interaction and the assistance outcomes of the interaction. The quality of these interactions </w:t>
            </w:r>
            <w:r w:rsidR="00767D7B">
              <w:t>affects the extent to which</w:t>
            </w:r>
            <w:r w:rsidRPr="00B60674">
              <w:t xml:space="preserve"> customers receive appropriate assistance.</w:t>
            </w:r>
            <w:r w:rsidR="00CA09D9">
              <w:t xml:space="preserve"> </w:t>
            </w:r>
          </w:p>
        </w:tc>
      </w:tr>
      <w:tr w:rsidR="00A81AF5" w:rsidRPr="00F907C4" w14:paraId="0B2122CF" w14:textId="77777777" w:rsidTr="002F083D">
        <w:trPr>
          <w:trHeight w:val="20"/>
        </w:trPr>
        <w:tc>
          <w:tcPr>
            <w:tcW w:w="2144" w:type="dxa"/>
            <w:shd w:val="clear" w:color="auto" w:fill="FFD191" w:themeFill="accent4" w:themeFillTint="66"/>
            <w:vAlign w:val="center"/>
          </w:tcPr>
          <w:p w14:paraId="7332791F" w14:textId="77777777" w:rsidR="00A81AF5" w:rsidRPr="00F907C4" w:rsidRDefault="00A81AF5" w:rsidP="00172369">
            <w:pPr>
              <w:pStyle w:val="TableBody"/>
              <w:spacing w:after="120"/>
              <w:ind w:left="142" w:right="119"/>
              <w:jc w:val="center"/>
              <w:rPr>
                <w:rFonts w:ascii="Tahoma" w:hAnsi="Tahoma" w:cs="Tahoma"/>
                <w:b/>
                <w:bCs/>
                <w:color w:val="262626" w:themeColor="text1" w:themeTint="D9"/>
              </w:rPr>
            </w:pPr>
            <w:r w:rsidRPr="00F907C4">
              <w:rPr>
                <w:rFonts w:ascii="Tahoma" w:hAnsi="Tahoma" w:cs="Tahoma"/>
                <w:b/>
                <w:bCs/>
                <w:noProof/>
                <w:color w:val="262626" w:themeColor="text1" w:themeTint="D9"/>
              </w:rPr>
              <w:drawing>
                <wp:inline distT="0" distB="0" distL="0" distR="0" wp14:anchorId="7C2C85B4" wp14:editId="52545E13">
                  <wp:extent cx="720000" cy="720000"/>
                  <wp:effectExtent l="0" t="0" r="4445" b="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495" w:type="dxa"/>
            <w:shd w:val="clear" w:color="auto" w:fill="FFD191" w:themeFill="accent4" w:themeFillTint="66"/>
            <w:vAlign w:val="center"/>
          </w:tcPr>
          <w:p w14:paraId="1F410138" w14:textId="6A9BC1B9" w:rsidR="00A81AF5" w:rsidRDefault="00A81AF5" w:rsidP="00172369">
            <w:pPr>
              <w:pStyle w:val="TableBody"/>
              <w:pBdr>
                <w:top w:val="single" w:sz="48" w:space="1" w:color="FFD191" w:themeColor="accent4" w:themeTint="66"/>
                <w:left w:val="single" w:sz="48" w:space="4" w:color="FFD191" w:themeColor="accent4" w:themeTint="66"/>
                <w:bottom w:val="single" w:sz="48" w:space="1" w:color="FFD191" w:themeColor="accent4" w:themeTint="66"/>
                <w:right w:val="single" w:sz="48" w:space="4" w:color="FFD191" w:themeColor="accent4" w:themeTint="66"/>
              </w:pBdr>
              <w:ind w:right="121"/>
              <w:rPr>
                <w:rFonts w:ascii="Tahoma" w:hAnsi="Tahoma" w:cs="Tahoma"/>
                <w:b/>
                <w:bCs/>
                <w:color w:val="262626" w:themeColor="text1" w:themeTint="D9"/>
                <w:sz w:val="24"/>
                <w:szCs w:val="24"/>
              </w:rPr>
            </w:pPr>
            <w:r w:rsidRPr="00F907C4">
              <w:rPr>
                <w:rFonts w:ascii="Tahoma" w:hAnsi="Tahoma" w:cs="Tahoma"/>
                <w:b/>
                <w:bCs/>
                <w:color w:val="262626" w:themeColor="text1" w:themeTint="D9"/>
                <w:sz w:val="24"/>
                <w:szCs w:val="24"/>
              </w:rPr>
              <w:t>Key finding: Customers who can pay for their ongoing energy use benefit most</w:t>
            </w:r>
          </w:p>
          <w:p w14:paraId="725D94C4" w14:textId="6E1ABCD4" w:rsidR="002453F7" w:rsidRPr="00F907C4" w:rsidRDefault="001958EB" w:rsidP="00172369">
            <w:r w:rsidRPr="001958EB">
              <w:t>The framework benefits many customers, particularly those who are in arrears with their retailer and able to pay for their ongoing energy use. However, there are limits to the benefits provided by the framework for those who are in arrears but cannot pay for their ongoing energy use. These customers are more likely to face multiple barriers, such as changes to household income, a lack of work, or illness and are also more likely to use much higher levels of energy than the typical household for a range of reasons.</w:t>
            </w:r>
          </w:p>
        </w:tc>
      </w:tr>
    </w:tbl>
    <w:p w14:paraId="77318B8F" w14:textId="608C665B" w:rsidR="00B81491" w:rsidRDefault="00B81491">
      <w:pPr>
        <w:spacing w:before="0" w:line="259" w:lineRule="auto"/>
        <w:rPr>
          <w:rFonts w:ascii="Tahoma" w:eastAsiaTheme="majorEastAsia" w:hAnsi="Tahoma" w:cstheme="majorBidi"/>
          <w:b/>
          <w:sz w:val="26"/>
          <w:szCs w:val="26"/>
        </w:rPr>
      </w:pPr>
      <w:r>
        <w:br w:type="page"/>
      </w:r>
    </w:p>
    <w:p w14:paraId="5831DB49" w14:textId="16593421" w:rsidR="00C43F4C" w:rsidRDefault="00C43F4C" w:rsidP="00C43F4C">
      <w:pPr>
        <w:pStyle w:val="Heading2"/>
      </w:pPr>
      <w:bookmarkStart w:id="96" w:name="_Toc104850130"/>
      <w:r>
        <w:lastRenderedPageBreak/>
        <w:t>Tailored assistance</w:t>
      </w:r>
      <w:bookmarkEnd w:id="96"/>
    </w:p>
    <w:p w14:paraId="0BB676A9" w14:textId="684BEF05" w:rsidR="00C43F4C" w:rsidRDefault="00C43F4C" w:rsidP="00C43F4C">
      <w:r>
        <w:t xml:space="preserve">Tailored assistance was introduced into the </w:t>
      </w:r>
      <w:r w:rsidRPr="00A509D8">
        <w:t xml:space="preserve">Energy Retail Code </w:t>
      </w:r>
      <w:r w:rsidR="004367C1">
        <w:t xml:space="preserve">(now the Energy Retail Code </w:t>
      </w:r>
      <w:r w:rsidRPr="00A509D8">
        <w:t>of Practice</w:t>
      </w:r>
      <w:r w:rsidR="004367C1">
        <w:t>)</w:t>
      </w:r>
      <w:r>
        <w:t xml:space="preserve"> as a minimum standard of support retailers must provide for customers who have missed bill payments and are in debt to their retailer. It aims to address the main objectives </w:t>
      </w:r>
      <w:r w:rsidR="00F452C0">
        <w:t>of</w:t>
      </w:r>
      <w:r>
        <w:t xml:space="preserve"> the framework, which is to support residential energy customers to pay their on-going energy use, repay their arrears and lower their energy costs. </w:t>
      </w:r>
    </w:p>
    <w:p w14:paraId="27503816" w14:textId="6E69CC26" w:rsidR="00C43F4C" w:rsidRDefault="00C43F4C" w:rsidP="00C43F4C">
      <w:r w:rsidRPr="44B42D81">
        <w:rPr>
          <w:rStyle w:val="s1"/>
          <w:rFonts w:asciiTheme="minorHAnsi" w:hAnsiTheme="minorHAnsi"/>
          <w:sz w:val="22"/>
          <w:szCs w:val="22"/>
        </w:rPr>
        <w:t xml:space="preserve">The framework </w:t>
      </w:r>
      <w:r>
        <w:rPr>
          <w:rStyle w:val="s1"/>
          <w:rFonts w:asciiTheme="minorHAnsi" w:hAnsiTheme="minorHAnsi"/>
          <w:sz w:val="22"/>
          <w:szCs w:val="22"/>
        </w:rPr>
        <w:t>requires</w:t>
      </w:r>
      <w:r w:rsidRPr="44B42D81">
        <w:rPr>
          <w:rStyle w:val="s1"/>
          <w:rFonts w:asciiTheme="minorHAnsi" w:hAnsiTheme="minorHAnsi"/>
          <w:sz w:val="22"/>
          <w:szCs w:val="22"/>
        </w:rPr>
        <w:t xml:space="preserve"> </w:t>
      </w:r>
      <w:r w:rsidR="008A011D">
        <w:rPr>
          <w:rStyle w:val="s1"/>
          <w:rFonts w:asciiTheme="minorHAnsi" w:hAnsiTheme="minorHAnsi"/>
          <w:sz w:val="22"/>
          <w:szCs w:val="22"/>
        </w:rPr>
        <w:t xml:space="preserve">retailers to provide </w:t>
      </w:r>
      <w:r w:rsidRPr="44B42D81">
        <w:rPr>
          <w:rStyle w:val="s1"/>
          <w:rFonts w:asciiTheme="minorHAnsi" w:hAnsiTheme="minorHAnsi"/>
          <w:sz w:val="22"/>
          <w:szCs w:val="22"/>
        </w:rPr>
        <w:t xml:space="preserve">customers with clear information about the support available to them after they miss an energy bill payment, </w:t>
      </w:r>
      <w:r>
        <w:t xml:space="preserve">so that customers are supported quickly and to prevent further arrears. </w:t>
      </w:r>
    </w:p>
    <w:p w14:paraId="6BC9C131" w14:textId="67CEB338" w:rsidR="008A011D" w:rsidRPr="00704EEE" w:rsidRDefault="008A011D" w:rsidP="00C43F4C">
      <w:r>
        <w:t>Retailers are also required to provide customers with the assistance they are entitled to.</w:t>
      </w:r>
    </w:p>
    <w:p w14:paraId="4B846F98" w14:textId="77777777" w:rsidR="00C43F4C" w:rsidRDefault="00C43F4C" w:rsidP="00C43F4C">
      <w:pPr>
        <w:pStyle w:val="Pull-outHeading"/>
      </w:pPr>
      <w:r>
        <w:t>Tailored assistance in the Energy Retail Code of Practice</w:t>
      </w:r>
    </w:p>
    <w:p w14:paraId="3EE0F966" w14:textId="77777777" w:rsidR="00FD21AB" w:rsidRDefault="00C43F4C" w:rsidP="00FD21AB">
      <w:pPr>
        <w:pStyle w:val="Pull-out"/>
        <w:rPr>
          <w:rStyle w:val="s1"/>
          <w:rFonts w:asciiTheme="minorHAnsi" w:hAnsiTheme="minorHAnsi" w:cstheme="minorHAnsi"/>
          <w:sz w:val="22"/>
          <w:szCs w:val="22"/>
        </w:rPr>
      </w:pPr>
      <w:r>
        <w:rPr>
          <w:rStyle w:val="s1"/>
          <w:rFonts w:asciiTheme="minorHAnsi" w:hAnsiTheme="minorHAnsi" w:cstheme="minorHAnsi"/>
          <w:sz w:val="22"/>
          <w:szCs w:val="22"/>
        </w:rPr>
        <w:t xml:space="preserve">Tailored assistance is described </w:t>
      </w:r>
      <w:r>
        <w:t xml:space="preserve">under </w:t>
      </w:r>
      <w:r w:rsidRPr="00704EEE">
        <w:rPr>
          <w:rStyle w:val="s1"/>
          <w:rFonts w:asciiTheme="minorHAnsi" w:hAnsiTheme="minorHAnsi" w:cstheme="minorHAnsi"/>
          <w:sz w:val="22"/>
          <w:szCs w:val="22"/>
        </w:rPr>
        <w:t xml:space="preserve">Part 6, Division </w:t>
      </w:r>
      <w:r>
        <w:rPr>
          <w:rStyle w:val="s1"/>
          <w:rFonts w:asciiTheme="minorHAnsi" w:hAnsiTheme="minorHAnsi" w:cstheme="minorHAnsi"/>
          <w:sz w:val="22"/>
          <w:szCs w:val="22"/>
        </w:rPr>
        <w:t>2</w:t>
      </w:r>
      <w:r w:rsidRPr="00704EEE">
        <w:rPr>
          <w:rStyle w:val="s1"/>
          <w:rFonts w:asciiTheme="minorHAnsi" w:hAnsiTheme="minorHAnsi" w:cstheme="minorHAnsi"/>
          <w:sz w:val="22"/>
          <w:szCs w:val="22"/>
        </w:rPr>
        <w:t xml:space="preserve"> of the Energy Retail Code of Practice</w:t>
      </w:r>
      <w:r>
        <w:rPr>
          <w:rStyle w:val="s1"/>
          <w:rFonts w:asciiTheme="minorHAnsi" w:hAnsiTheme="minorHAnsi" w:cstheme="minorHAnsi"/>
          <w:sz w:val="22"/>
          <w:szCs w:val="22"/>
        </w:rPr>
        <w:t>.</w:t>
      </w:r>
      <w:r>
        <w:rPr>
          <w:rStyle w:val="FootnoteReference"/>
          <w:rFonts w:cstheme="minorHAnsi"/>
        </w:rPr>
        <w:footnoteReference w:id="37"/>
      </w:r>
      <w:r w:rsidR="00FD21AB">
        <w:rPr>
          <w:rStyle w:val="s1"/>
          <w:rFonts w:asciiTheme="minorHAnsi" w:hAnsiTheme="minorHAnsi" w:cstheme="minorHAnsi"/>
          <w:sz w:val="22"/>
          <w:szCs w:val="22"/>
        </w:rPr>
        <w:t xml:space="preserve"> </w:t>
      </w:r>
    </w:p>
    <w:p w14:paraId="52F32DFC" w14:textId="5D2711C1" w:rsidR="000C28C2" w:rsidRDefault="00C43F4C" w:rsidP="00FD21AB">
      <w:pPr>
        <w:pStyle w:val="Pull-out"/>
        <w:rPr>
          <w:rStyle w:val="s1"/>
          <w:rFonts w:asciiTheme="minorHAnsi" w:hAnsiTheme="minorHAnsi" w:cstheme="minorHAnsi"/>
          <w:sz w:val="22"/>
          <w:szCs w:val="22"/>
        </w:rPr>
      </w:pPr>
      <w:r>
        <w:t>The code requires retailers to give their customers information about assistance they are entitled to and how to access it, within 21 business days of missing payment of an energy bill (and having arrears of more than $55).</w:t>
      </w:r>
      <w:r>
        <w:rPr>
          <w:rStyle w:val="FootnoteReference"/>
        </w:rPr>
        <w:footnoteReference w:id="38"/>
      </w:r>
      <w:r w:rsidR="00FD21AB">
        <w:rPr>
          <w:rFonts w:cstheme="minorHAnsi"/>
        </w:rPr>
        <w:t xml:space="preserve"> </w:t>
      </w:r>
      <w:r w:rsidRPr="00704EEE">
        <w:rPr>
          <w:rStyle w:val="s1"/>
          <w:rFonts w:asciiTheme="minorHAnsi" w:hAnsiTheme="minorHAnsi" w:cstheme="minorHAnsi"/>
          <w:sz w:val="22"/>
          <w:szCs w:val="22"/>
        </w:rPr>
        <w:t>The code also prescribes the minimum level of assistance a retailer is to provide for customers, which a customer is entitled to</w:t>
      </w:r>
      <w:r>
        <w:rPr>
          <w:rStyle w:val="s1"/>
          <w:rFonts w:asciiTheme="minorHAnsi" w:hAnsiTheme="minorHAnsi" w:cstheme="minorHAnsi"/>
          <w:sz w:val="22"/>
          <w:szCs w:val="22"/>
        </w:rPr>
        <w:t xml:space="preserve">, </w:t>
      </w:r>
      <w:r w:rsidR="000C28C2">
        <w:rPr>
          <w:rStyle w:val="s1"/>
          <w:rFonts w:asciiTheme="minorHAnsi" w:hAnsiTheme="minorHAnsi" w:cstheme="minorHAnsi"/>
          <w:sz w:val="22"/>
          <w:szCs w:val="22"/>
        </w:rPr>
        <w:t>as follows.</w:t>
      </w:r>
    </w:p>
    <w:p w14:paraId="11FD923D" w14:textId="14CAE939" w:rsidR="00C43F4C" w:rsidRPr="00704EEE" w:rsidRDefault="000C28C2" w:rsidP="00C43F4C">
      <w:pPr>
        <w:pStyle w:val="Pull-out"/>
      </w:pPr>
      <w:r>
        <w:rPr>
          <w:rStyle w:val="s1"/>
          <w:rFonts w:asciiTheme="minorHAnsi" w:hAnsiTheme="minorHAnsi" w:cstheme="minorHAnsi"/>
          <w:sz w:val="22"/>
          <w:szCs w:val="22"/>
        </w:rPr>
        <w:t>For those who can and cannot pay for their on-going energy use</w:t>
      </w:r>
      <w:r w:rsidR="00C43F4C" w:rsidRPr="00704EEE">
        <w:rPr>
          <w:rStyle w:val="s1"/>
          <w:rFonts w:asciiTheme="minorHAnsi" w:hAnsiTheme="minorHAnsi" w:cstheme="minorHAnsi"/>
          <w:sz w:val="22"/>
          <w:szCs w:val="22"/>
        </w:rPr>
        <w:t>:</w:t>
      </w:r>
    </w:p>
    <w:p w14:paraId="47DFE47C" w14:textId="77777777" w:rsidR="00C43F4C" w:rsidRDefault="00C43F4C" w:rsidP="00C43F4C">
      <w:pPr>
        <w:pStyle w:val="Pull-outBullet1"/>
      </w:pPr>
      <w:r>
        <w:t>p</w:t>
      </w:r>
      <w:r w:rsidRPr="00BF0B3E">
        <w:t>ayment plans and advice on repaying arrears</w:t>
      </w:r>
    </w:p>
    <w:p w14:paraId="734D36F8" w14:textId="77777777" w:rsidR="00C43F4C" w:rsidRDefault="00C43F4C" w:rsidP="00C43F4C">
      <w:pPr>
        <w:pStyle w:val="Pull-outBullet1"/>
      </w:pPr>
      <w:r>
        <w:t>a</w:t>
      </w:r>
      <w:r w:rsidRPr="00BF0B3E">
        <w:t>dvice about government grants and concessions, and help to lodge and apply for a utility relief grant (introduced in October 2020)</w:t>
      </w:r>
    </w:p>
    <w:p w14:paraId="7442C4B2" w14:textId="16228C2F" w:rsidR="00C43F4C" w:rsidRDefault="00C43F4C" w:rsidP="00C43F4C">
      <w:pPr>
        <w:pStyle w:val="Pull-outBullet1"/>
      </w:pPr>
      <w:r>
        <w:t>i</w:t>
      </w:r>
      <w:r w:rsidRPr="00BF0B3E">
        <w:t>nformation on future energy use and how this cost could be lowered</w:t>
      </w:r>
    </w:p>
    <w:p w14:paraId="4668A018" w14:textId="6E1CB98F" w:rsidR="000C28C2" w:rsidRDefault="000C28C2" w:rsidP="007E2C51">
      <w:pPr>
        <w:pStyle w:val="Pull-out"/>
        <w:keepNext/>
        <w:keepLines/>
      </w:pPr>
      <w:r>
        <w:rPr>
          <w:rStyle w:val="s1"/>
          <w:rFonts w:asciiTheme="minorHAnsi" w:hAnsiTheme="minorHAnsi" w:cstheme="minorHAnsi"/>
          <w:sz w:val="22"/>
          <w:szCs w:val="22"/>
        </w:rPr>
        <w:lastRenderedPageBreak/>
        <w:t>For those who cannot pay for their on-going energy use, customers are also entitled to</w:t>
      </w:r>
      <w:r w:rsidRPr="00704EEE">
        <w:rPr>
          <w:rStyle w:val="s1"/>
          <w:rFonts w:asciiTheme="minorHAnsi" w:hAnsiTheme="minorHAnsi" w:cstheme="minorHAnsi"/>
          <w:sz w:val="22"/>
          <w:szCs w:val="22"/>
        </w:rPr>
        <w:t>:</w:t>
      </w:r>
    </w:p>
    <w:p w14:paraId="4080E390" w14:textId="77777777" w:rsidR="00C43F4C" w:rsidRDefault="00C43F4C" w:rsidP="007E2C51">
      <w:pPr>
        <w:pStyle w:val="Pull-outBullet1"/>
        <w:keepNext/>
        <w:keepLines/>
      </w:pPr>
      <w:r>
        <w:t>p</w:t>
      </w:r>
      <w:r w:rsidRPr="00BF0B3E">
        <w:t>ractical advice on reducing energy cost, such as checking current energy offers and providing advice on the best energy offer available</w:t>
      </w:r>
    </w:p>
    <w:p w14:paraId="2BA6F1BE" w14:textId="77777777" w:rsidR="00C43F4C" w:rsidRDefault="00C43F4C" w:rsidP="007E2C51">
      <w:pPr>
        <w:pStyle w:val="Pull-outBullet1"/>
        <w:keepNext/>
        <w:keepLines/>
      </w:pPr>
      <w:r>
        <w:t>practical help to a customer who may be eligible for a utility relief grant</w:t>
      </w:r>
      <w:r w:rsidRPr="00437889">
        <w:rPr>
          <w:rStyle w:val="FootnoteReference"/>
        </w:rPr>
        <w:footnoteReference w:id="39"/>
      </w:r>
    </w:p>
    <w:p w14:paraId="3E94C51D" w14:textId="77777777" w:rsidR="00C43F4C" w:rsidRDefault="00C43F4C" w:rsidP="007E2C51">
      <w:pPr>
        <w:pStyle w:val="Pull-outBullet1"/>
        <w:keepNext/>
        <w:keepLines/>
      </w:pPr>
      <w:r>
        <w:t>p</w:t>
      </w:r>
      <w:r w:rsidRPr="00BF0B3E">
        <w:t>ractical help to reduce energy bills, such as energy audit or energy efficiency products</w:t>
      </w:r>
    </w:p>
    <w:p w14:paraId="6C5AC120" w14:textId="7B9A632F" w:rsidR="00C43F4C" w:rsidRDefault="00C43F4C" w:rsidP="007E2C51">
      <w:pPr>
        <w:pStyle w:val="Pull-outBullet1"/>
        <w:keepNext/>
        <w:keepLines/>
      </w:pPr>
      <w:r>
        <w:t>p</w:t>
      </w:r>
      <w:r w:rsidRPr="00BF0B3E">
        <w:t xml:space="preserve">ause on </w:t>
      </w:r>
      <w:r w:rsidR="0015558C">
        <w:t>arrears</w:t>
      </w:r>
      <w:r w:rsidRPr="00BF0B3E">
        <w:t xml:space="preserve"> payments for up to six months and part-payments of future bills</w:t>
      </w:r>
      <w:r>
        <w:t>.</w:t>
      </w:r>
    </w:p>
    <w:p w14:paraId="70AFCF6D" w14:textId="77777777" w:rsidR="00C43F4C" w:rsidRPr="00EE3DF1" w:rsidRDefault="00C43F4C" w:rsidP="00C43F4C">
      <w:r>
        <w:t>The following sections provided a detailed discussion of our key findings related to the specific elements of tailored assistance under the framework.</w:t>
      </w:r>
    </w:p>
    <w:p w14:paraId="23B56A88" w14:textId="77777777" w:rsidR="00C43F4C" w:rsidRDefault="00C43F4C" w:rsidP="003A1B23">
      <w:pPr>
        <w:pStyle w:val="Heading2"/>
        <w:spacing w:before="360"/>
      </w:pPr>
      <w:bookmarkStart w:id="97" w:name="_Toc104850131"/>
      <w:r>
        <w:t>How customers are informed about their tailored assistance entitlements</w:t>
      </w:r>
      <w:bookmarkEnd w:id="97"/>
    </w:p>
    <w:p w14:paraId="01C4A679" w14:textId="77777777" w:rsidR="00C43F4C" w:rsidRDefault="00C43F4C" w:rsidP="00C43F4C">
      <w:r>
        <w:t>Retailers are required to communicate with customers experiencing payment difficulty in different forms and under different circumstances. This includes:</w:t>
      </w:r>
    </w:p>
    <w:p w14:paraId="703312DF" w14:textId="73CBE027" w:rsidR="00C43F4C" w:rsidRDefault="00C43F4C" w:rsidP="00C43F4C">
      <w:pPr>
        <w:pStyle w:val="ListBullet"/>
      </w:pPr>
      <w:r>
        <w:t xml:space="preserve">general information about </w:t>
      </w:r>
      <w:r w:rsidR="004367C1">
        <w:t xml:space="preserve">the </w:t>
      </w:r>
      <w:r>
        <w:t>assistance available for customers</w:t>
      </w:r>
      <w:r w:rsidR="006E6BA6">
        <w:t>, and</w:t>
      </w:r>
    </w:p>
    <w:p w14:paraId="7267E794" w14:textId="77D0CC7B" w:rsidR="00C43F4C" w:rsidRDefault="00C43F4C" w:rsidP="00C43F4C">
      <w:pPr>
        <w:pStyle w:val="ListBullet"/>
      </w:pPr>
      <w:r>
        <w:t xml:space="preserve">notifications </w:t>
      </w:r>
      <w:r w:rsidR="004367C1">
        <w:t>to</w:t>
      </w:r>
      <w:r>
        <w:t xml:space="preserve"> customers who </w:t>
      </w:r>
      <w:r w:rsidR="004367C1">
        <w:t xml:space="preserve">have </w:t>
      </w:r>
      <w:r>
        <w:t>miss</w:t>
      </w:r>
      <w:r w:rsidR="004367C1">
        <w:t>ed</w:t>
      </w:r>
      <w:r>
        <w:t xml:space="preserve"> paying their bills</w:t>
      </w:r>
      <w:r w:rsidR="004367C1">
        <w:t xml:space="preserve">, which </w:t>
      </w:r>
      <w:r w:rsidR="00B82EE7">
        <w:t xml:space="preserve">also </w:t>
      </w:r>
      <w:r w:rsidR="004367C1">
        <w:t>includes information about</w:t>
      </w:r>
      <w:r>
        <w:t xml:space="preserve"> assistance options </w:t>
      </w:r>
      <w:r w:rsidR="00B82EE7">
        <w:t xml:space="preserve">for </w:t>
      </w:r>
      <w:r>
        <w:t>customers.</w:t>
      </w:r>
    </w:p>
    <w:p w14:paraId="172BFF32" w14:textId="0B485DEE" w:rsidR="00C43F4C" w:rsidRDefault="00C43F4C" w:rsidP="00C43F4C">
      <w:r w:rsidRPr="16B33875">
        <w:rPr>
          <w:rStyle w:val="s1"/>
          <w:rFonts w:asciiTheme="minorHAnsi" w:hAnsiTheme="minorHAnsi"/>
          <w:sz w:val="22"/>
          <w:szCs w:val="22"/>
        </w:rPr>
        <w:t>Retailers are obligated to provide customers with information about the tailored assistance they are entitled to if they miss a bill and have more than $55 of arrears</w:t>
      </w:r>
      <w:r w:rsidR="00B82EE7">
        <w:rPr>
          <w:rStyle w:val="s1"/>
          <w:rFonts w:asciiTheme="minorHAnsi" w:hAnsiTheme="minorHAnsi"/>
          <w:sz w:val="22"/>
          <w:szCs w:val="22"/>
        </w:rPr>
        <w:t>, including GST</w:t>
      </w:r>
      <w:r>
        <w:t xml:space="preserve">. Retailers often provide this information alongside a reminder notice to the customer to pay their energy bills. </w:t>
      </w:r>
    </w:p>
    <w:p w14:paraId="0DE9E055" w14:textId="77777777" w:rsidR="00C43F4C" w:rsidRDefault="00C43F4C" w:rsidP="00C43F4C">
      <w:r>
        <w:t xml:space="preserve">A customer is given a minimum of six business days to consider the information provided, after which they may either ask for more information or set out a payment proposal to a retailer for a payment plan. This often involves a customer calling a retailer directly to discuss options. Some retailers also provide self-service options for customers to manage their account either over the phone or online. </w:t>
      </w:r>
    </w:p>
    <w:p w14:paraId="604FD513" w14:textId="77777777" w:rsidR="00C43F4C" w:rsidRDefault="00C43F4C" w:rsidP="007E2C51">
      <w:pPr>
        <w:pStyle w:val="Heading3"/>
      </w:pPr>
      <w:r>
        <w:lastRenderedPageBreak/>
        <w:t>Many customers who miss a bill payment appear to respond to information about assistance</w:t>
      </w:r>
    </w:p>
    <w:p w14:paraId="46E374B7" w14:textId="77777777" w:rsidR="001952CE" w:rsidRDefault="00C43F4C" w:rsidP="007E2C51">
      <w:pPr>
        <w:keepNext/>
        <w:keepLines/>
      </w:pPr>
      <w:r>
        <w:t xml:space="preserve">Customers may miss paying an energy bill for a variety of reasons. Under the framework, a customer who misses </w:t>
      </w:r>
      <w:r w:rsidR="00B82EE7">
        <w:t>payment of</w:t>
      </w:r>
      <w:r>
        <w:t xml:space="preserve"> a bill </w:t>
      </w:r>
      <w:r w:rsidR="00B82EE7">
        <w:t>by its due date</w:t>
      </w:r>
      <w:r>
        <w:t xml:space="preserve"> (and who has arrears of more than $55) is entitled to receive information from their retailer about access to assistance within 21 business days. This information may be a useful prompt to contact their retailer and access assistance. In 2020-21, around half the customers commencing tailored assistance who can pay for their on-going use do so within 30 days of their bill being overdue. </w:t>
      </w:r>
      <w:bookmarkStart w:id="98" w:name="_Toc98954243"/>
    </w:p>
    <w:p w14:paraId="614C2226" w14:textId="51A211AA" w:rsidR="00C43F4C" w:rsidRDefault="00C43F4C" w:rsidP="001952CE">
      <w:r>
        <w:t>Call recordings collected for our review also revealed that customers who had contacted the retailer had also received information about that assistance in various forms (</w:t>
      </w:r>
      <w:r>
        <w:fldChar w:fldCharType="begin"/>
      </w:r>
      <w:r>
        <w:instrText xml:space="preserve"> REF _Ref102657413 \h </w:instrText>
      </w:r>
      <w:r>
        <w:fldChar w:fldCharType="separate"/>
      </w:r>
      <w:r w:rsidR="00357DD7">
        <w:t xml:space="preserve">Figure </w:t>
      </w:r>
      <w:r w:rsidR="00357DD7">
        <w:rPr>
          <w:noProof/>
        </w:rPr>
        <w:t>10</w:t>
      </w:r>
      <w:r>
        <w:fldChar w:fldCharType="end"/>
      </w:r>
      <w:r>
        <w:t>). Based on analysis of the call recordings collected, it was found that customers were more likely to mention an experience of payment difficulty after having received a disconnection warning notice (68 per</w:t>
      </w:r>
      <w:r w:rsidR="002D7124">
        <w:t xml:space="preserve"> </w:t>
      </w:r>
      <w:r w:rsidR="002F6ACC">
        <w:t>c</w:t>
      </w:r>
      <w:r>
        <w:t>ent of callers in the study)</w:t>
      </w:r>
      <w:r w:rsidRPr="00FA275C">
        <w:t xml:space="preserve"> or </w:t>
      </w:r>
      <w:r>
        <w:t xml:space="preserve">after </w:t>
      </w:r>
      <w:r w:rsidRPr="00FA275C">
        <w:t xml:space="preserve">receiving a reminder notice </w:t>
      </w:r>
      <w:r>
        <w:t xml:space="preserve">for a missed payment </w:t>
      </w:r>
      <w:r w:rsidRPr="00FA275C">
        <w:t>(5</w:t>
      </w:r>
      <w:r>
        <w:t>8 per cent of callers in the study</w:t>
      </w:r>
      <w:r w:rsidRPr="00F170FA">
        <w:t>).</w:t>
      </w:r>
      <w:r>
        <w:rPr>
          <w:rStyle w:val="FootnoteReference"/>
        </w:rPr>
        <w:footnoteReference w:id="40"/>
      </w:r>
    </w:p>
    <w:p w14:paraId="40C7063D" w14:textId="358777AF" w:rsidR="00C43F4C" w:rsidRDefault="00C43F4C" w:rsidP="00C95756">
      <w:pPr>
        <w:pStyle w:val="Figure-Table-BoxHeading"/>
        <w:keepNext/>
        <w:keepLines/>
        <w:numPr>
          <w:ilvl w:val="0"/>
          <w:numId w:val="0"/>
        </w:numPr>
      </w:pPr>
      <w:bookmarkStart w:id="99" w:name="_Ref102657413"/>
      <w:bookmarkStart w:id="100" w:name="_Toc103943780"/>
      <w:r>
        <w:lastRenderedPageBreak/>
        <w:t xml:space="preserve">Figure </w:t>
      </w:r>
      <w:r>
        <w:fldChar w:fldCharType="begin"/>
      </w:r>
      <w:r>
        <w:instrText>SEQ Figure \* ARABIC</w:instrText>
      </w:r>
      <w:r>
        <w:fldChar w:fldCharType="separate"/>
      </w:r>
      <w:r w:rsidR="00357DD7">
        <w:rPr>
          <w:noProof/>
        </w:rPr>
        <w:t>10</w:t>
      </w:r>
      <w:r>
        <w:fldChar w:fldCharType="end"/>
      </w:r>
      <w:bookmarkEnd w:id="99"/>
      <w:r>
        <w:tab/>
        <w:t>Top reasons for a customer initiating conversation with a retailer (based on observations of call recordings collected for the review)</w:t>
      </w:r>
      <w:bookmarkEnd w:id="100"/>
    </w:p>
    <w:p w14:paraId="2E47245C" w14:textId="72E6835C" w:rsidR="00C43F4C" w:rsidRDefault="00C43F4C" w:rsidP="007679B6">
      <w:r>
        <w:rPr>
          <w:noProof/>
        </w:rPr>
        <w:drawing>
          <wp:inline distT="0" distB="0" distL="0" distR="0" wp14:anchorId="7088A605" wp14:editId="676C7A6D">
            <wp:extent cx="6120000" cy="4548368"/>
            <wp:effectExtent l="0" t="0" r="0" b="5080"/>
            <wp:docPr id="100017" name="Picture 100017" descr="Chart showing the reasons for initiating conversations. Enquiry about other forms of support including Pay arrangements 31 per cent, Bill 19 per cent, Enquiry about government assistance including Utility grants 18 per cent, Unpaid reminder notice including over due account 10 per cent, &#10;Customer unable to pay 10 per cent, Customer account query / routine payment 8 per cent, Change of details 4 per cent, Disconnection warning notice 3 per cent, Responding to voicemail or missed call 2 per cent,&#10;Account review 2 per cent, Responding to letter / email 2 per cent, Responding to SMS 2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Picture 100017" descr="Chart showing the reasons for initiating conversations. Enquiry about other forms of support including Pay arrangements 31 per cent, Bill 19 per cent, Enquiry about government assistance including Utility grants 18 per cent, Unpaid reminder notice including over due account 10 per cent, &#10;Customer unable to pay 10 per cent, Customer account query / routine payment 8 per cent, Change of details 4 per cent, Disconnection warning notice 3 per cent, Responding to voicemail or missed call 2 per cent,&#10;Account review 2 per cent, Responding to letter / email 2 per cent, Responding to SMS 2 per cent "/>
                    <pic:cNvPicPr>
                      <a:picLocks noChangeAspect="1"/>
                    </pic:cNvPicPr>
                  </pic:nvPicPr>
                  <pic:blipFill>
                    <a:blip r:embed="rId82"/>
                    <a:stretch>
                      <a:fillRect/>
                    </a:stretch>
                  </pic:blipFill>
                  <pic:spPr>
                    <a:xfrm>
                      <a:off x="0" y="0"/>
                      <a:ext cx="6120000" cy="4548368"/>
                    </a:xfrm>
                    <a:prstGeom prst="rect">
                      <a:avLst/>
                    </a:prstGeom>
                  </pic:spPr>
                </pic:pic>
              </a:graphicData>
            </a:graphic>
          </wp:inline>
        </w:drawing>
      </w:r>
    </w:p>
    <w:p w14:paraId="31702682" w14:textId="1DA2D64B" w:rsidR="009E458C" w:rsidRDefault="009E458C" w:rsidP="00F10D84">
      <w:pPr>
        <w:pStyle w:val="Caption"/>
        <w:spacing w:after="360"/>
      </w:pPr>
      <w:r>
        <w:t xml:space="preserve">Source: </w:t>
      </w:r>
      <w:r w:rsidRPr="005A42F2">
        <w:t>ORIMA Research, ‘Call recordings study’, May 2022</w:t>
      </w:r>
      <w:r w:rsidR="006216C3">
        <w:t>.</w:t>
      </w:r>
    </w:p>
    <w:p w14:paraId="365A07C8" w14:textId="70E2E11C" w:rsidR="00B72E49" w:rsidRDefault="007B02F3" w:rsidP="00C43F4C">
      <w:r>
        <w:t>T</w:t>
      </w:r>
      <w:r w:rsidR="00C43F4C">
        <w:t>here have been reported instances where the information provided to customers about assistance could have been clearer</w:t>
      </w:r>
      <w:r w:rsidR="00561F1E">
        <w:t xml:space="preserve"> or where the complexity of the framework has led to </w:t>
      </w:r>
      <w:r w:rsidR="004A3E94">
        <w:t>customer confusion or misunderstanding</w:t>
      </w:r>
      <w:r w:rsidR="00B72E49">
        <w:t>s</w:t>
      </w:r>
      <w:r w:rsidR="00C43F4C">
        <w:t>.</w:t>
      </w:r>
      <w:r w:rsidR="001F3329">
        <w:rPr>
          <w:rStyle w:val="FootnoteReference"/>
        </w:rPr>
        <w:footnoteReference w:id="41"/>
      </w:r>
      <w:r w:rsidR="00C43F4C">
        <w:t xml:space="preserve"> </w:t>
      </w:r>
    </w:p>
    <w:p w14:paraId="2AB7D64C" w14:textId="066EA018" w:rsidR="006B1998" w:rsidRDefault="006B1998" w:rsidP="006B1998">
      <w:pPr>
        <w:pStyle w:val="Quote"/>
        <w:rPr>
          <w:lang w:eastAsia="en-AU"/>
        </w:rPr>
      </w:pPr>
      <w:r w:rsidRPr="006B1998">
        <w:rPr>
          <w:lang w:eastAsia="en-AU"/>
        </w:rPr>
        <w:t>There are aspects of the framework that are unnecessarily complex, impeding the ability of some customers to understand both their rights and obligations</w:t>
      </w:r>
      <w:r w:rsidR="0021141C">
        <w:rPr>
          <w:lang w:eastAsia="en-AU"/>
        </w:rPr>
        <w:t>.</w:t>
      </w:r>
      <w:r w:rsidR="0021141C">
        <w:rPr>
          <w:rStyle w:val="FootnoteReference"/>
          <w:lang w:eastAsia="en-AU"/>
        </w:rPr>
        <w:footnoteReference w:id="42"/>
      </w:r>
    </w:p>
    <w:p w14:paraId="4438CD88" w14:textId="15F5457C" w:rsidR="003B41DF" w:rsidRPr="003B41DF" w:rsidRDefault="003B41DF" w:rsidP="003B41DF">
      <w:pPr>
        <w:pStyle w:val="Quote"/>
        <w:rPr>
          <w:lang w:eastAsia="en-AU"/>
        </w:rPr>
      </w:pPr>
      <w:r w:rsidRPr="003B41DF">
        <w:rPr>
          <w:lang w:eastAsia="en-AU"/>
        </w:rPr>
        <w:lastRenderedPageBreak/>
        <w:t>The complexity and strict interpretation approach to the PDF are unintentionally leading to poor customer experiences when customers contact retailers' service centres with conversations often becoming long, highly scripted and disengaging.</w:t>
      </w:r>
      <w:r>
        <w:rPr>
          <w:rStyle w:val="FootnoteReference"/>
          <w:lang w:eastAsia="en-AU"/>
        </w:rPr>
        <w:footnoteReference w:id="43"/>
      </w:r>
    </w:p>
    <w:p w14:paraId="37E3BDBA" w14:textId="23014AAA" w:rsidR="00965712" w:rsidRDefault="00965712" w:rsidP="00D4033E">
      <w:pPr>
        <w:pStyle w:val="Pull-outHeading"/>
      </w:pPr>
      <w:r>
        <w:t>Call recording</w:t>
      </w:r>
      <w:r w:rsidR="00236603">
        <w:t>s</w:t>
      </w:r>
      <w:r>
        <w:t xml:space="preserve"> case study </w:t>
      </w:r>
      <w:r>
        <w:fldChar w:fldCharType="begin"/>
      </w:r>
      <w:r>
        <w:instrText xml:space="preserve"> SEQ Call_recording_case_study \* ARABIC </w:instrText>
      </w:r>
      <w:r>
        <w:fldChar w:fldCharType="separate"/>
      </w:r>
      <w:r w:rsidR="00357DD7">
        <w:rPr>
          <w:noProof/>
        </w:rPr>
        <w:t>1</w:t>
      </w:r>
      <w:r>
        <w:fldChar w:fldCharType="end"/>
      </w:r>
      <w:r>
        <w:t xml:space="preserve">: The importance of ensuring customers clearly understand their entitlements </w:t>
      </w:r>
    </w:p>
    <w:p w14:paraId="36F25D8A" w14:textId="25FEE5D5" w:rsidR="00965712" w:rsidRDefault="00965712" w:rsidP="00965712">
      <w:pPr>
        <w:pStyle w:val="Pull-out2"/>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accent3" w:themeFillTint="66"/>
      </w:pPr>
      <w:r>
        <w:t>These two customer journeys</w:t>
      </w:r>
      <w:r w:rsidR="00252D9B">
        <w:t xml:space="preserve"> demonstrate </w:t>
      </w:r>
      <w:r w:rsidR="003D3878">
        <w:t>how</w:t>
      </w:r>
      <w:r w:rsidR="00252D9B" w:rsidRPr="00252D9B">
        <w:t xml:space="preserve"> customers </w:t>
      </w:r>
      <w:r w:rsidR="003D3878">
        <w:t xml:space="preserve">may become </w:t>
      </w:r>
      <w:r w:rsidR="00252D9B" w:rsidRPr="00252D9B">
        <w:t>confused about their entitlements</w:t>
      </w:r>
      <w:r w:rsidR="00DC0572">
        <w:t xml:space="preserve"> and how p</w:t>
      </w:r>
      <w:r>
        <w:t>roviding clear and unambiguous information and checking with the customer that the information is understood, is important for ongoing trust and engagement.</w:t>
      </w:r>
    </w:p>
    <w:p w14:paraId="0AFB503A" w14:textId="77777777" w:rsidR="00965712" w:rsidRPr="00686BF1" w:rsidRDefault="00965712" w:rsidP="00965712">
      <w:pPr>
        <w:pStyle w:val="Pull-out2"/>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rPr>
          <w:b/>
        </w:rPr>
      </w:pPr>
      <w:r w:rsidRPr="00686BF1">
        <w:rPr>
          <w:b/>
        </w:rPr>
        <w:t>Customer journey 4</w:t>
      </w:r>
    </w:p>
    <w:p w14:paraId="6641736C" w14:textId="77777777" w:rsidR="00965712" w:rsidRDefault="00965712" w:rsidP="00965712">
      <w:pPr>
        <w:pStyle w:val="Pull-out2"/>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accent3" w:themeFillTint="66"/>
      </w:pPr>
      <w:r>
        <w:t xml:space="preserve">The trigger for this interaction between a customer and their retailer was the customer’s claim they were unaware that a bill was imminent </w:t>
      </w:r>
      <w:r w:rsidRPr="00A973E8">
        <w:t>which meant that she would not be paying out her arrears as she believed</w:t>
      </w:r>
      <w:r>
        <w:t xml:space="preserve">. The customer expressed deep frustration about having been “misinformed” previously </w:t>
      </w:r>
      <w:r w:rsidRPr="00A973E8">
        <w:t>that she was close to paying off her arrears</w:t>
      </w:r>
      <w:r>
        <w:t xml:space="preserve">. The interaction led to displays of dissatisfaction on the part of the customer, the threat to change providers, and the retailer’s inability to provide assistance that was meaningful to the customer. In this case, it is unclear whether the customer had actually been misinformed, as the interaction prior to the one stated was outside of the study period. </w:t>
      </w:r>
      <w:r w:rsidRPr="00A973E8">
        <w:t>However, this exchange negatively impacted the customer’s relationship with the retailer as she threatened to close her account.</w:t>
      </w:r>
    </w:p>
    <w:p w14:paraId="77F5D278" w14:textId="77777777" w:rsidR="00965712" w:rsidRPr="00686BF1" w:rsidRDefault="00965712" w:rsidP="00965712">
      <w:pPr>
        <w:pStyle w:val="Pull-out2"/>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rPr>
          <w:b/>
        </w:rPr>
      </w:pPr>
      <w:r w:rsidRPr="00686BF1">
        <w:rPr>
          <w:b/>
        </w:rPr>
        <w:t>Customer journey 5</w:t>
      </w:r>
    </w:p>
    <w:p w14:paraId="2C983670" w14:textId="59312468" w:rsidR="00965712" w:rsidRDefault="00965712" w:rsidP="00965712">
      <w:pPr>
        <w:pStyle w:val="Pull-out2"/>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accent3" w:themeFillTint="66"/>
      </w:pPr>
      <w:r>
        <w:t xml:space="preserve">This customer was identified as being from culturally and linguistically diverse (CALD) demographic. The customer was offered assistance in the form of a payment plan and payment matching </w:t>
      </w:r>
      <w:r w:rsidRPr="00A973E8">
        <w:t>and the retailer told the customer they would check in every three months to see how they were getting along.</w:t>
      </w:r>
      <w:r>
        <w:t xml:space="preserve"> After fully paying off his arrears, the customer was removed from the payment plan and the payment matching initiative was discontinued. Despite having paid off arrears, the customer was deeply dissatisfied with the removal of the plan and the discontinuation of payment matching, due to their misunderstanding of the terms of the assistance offered. </w:t>
      </w:r>
      <w:r w:rsidRPr="00A973E8">
        <w:t>There is no evidence that three monthly follow ups mentioned to the customer occurred, possibly missing opportunities to clarify the terms of the assistance.</w:t>
      </w:r>
      <w:r>
        <w:t xml:space="preserve"> </w:t>
      </w:r>
      <w:r w:rsidRPr="00A973E8">
        <w:t xml:space="preserve">Checking that the customer is clear about the information provided and the conditions of the </w:t>
      </w:r>
      <w:r w:rsidRPr="00A973E8">
        <w:lastRenderedPageBreak/>
        <w:t>payment matching only being while the customer had arrears and made all agreed payments may have cleared the apparent misunderstanding by the customer.</w:t>
      </w:r>
    </w:p>
    <w:p w14:paraId="7AF83FFC" w14:textId="12345A89" w:rsidR="00DC0572" w:rsidRDefault="00DC0572" w:rsidP="00965712">
      <w:pPr>
        <w:pStyle w:val="Pull-out2"/>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accent3" w:themeFillTint="66"/>
      </w:pPr>
      <w:r>
        <w:t>Whether it is a customer’s misunderstanding or a retailer’s failure to clearly communicate, it is</w:t>
      </w:r>
      <w:r w:rsidRPr="00252D9B">
        <w:t xml:space="preserve"> still important to ensure </w:t>
      </w:r>
      <w:r>
        <w:t>clear communication at all stages of the customer journey and ensuring that customers clearly understand the assistance they are being provided.</w:t>
      </w:r>
    </w:p>
    <w:p w14:paraId="1EF6AA47" w14:textId="74B0AEB3" w:rsidR="00B770D2" w:rsidRDefault="00E064CD" w:rsidP="001B7980">
      <w:pPr>
        <w:pStyle w:val="Caption"/>
      </w:pPr>
      <w:r w:rsidRPr="004A1436">
        <w:t>Source:</w:t>
      </w:r>
      <w:r w:rsidR="004A1436">
        <w:t xml:space="preserve"> </w:t>
      </w:r>
      <w:r w:rsidR="004A1436" w:rsidRPr="004A1436">
        <w:t xml:space="preserve">ORIMA Research, </w:t>
      </w:r>
      <w:r w:rsidR="00CF6C1E">
        <w:t>‘</w:t>
      </w:r>
      <w:r w:rsidR="004A1436" w:rsidRPr="004A1436">
        <w:t>Call recordings study</w:t>
      </w:r>
      <w:r w:rsidR="00CF6C1E">
        <w:t>:</w:t>
      </w:r>
      <w:r w:rsidR="006F437F">
        <w:t xml:space="preserve"> </w:t>
      </w:r>
      <w:r w:rsidR="00CF6C1E">
        <w:t>c</w:t>
      </w:r>
      <w:r w:rsidR="006F437F" w:rsidRPr="006F437F">
        <w:t xml:space="preserve">ase </w:t>
      </w:r>
      <w:r w:rsidR="00CF6C1E">
        <w:t>s</w:t>
      </w:r>
      <w:r w:rsidR="006F437F" w:rsidRPr="006F437F">
        <w:t xml:space="preserve">tudies of </w:t>
      </w:r>
      <w:r w:rsidR="00CF6C1E">
        <w:t>c</w:t>
      </w:r>
      <w:r w:rsidR="006F437F" w:rsidRPr="006F437F">
        <w:t xml:space="preserve">ustomer </w:t>
      </w:r>
      <w:r w:rsidR="00CF6C1E">
        <w:t>j</w:t>
      </w:r>
      <w:r w:rsidR="006F437F" w:rsidRPr="006F437F">
        <w:t>ourneys</w:t>
      </w:r>
      <w:r w:rsidR="004A1436" w:rsidRPr="004A1436">
        <w:t>’, May 2022</w:t>
      </w:r>
      <w:r w:rsidR="00CF6C1E">
        <w:t>.</w:t>
      </w:r>
      <w:r>
        <w:t xml:space="preserve"> </w:t>
      </w:r>
    </w:p>
    <w:p w14:paraId="7A4A9ADC" w14:textId="5334C35F" w:rsidR="00C43F4C" w:rsidRDefault="00C43F4C" w:rsidP="00C43F4C">
      <w:r>
        <w:t xml:space="preserve">The commission received several </w:t>
      </w:r>
      <w:r w:rsidRPr="00FA1ECB">
        <w:rPr>
          <w:rFonts w:hint="cs"/>
        </w:rPr>
        <w:t>referrals by the Energy and Water Ombudsman (Victoria)</w:t>
      </w:r>
      <w:r w:rsidRPr="00FA1ECB">
        <w:t xml:space="preserve"> in 2020 regarding these </w:t>
      </w:r>
      <w:r w:rsidR="00C407DE">
        <w:t xml:space="preserve">types of </w:t>
      </w:r>
      <w:r w:rsidRPr="00FA1ECB">
        <w:t xml:space="preserve">concerns. </w:t>
      </w:r>
      <w:r w:rsidRPr="00773F73">
        <w:t xml:space="preserve">In April 2022, we </w:t>
      </w:r>
      <w:r w:rsidR="00680311">
        <w:t>updated our guidance</w:t>
      </w:r>
      <w:r w:rsidRPr="00773F73">
        <w:t xml:space="preserve"> to retailers about their obligation to provide clear and unambiguous information or advice to customers about the assistance available under the framework</w:t>
      </w:r>
      <w:r>
        <w:t xml:space="preserve"> (</w:t>
      </w:r>
      <w:r w:rsidR="006C1650">
        <w:t>refer to the following breakout boxes</w:t>
      </w:r>
      <w:r>
        <w:t>).</w:t>
      </w:r>
    </w:p>
    <w:p w14:paraId="1B23E807" w14:textId="104A5251" w:rsidR="00C43F4C" w:rsidRDefault="00C43F4C" w:rsidP="001411D7">
      <w:pPr>
        <w:pStyle w:val="Pull-outHeading"/>
        <w:keepLines/>
      </w:pPr>
      <w:r>
        <w:t>Guidelines relating to providing</w:t>
      </w:r>
      <w:r w:rsidRPr="00137F84">
        <w:t xml:space="preserve"> information </w:t>
      </w:r>
      <w:r>
        <w:t>to</w:t>
      </w:r>
      <w:r w:rsidRPr="00137F84">
        <w:t xml:space="preserve"> customers anticipating or facing payment difficulties</w:t>
      </w:r>
    </w:p>
    <w:p w14:paraId="4B8922FE" w14:textId="0E44A480" w:rsidR="00C43F4C" w:rsidRDefault="00C43F4C" w:rsidP="001411D7">
      <w:pPr>
        <w:pStyle w:val="Pull-out"/>
        <w:keepLines/>
      </w:pPr>
      <w:r>
        <w:t xml:space="preserve">Based on incidents considered by the commission and following several referrals by Energy and Water Ombudsman Victoria, we published guidance notes that are related to providing clearer information to customers about support under the framework. </w:t>
      </w:r>
    </w:p>
    <w:p w14:paraId="67104AEE" w14:textId="77777777" w:rsidR="00C43F4C" w:rsidRPr="00DE7E58" w:rsidRDefault="00C43F4C" w:rsidP="001411D7">
      <w:pPr>
        <w:pStyle w:val="Pull-outBullet1"/>
        <w:keepLines/>
        <w:numPr>
          <w:ilvl w:val="0"/>
          <w:numId w:val="0"/>
        </w:numPr>
        <w:ind w:left="198"/>
        <w:rPr>
          <w:b/>
          <w:i/>
        </w:rPr>
      </w:pPr>
      <w:r w:rsidRPr="00205B68">
        <w:rPr>
          <w:b/>
        </w:rPr>
        <w:t>Guidance note</w:t>
      </w:r>
      <w:r w:rsidRPr="00F861FE">
        <w:rPr>
          <w:b/>
        </w:rPr>
        <w:t xml:space="preserve"> 1 (2020): De-energisation (or disconnection) of premises (small customers</w:t>
      </w:r>
      <w:r w:rsidRPr="00DE7E58">
        <w:rPr>
          <w:i/>
        </w:rPr>
        <w:t>)</w:t>
      </w:r>
      <w:r w:rsidRPr="00DE7E58">
        <w:rPr>
          <w:rStyle w:val="FootnoteReference"/>
          <w:i/>
        </w:rPr>
        <w:footnoteReference w:id="44"/>
      </w:r>
    </w:p>
    <w:p w14:paraId="7717726F" w14:textId="613F4DD6" w:rsidR="00C43F4C" w:rsidRDefault="00C43F4C" w:rsidP="001411D7">
      <w:pPr>
        <w:pStyle w:val="Pull-out2"/>
        <w:keepLines/>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pPr>
      <w:r>
        <w:t xml:space="preserve">The guidance note clarifies that information on reminder notices must not only provide </w:t>
      </w:r>
      <w:r w:rsidRPr="00B5673B">
        <w:t xml:space="preserve">a retailer’s contact </w:t>
      </w:r>
      <w:r w:rsidR="00DB125B" w:rsidRPr="00B5673B">
        <w:t>number</w:t>
      </w:r>
      <w:r w:rsidR="00DB125B">
        <w:t xml:space="preserve"> but</w:t>
      </w:r>
      <w:r>
        <w:t xml:space="preserve"> </w:t>
      </w:r>
      <w:r w:rsidR="00A15EA5">
        <w:t xml:space="preserve">must </w:t>
      </w:r>
      <w:r>
        <w:t xml:space="preserve">also provide </w:t>
      </w:r>
      <w:r w:rsidRPr="00B5673B">
        <w:t>details of how a customer can contact the retailer specifically ‘in connection with a complaint or dispute’.</w:t>
      </w:r>
    </w:p>
    <w:p w14:paraId="598E14B1" w14:textId="7A678961" w:rsidR="00C43F4C" w:rsidRPr="00DE7E58" w:rsidRDefault="00C43F4C" w:rsidP="007350AA">
      <w:pPr>
        <w:pStyle w:val="Pull-outBullet1"/>
        <w:keepNext/>
        <w:keepLines/>
        <w:numPr>
          <w:ilvl w:val="0"/>
          <w:numId w:val="0"/>
        </w:numPr>
        <w:ind w:left="198"/>
        <w:rPr>
          <w:b/>
          <w:i/>
        </w:rPr>
      </w:pPr>
      <w:r w:rsidRPr="00205B68">
        <w:rPr>
          <w:b/>
        </w:rPr>
        <w:lastRenderedPageBreak/>
        <w:t>Guidance note 2 (2020)</w:t>
      </w:r>
      <w:r>
        <w:rPr>
          <w:b/>
        </w:rPr>
        <w:t xml:space="preserve"> (updated and subsequently republished as Guideline 3 (2022)</w:t>
      </w:r>
      <w:r w:rsidRPr="00205B68">
        <w:rPr>
          <w:b/>
        </w:rPr>
        <w:t xml:space="preserve">: Clear and unambiguous information or advice for residential customers anticipating or </w:t>
      </w:r>
      <w:r w:rsidRPr="00AE2311">
        <w:rPr>
          <w:b/>
        </w:rPr>
        <w:t>facing payment difficulties</w:t>
      </w:r>
      <w:r w:rsidR="007F081D">
        <w:rPr>
          <w:b/>
        </w:rPr>
        <w:t>)</w:t>
      </w:r>
      <w:r w:rsidRPr="00DE7E58">
        <w:rPr>
          <w:rStyle w:val="FootnoteReference"/>
          <w:i/>
        </w:rPr>
        <w:footnoteReference w:id="45"/>
      </w:r>
    </w:p>
    <w:p w14:paraId="3ABCBA9E" w14:textId="710E47FE" w:rsidR="00C43F4C" w:rsidRPr="00773F73" w:rsidRDefault="00C43F4C" w:rsidP="007350AA">
      <w:pPr>
        <w:pStyle w:val="Pull-out2"/>
        <w:keepNext/>
        <w:keepLines/>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accent3" w:themeFillTint="66"/>
      </w:pPr>
      <w:r>
        <w:t xml:space="preserve">The guidance note provides guidance on the obligation to provide clear and unambiguous information to customers: </w:t>
      </w:r>
    </w:p>
    <w:p w14:paraId="755023F3" w14:textId="77777777" w:rsidR="00C43F4C" w:rsidRDefault="00C43F4C" w:rsidP="007350AA">
      <w:pPr>
        <w:pStyle w:val="Pull-outBullet1"/>
        <w:keepNext/>
        <w:keepLines/>
      </w:pPr>
      <w:r>
        <w:t>information about payment assistance must be provided at multiple stages in the disconnection process</w:t>
      </w:r>
    </w:p>
    <w:p w14:paraId="1E801857" w14:textId="53847B41" w:rsidR="00C43F4C" w:rsidRDefault="00C43F4C" w:rsidP="007350AA">
      <w:pPr>
        <w:pStyle w:val="Pull-outBullet1"/>
        <w:keepNext/>
        <w:keepLines/>
      </w:pPr>
      <w:r>
        <w:t xml:space="preserve">there are several considerations in formulating information that is ‘clear and unambiguous’ including that the information is accurate and not misleading, is expressed in plain language, </w:t>
      </w:r>
      <w:r w:rsidR="008B3285">
        <w:t>is</w:t>
      </w:r>
      <w:r>
        <w:t xml:space="preserve"> legible and presented clearly and appropriately</w:t>
      </w:r>
    </w:p>
    <w:p w14:paraId="33328D36" w14:textId="77777777" w:rsidR="00C43F4C" w:rsidRDefault="00C43F4C" w:rsidP="007350AA">
      <w:pPr>
        <w:pStyle w:val="Pull-outBullet1"/>
        <w:keepNext/>
        <w:keepLines/>
      </w:pPr>
      <w:r>
        <w:t>information provided to customers should frame assistance as an ‘entitlement’ or ‘right’ and not something the retailer provides as a matter of discretion, and</w:t>
      </w:r>
    </w:p>
    <w:p w14:paraId="35600EA9" w14:textId="77777777" w:rsidR="00C43F4C" w:rsidRDefault="00C43F4C" w:rsidP="007350AA">
      <w:pPr>
        <w:pStyle w:val="Pull-outBullet1"/>
        <w:keepNext/>
        <w:keepLines/>
      </w:pPr>
      <w:r>
        <w:t>retailers have discretion on the level of detail to be presented at certain points, provided that both the objective if Part 3 and the mandatory requirements of the code are met.</w:t>
      </w:r>
    </w:p>
    <w:p w14:paraId="411F2C28" w14:textId="278FDB93" w:rsidR="00C43F4C" w:rsidRDefault="00C43F4C" w:rsidP="00C43F4C">
      <w:pPr>
        <w:pStyle w:val="Heading3"/>
      </w:pPr>
      <w:r>
        <w:t>Customers entering tailored assistance</w:t>
      </w:r>
    </w:p>
    <w:p w14:paraId="532A80B9" w14:textId="71CF8DD0" w:rsidR="00502E6A" w:rsidRDefault="004B7E16" w:rsidP="00502E6A">
      <w:r>
        <w:t>S</w:t>
      </w:r>
      <w:r w:rsidRPr="00E7387B">
        <w:t>takeholders consider that the formal obligation for retailers to support customers can and has helped some customers access assistance.</w:t>
      </w:r>
      <w:r w:rsidRPr="00E7387B">
        <w:rPr>
          <w:rStyle w:val="FootnoteReference"/>
        </w:rPr>
        <w:footnoteReference w:id="46"/>
      </w:r>
      <w:r>
        <w:t xml:space="preserve"> </w:t>
      </w:r>
      <w:r w:rsidR="00502E6A" w:rsidRPr="009E3526">
        <w:t xml:space="preserve">In June 2017, 32,664 energy customers </w:t>
      </w:r>
      <w:r>
        <w:t xml:space="preserve">were </w:t>
      </w:r>
      <w:r w:rsidR="00502E6A" w:rsidRPr="009E3526">
        <w:t>in retailer</w:t>
      </w:r>
      <w:r>
        <w:t>s’ previous</w:t>
      </w:r>
      <w:r w:rsidR="00502E6A" w:rsidRPr="009E3526">
        <w:t xml:space="preserve"> hardship programs. </w:t>
      </w:r>
      <w:r>
        <w:t>I</w:t>
      </w:r>
      <w:r w:rsidR="00502E6A">
        <w:t xml:space="preserve">n December </w:t>
      </w:r>
      <w:r w:rsidR="00502E6A" w:rsidRPr="009E3526">
        <w:t>2021, there were 6</w:t>
      </w:r>
      <w:r w:rsidR="00502E6A">
        <w:t>1</w:t>
      </w:r>
      <w:r w:rsidR="00502E6A" w:rsidRPr="009E3526">
        <w:t>,</w:t>
      </w:r>
      <w:r w:rsidR="001E607B">
        <w:t>560</w:t>
      </w:r>
      <w:r w:rsidR="00502E6A">
        <w:t xml:space="preserve"> </w:t>
      </w:r>
      <w:r w:rsidR="00502E6A" w:rsidRPr="009E3526">
        <w:t xml:space="preserve">electricity and </w:t>
      </w:r>
      <w:r w:rsidR="00502E6A">
        <w:t>48</w:t>
      </w:r>
      <w:r w:rsidR="00502E6A" w:rsidRPr="009E3526">
        <w:t>,</w:t>
      </w:r>
      <w:r w:rsidR="00502E6A">
        <w:t xml:space="preserve">827 </w:t>
      </w:r>
      <w:r w:rsidR="00502E6A" w:rsidRPr="009E3526">
        <w:t>gas customers receiving tailored assistance</w:t>
      </w:r>
      <w:r w:rsidR="00502E6A">
        <w:t xml:space="preserve"> </w:t>
      </w:r>
      <w:r>
        <w:t xml:space="preserve">under the framework </w:t>
      </w:r>
      <w:r w:rsidR="00502E6A">
        <w:t>(</w:t>
      </w:r>
      <w:r w:rsidR="00502E6A">
        <w:fldChar w:fldCharType="begin"/>
      </w:r>
      <w:r w:rsidR="00502E6A">
        <w:instrText xml:space="preserve"> REF _Ref86913033 \h </w:instrText>
      </w:r>
      <w:r w:rsidR="00502E6A">
        <w:fldChar w:fldCharType="separate"/>
      </w:r>
      <w:r w:rsidR="00357DD7">
        <w:t xml:space="preserve">Figure </w:t>
      </w:r>
      <w:r w:rsidR="00357DD7">
        <w:rPr>
          <w:noProof/>
        </w:rPr>
        <w:t>11</w:t>
      </w:r>
      <w:r w:rsidR="00502E6A">
        <w:fldChar w:fldCharType="end"/>
      </w:r>
      <w:r w:rsidR="00502E6A">
        <w:t>)</w:t>
      </w:r>
      <w:r w:rsidR="00502E6A" w:rsidRPr="009E3526">
        <w:t>.</w:t>
      </w:r>
    </w:p>
    <w:p w14:paraId="627E69CF" w14:textId="3AB5D058" w:rsidR="00F51835" w:rsidRDefault="00502E6A" w:rsidP="00390A3F">
      <w:pPr>
        <w:pStyle w:val="Figureheading"/>
        <w:keepNext/>
      </w:pPr>
      <w:bookmarkStart w:id="101" w:name="_Ref86913033"/>
      <w:bookmarkStart w:id="102" w:name="_Ref86933829"/>
      <w:bookmarkStart w:id="103" w:name="_Toc103943781"/>
      <w:bookmarkStart w:id="104" w:name="_Toc100134480"/>
      <w:bookmarkStart w:id="105" w:name="_Toc100137042"/>
      <w:r>
        <w:lastRenderedPageBreak/>
        <w:t xml:space="preserve">Figure </w:t>
      </w:r>
      <w:r>
        <w:fldChar w:fldCharType="begin"/>
      </w:r>
      <w:r>
        <w:instrText>SEQ Figure \* ARABIC</w:instrText>
      </w:r>
      <w:r>
        <w:fldChar w:fldCharType="separate"/>
      </w:r>
      <w:r w:rsidR="00357DD7">
        <w:rPr>
          <w:noProof/>
        </w:rPr>
        <w:t>11</w:t>
      </w:r>
      <w:r>
        <w:fldChar w:fldCharType="end"/>
      </w:r>
      <w:bookmarkEnd w:id="101"/>
      <w:r>
        <w:tab/>
        <w:t xml:space="preserve">Residential customers receiving </w:t>
      </w:r>
      <w:r w:rsidRPr="00527339">
        <w:t>assistance</w:t>
      </w:r>
      <w:bookmarkEnd w:id="102"/>
      <w:r w:rsidR="003E7934">
        <w:t>,</w:t>
      </w:r>
      <w:r>
        <w:t xml:space="preserve"> 2017</w:t>
      </w:r>
      <w:bookmarkEnd w:id="103"/>
      <w:r w:rsidR="003E7934">
        <w:t xml:space="preserve"> to 2021</w:t>
      </w:r>
    </w:p>
    <w:p w14:paraId="20990B7B" w14:textId="27125FF6" w:rsidR="00502E6A" w:rsidRDefault="00502E6A" w:rsidP="00F10D84">
      <w:pPr>
        <w:spacing w:after="360"/>
      </w:pPr>
      <w:r w:rsidRPr="00682236">
        <w:rPr>
          <w:noProof/>
        </w:rPr>
        <w:drawing>
          <wp:inline distT="0" distB="0" distL="0" distR="0" wp14:anchorId="2A5A3218" wp14:editId="0E08EB98">
            <wp:extent cx="6120000" cy="2517087"/>
            <wp:effectExtent l="0" t="0" r="0" b="0"/>
            <wp:docPr id="75" name="Picture 75" descr="Bar chart of the number of residential energy customers receiving assistance since 2017. There has been a general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Bar chart of the number of residential energy customers receiving assistance since 2017. There has been a general increas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000" cy="2517087"/>
                    </a:xfrm>
                    <a:prstGeom prst="rect">
                      <a:avLst/>
                    </a:prstGeom>
                    <a:noFill/>
                    <a:ln>
                      <a:noFill/>
                    </a:ln>
                  </pic:spPr>
                </pic:pic>
              </a:graphicData>
            </a:graphic>
          </wp:inline>
        </w:drawing>
      </w:r>
      <w:bookmarkEnd w:id="104"/>
      <w:bookmarkEnd w:id="105"/>
    </w:p>
    <w:p w14:paraId="5CEE6C5B" w14:textId="380E1E90" w:rsidR="00E7387B" w:rsidRDefault="00C43F4C" w:rsidP="00C43F4C">
      <w:r>
        <w:t xml:space="preserve">Our analysis </w:t>
      </w:r>
      <w:r w:rsidR="004B7E16">
        <w:t xml:space="preserve">also </w:t>
      </w:r>
      <w:r>
        <w:t xml:space="preserve">shows that </w:t>
      </w:r>
      <w:r w:rsidR="004B7E16">
        <w:t xml:space="preserve">under the framework, </w:t>
      </w:r>
      <w:r>
        <w:t>h</w:t>
      </w:r>
      <w:r w:rsidRPr="00CB4CDC">
        <w:t xml:space="preserve">alf of </w:t>
      </w:r>
      <w:r>
        <w:t xml:space="preserve">the </w:t>
      </w:r>
      <w:r w:rsidRPr="00CB4CDC">
        <w:t xml:space="preserve">customers entering tailored assistance who can afford </w:t>
      </w:r>
      <w:r>
        <w:t xml:space="preserve">their </w:t>
      </w:r>
      <w:r w:rsidRPr="00CB4CDC">
        <w:t xml:space="preserve">ongoing </w:t>
      </w:r>
      <w:r>
        <w:t xml:space="preserve">energy </w:t>
      </w:r>
      <w:r w:rsidRPr="00CB4CDC">
        <w:t>us</w:t>
      </w:r>
      <w:r>
        <w:t>e,</w:t>
      </w:r>
      <w:r w:rsidRPr="00CB4CDC">
        <w:t xml:space="preserve"> </w:t>
      </w:r>
      <w:r w:rsidR="00B918BA">
        <w:t>commence th</w:t>
      </w:r>
      <w:r w:rsidR="00522AAF">
        <w:t xml:space="preserve">at assistance within 30 days of their energy </w:t>
      </w:r>
      <w:r w:rsidR="003C0340">
        <w:t xml:space="preserve">bill </w:t>
      </w:r>
      <w:r w:rsidR="00522AAF">
        <w:t xml:space="preserve">being </w:t>
      </w:r>
      <w:r w:rsidRPr="00CB4CDC">
        <w:t>overdue</w:t>
      </w:r>
      <w:r>
        <w:t xml:space="preserve">. </w:t>
      </w:r>
    </w:p>
    <w:p w14:paraId="35103CA9" w14:textId="2B98FA0C" w:rsidR="00C43F4C" w:rsidRPr="00E7387B" w:rsidRDefault="00E7387B" w:rsidP="00C43F4C">
      <w:r>
        <w:t>However, a</w:t>
      </w:r>
      <w:r w:rsidR="00C43F4C">
        <w:t>pproximately</w:t>
      </w:r>
      <w:r w:rsidR="00C43F4C" w:rsidRPr="00F73450">
        <w:t xml:space="preserve"> one third of customers who cannot afford their ongoing use </w:t>
      </w:r>
      <w:r w:rsidR="00C43F4C">
        <w:t>commenced assistance</w:t>
      </w:r>
      <w:r w:rsidR="00C43F4C" w:rsidRPr="00F73450">
        <w:t xml:space="preserve"> 180 day</w:t>
      </w:r>
      <w:r w:rsidR="00C43F4C">
        <w:t>s</w:t>
      </w:r>
      <w:r w:rsidR="00C43F4C" w:rsidRPr="00F73450">
        <w:t xml:space="preserve"> or more after their bill became overdue.</w:t>
      </w:r>
      <w:r w:rsidR="00C43F4C" w:rsidRPr="00F73450">
        <w:rPr>
          <w:rStyle w:val="FootnoteReference"/>
        </w:rPr>
        <w:footnoteReference w:id="47"/>
      </w:r>
      <w:r w:rsidR="00C43F4C" w:rsidRPr="00F73450">
        <w:t xml:space="preserve"> We </w:t>
      </w:r>
      <w:r w:rsidR="00C43F4C">
        <w:t>also</w:t>
      </w:r>
      <w:r w:rsidR="00C43F4C" w:rsidRPr="00F73450">
        <w:t xml:space="preserve"> found that the timing of when customers begin </w:t>
      </w:r>
      <w:r w:rsidR="00184681">
        <w:t xml:space="preserve">receiving </w:t>
      </w:r>
      <w:r w:rsidR="00C43F4C" w:rsidRPr="00F73450">
        <w:t xml:space="preserve">assistance varies significantly by retailer. For example, the proportion of a retailer’s customers who commence tailored assistance (and can pay their on-going usage) </w:t>
      </w:r>
      <w:r w:rsidR="00C43F4C">
        <w:t xml:space="preserve">within less than 30 </w:t>
      </w:r>
      <w:r w:rsidR="00C43F4C" w:rsidRPr="00F73450">
        <w:t xml:space="preserve">days of their bill being overdue ranges from </w:t>
      </w:r>
      <w:r w:rsidR="00C43F4C">
        <w:t>15</w:t>
      </w:r>
      <w:r w:rsidR="00C43F4C" w:rsidRPr="00F73450">
        <w:t xml:space="preserve"> to</w:t>
      </w:r>
      <w:r w:rsidR="00C43F4C">
        <w:t xml:space="preserve"> 84 </w:t>
      </w:r>
      <w:r w:rsidR="00C43F4C" w:rsidRPr="00F73450">
        <w:t xml:space="preserve">per cent across all </w:t>
      </w:r>
      <w:r w:rsidR="00C43F4C">
        <w:t xml:space="preserve">medium and large sized </w:t>
      </w:r>
      <w:r w:rsidR="00C43F4C" w:rsidRPr="00F73450">
        <w:t>retailers (</w:t>
      </w:r>
      <w:r w:rsidR="00C43F4C" w:rsidRPr="00F73450">
        <w:fldChar w:fldCharType="begin"/>
      </w:r>
      <w:r w:rsidR="00C43F4C" w:rsidRPr="00F73450">
        <w:instrText xml:space="preserve"> REF _Ref99998106 \h </w:instrText>
      </w:r>
      <w:r w:rsidR="00C43F4C">
        <w:instrText xml:space="preserve"> \* MERGEFORMAT </w:instrText>
      </w:r>
      <w:r w:rsidR="00C43F4C" w:rsidRPr="00F73450">
        <w:fldChar w:fldCharType="separate"/>
      </w:r>
      <w:r w:rsidR="00357DD7">
        <w:t xml:space="preserve">Figure </w:t>
      </w:r>
      <w:r w:rsidR="00357DD7">
        <w:rPr>
          <w:noProof/>
        </w:rPr>
        <w:t>12</w:t>
      </w:r>
      <w:r w:rsidR="00C43F4C" w:rsidRPr="00F73450">
        <w:fldChar w:fldCharType="end"/>
      </w:r>
      <w:r w:rsidR="00C43F4C" w:rsidRPr="00F73450">
        <w:t>).</w:t>
      </w:r>
      <w:r w:rsidR="00C43F4C">
        <w:t xml:space="preserve"> This could indicate differences in practices between retailers when they first engage or interact with a customer experiencing payment difficulty.</w:t>
      </w:r>
    </w:p>
    <w:p w14:paraId="4AF3ED52" w14:textId="2A9736CC" w:rsidR="00C43F4C" w:rsidRDefault="00C43F4C" w:rsidP="00C95756">
      <w:pPr>
        <w:pStyle w:val="Figure-Table-BoxHeading"/>
        <w:keepNext/>
        <w:keepLines/>
        <w:numPr>
          <w:ilvl w:val="0"/>
          <w:numId w:val="0"/>
        </w:numPr>
      </w:pPr>
      <w:bookmarkStart w:id="106" w:name="_Ref99998106"/>
      <w:bookmarkStart w:id="107" w:name="_Toc102095469"/>
      <w:bookmarkStart w:id="108" w:name="_Toc100135079"/>
      <w:bookmarkStart w:id="109" w:name="_Toc100098147"/>
      <w:bookmarkStart w:id="110" w:name="_Toc100145076"/>
      <w:bookmarkStart w:id="111" w:name="_Toc103943782"/>
      <w:r>
        <w:lastRenderedPageBreak/>
        <w:t xml:space="preserve">Figure </w:t>
      </w:r>
      <w:r>
        <w:fldChar w:fldCharType="begin"/>
      </w:r>
      <w:r>
        <w:instrText>SEQ Figure \* ARABIC</w:instrText>
      </w:r>
      <w:r>
        <w:fldChar w:fldCharType="separate"/>
      </w:r>
      <w:r w:rsidR="00357DD7">
        <w:rPr>
          <w:noProof/>
        </w:rPr>
        <w:t>12</w:t>
      </w:r>
      <w:r>
        <w:fldChar w:fldCharType="end"/>
      </w:r>
      <w:bookmarkEnd w:id="106"/>
      <w:r>
        <w:tab/>
      </w:r>
      <w:r w:rsidR="00201709" w:rsidRPr="00201709">
        <w:t xml:space="preserve">Proportion of electricity customers (who can pay for their ongoing </w:t>
      </w:r>
      <w:r w:rsidR="00D814D4">
        <w:t xml:space="preserve">energy </w:t>
      </w:r>
      <w:r w:rsidR="00201709" w:rsidRPr="00201709">
        <w:t>use) entering tailored assistance between 0-30 days of bill being overdue in 2020–21, by retailer, de-</w:t>
      </w:r>
      <w:bookmarkEnd w:id="107"/>
      <w:bookmarkEnd w:id="108"/>
      <w:bookmarkEnd w:id="109"/>
      <w:bookmarkEnd w:id="110"/>
      <w:bookmarkEnd w:id="111"/>
      <w:r w:rsidR="00201709" w:rsidRPr="00201709">
        <w:t>identified</w:t>
      </w:r>
    </w:p>
    <w:p w14:paraId="0AE43909" w14:textId="079EA6E4" w:rsidR="00C43F4C" w:rsidRDefault="00C43F4C" w:rsidP="00C43F4C">
      <w:r w:rsidRPr="00C77279">
        <w:rPr>
          <w:noProof/>
        </w:rPr>
        <w:drawing>
          <wp:inline distT="0" distB="0" distL="0" distR="0" wp14:anchorId="10E06D84" wp14:editId="1790C73D">
            <wp:extent cx="6120130" cy="2519045"/>
            <wp:effectExtent l="0" t="0" r="0" b="0"/>
            <wp:docPr id="80" name="Picture 80" descr="Bar chart showing the proportion of electricity customers entering tailored assistance between 0-30 days of the bill being overdue in 2020-21. The chart is for customers who can pay for their ongoing use and is sorted by large, medium, and small retailers. There is great variance across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Bar chart showing the proportion of electricity customers entering tailored assistance between 0-30 days of the bill being overdue in 2020-21. The chart is for customers who can pay for their ongoing use and is sorted by large, medium, and small retailers. There is great variance across the char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2519045"/>
                    </a:xfrm>
                    <a:prstGeom prst="rect">
                      <a:avLst/>
                    </a:prstGeom>
                    <a:noFill/>
                    <a:ln>
                      <a:noFill/>
                    </a:ln>
                  </pic:spPr>
                </pic:pic>
              </a:graphicData>
            </a:graphic>
          </wp:inline>
        </w:drawing>
      </w:r>
    </w:p>
    <w:p w14:paraId="50E188AB" w14:textId="3598330B" w:rsidR="00F72789" w:rsidRDefault="0016755D" w:rsidP="00F72789">
      <w:pPr>
        <w:pStyle w:val="Caption"/>
      </w:pPr>
      <w:r>
        <w:t xml:space="preserve">Source: </w:t>
      </w:r>
      <w:r w:rsidR="00C33886">
        <w:t xml:space="preserve">Voluntary data request to retailers to inform the review. </w:t>
      </w:r>
      <w:r w:rsidR="00F72789" w:rsidRPr="00F72789">
        <w:t>Note: Some small retailers are not shown due to the retailer either not having tailored assistance customers, or no applicable data relevant to this metric for this time-period.</w:t>
      </w:r>
      <w:r w:rsidR="00C33886">
        <w:t xml:space="preserve"> </w:t>
      </w:r>
    </w:p>
    <w:p w14:paraId="706CC45D" w14:textId="77777777" w:rsidR="00C43F4C" w:rsidRPr="009949D0" w:rsidRDefault="00C43F4C" w:rsidP="00C43F4C">
      <w:pPr>
        <w:pStyle w:val="Heading4"/>
        <w:rPr>
          <w:highlight w:val="yellow"/>
        </w:rPr>
      </w:pPr>
      <w:r w:rsidRPr="00531422">
        <w:t xml:space="preserve">Levels of arrears on entry to tailored assistance varies </w:t>
      </w:r>
    </w:p>
    <w:p w14:paraId="17B62989" w14:textId="6C9AA8CC" w:rsidR="00C43F4C" w:rsidRPr="00810796" w:rsidRDefault="00C43F4C" w:rsidP="00C43F4C">
      <w:r w:rsidRPr="00810796">
        <w:t xml:space="preserve">We note that since 2019, arrears have remained </w:t>
      </w:r>
      <w:r w:rsidR="00454FE6">
        <w:t>relatively</w:t>
      </w:r>
      <w:r w:rsidRPr="00810796">
        <w:t xml:space="preserve"> stable for customers who can pay for ongoing usage</w:t>
      </w:r>
      <w:r w:rsidR="00626FB7">
        <w:t>.</w:t>
      </w:r>
      <w:r>
        <w:t xml:space="preserve"> </w:t>
      </w:r>
      <w:r w:rsidR="00626FB7">
        <w:t>I</w:t>
      </w:r>
      <w:r>
        <w:t>n 2020-21</w:t>
      </w:r>
      <w:r w:rsidR="00626FB7">
        <w:t xml:space="preserve">, the average level of </w:t>
      </w:r>
      <w:r w:rsidR="0015558C">
        <w:t>arrears</w:t>
      </w:r>
      <w:r w:rsidR="00626FB7">
        <w:t xml:space="preserve"> for such customers </w:t>
      </w:r>
      <w:r w:rsidR="002D4F01">
        <w:t xml:space="preserve">when commencing assistance </w:t>
      </w:r>
      <w:r w:rsidR="00626FB7">
        <w:t>was $916 (compared to $925 and $917</w:t>
      </w:r>
      <w:r w:rsidR="00C5624B">
        <w:t xml:space="preserve"> in the prior two years).</w:t>
      </w:r>
      <w:r w:rsidRPr="00810796">
        <w:t xml:space="preserve"> However, we also found that </w:t>
      </w:r>
      <w:r w:rsidR="0015558C">
        <w:t>arrears</w:t>
      </w:r>
      <w:r w:rsidR="00C5624B">
        <w:t xml:space="preserve"> levels have increased during this period for </w:t>
      </w:r>
      <w:r w:rsidRPr="00810796">
        <w:t>customers who cannot pay their ongoing usage</w:t>
      </w:r>
      <w:r w:rsidR="00833D6D">
        <w:t xml:space="preserve">, with the average </w:t>
      </w:r>
      <w:r w:rsidR="0015558C">
        <w:t>arrears</w:t>
      </w:r>
      <w:r w:rsidR="00833D6D">
        <w:t xml:space="preserve"> increasing by nearly $200 over three years (nearly 16 per cent), to </w:t>
      </w:r>
      <w:r w:rsidRPr="00810796">
        <w:t>$1,343 on average in 2020-21 (</w:t>
      </w:r>
      <w:r>
        <w:fldChar w:fldCharType="begin"/>
      </w:r>
      <w:r>
        <w:instrText xml:space="preserve"> REF _Ref102540643 \h </w:instrText>
      </w:r>
      <w:r>
        <w:fldChar w:fldCharType="separate"/>
      </w:r>
      <w:r w:rsidR="00357DD7" w:rsidRPr="00877921">
        <w:t xml:space="preserve">Figure </w:t>
      </w:r>
      <w:r w:rsidR="00357DD7">
        <w:rPr>
          <w:noProof/>
        </w:rPr>
        <w:t>13</w:t>
      </w:r>
      <w:r>
        <w:fldChar w:fldCharType="end"/>
      </w:r>
      <w:r w:rsidRPr="00810796">
        <w:t xml:space="preserve">). Furthermore, </w:t>
      </w:r>
      <w:r>
        <w:t>41-</w:t>
      </w:r>
      <w:r w:rsidR="00C61F20">
        <w:t>54</w:t>
      </w:r>
      <w:r>
        <w:t xml:space="preserve"> per cent</w:t>
      </w:r>
      <w:r w:rsidRPr="00810796">
        <w:t xml:space="preserve"> of </w:t>
      </w:r>
      <w:r>
        <w:t>electricity</w:t>
      </w:r>
      <w:r w:rsidRPr="00810796">
        <w:t xml:space="preserve"> customers commence </w:t>
      </w:r>
      <w:r>
        <w:t xml:space="preserve">tailored </w:t>
      </w:r>
      <w:r w:rsidRPr="00810796">
        <w:t>assistance more than 60 days after missing a bill payment.</w:t>
      </w:r>
      <w:r>
        <w:rPr>
          <w:rStyle w:val="FootnoteReference"/>
        </w:rPr>
        <w:footnoteReference w:id="48"/>
      </w:r>
    </w:p>
    <w:p w14:paraId="42642916" w14:textId="7DFD209E" w:rsidR="00C43F4C" w:rsidRPr="00877921" w:rsidRDefault="00C43F4C" w:rsidP="00C43F4C">
      <w:r w:rsidRPr="00810796">
        <w:t xml:space="preserve">While the average figures </w:t>
      </w:r>
      <w:r w:rsidR="00E5354F">
        <w:t xml:space="preserve">for customer </w:t>
      </w:r>
      <w:r w:rsidR="0015558C">
        <w:t>arrears</w:t>
      </w:r>
      <w:r w:rsidRPr="00810796">
        <w:t xml:space="preserve"> are high, we observed a large variation across retailers in the arrears of customer</w:t>
      </w:r>
      <w:r w:rsidR="005D5AC2">
        <w:t>s</w:t>
      </w:r>
      <w:r w:rsidRPr="00810796">
        <w:t xml:space="preserve"> commencing </w:t>
      </w:r>
      <w:r w:rsidR="009E7216">
        <w:t>tailored</w:t>
      </w:r>
      <w:r w:rsidRPr="00810796">
        <w:t xml:space="preserve"> assistance. </w:t>
      </w:r>
      <w:r>
        <w:t xml:space="preserve">For example, </w:t>
      </w:r>
      <w:r w:rsidR="00341556" w:rsidRPr="00341556">
        <w:t>between large and medium retailers</w:t>
      </w:r>
      <w:r w:rsidR="00E937A2">
        <w:t xml:space="preserve">, the average arrears of customers entering </w:t>
      </w:r>
      <w:r w:rsidR="009E7216">
        <w:t xml:space="preserve">tailored </w:t>
      </w:r>
      <w:r w:rsidR="00E937A2">
        <w:t xml:space="preserve">assistance and can pay for on-going usage ranged from </w:t>
      </w:r>
      <w:r w:rsidR="00341556" w:rsidRPr="00341556">
        <w:t xml:space="preserve">$507 </w:t>
      </w:r>
      <w:r w:rsidR="00E937A2">
        <w:t xml:space="preserve">to </w:t>
      </w:r>
      <w:r w:rsidR="00341556" w:rsidRPr="00341556">
        <w:t>$1,553</w:t>
      </w:r>
      <w:r w:rsidRPr="00810796">
        <w:t>.</w:t>
      </w:r>
      <w:r>
        <w:t xml:space="preserve"> We will be working with retailers during the next phase of this report to better understand the drivers of these difference. However, it appears that </w:t>
      </w:r>
      <w:r>
        <w:lastRenderedPageBreak/>
        <w:t>some retailers are more effective at intervening early with customers, which reduces stress on customers and improves the prospect of successful outcomes.</w:t>
      </w:r>
    </w:p>
    <w:p w14:paraId="1789134D" w14:textId="2BDE4740" w:rsidR="00C43F4C" w:rsidRPr="00877921" w:rsidRDefault="00C43F4C" w:rsidP="00A7502D">
      <w:pPr>
        <w:pStyle w:val="Figure-Table-BoxHeading"/>
        <w:keepNext/>
        <w:keepLines/>
        <w:numPr>
          <w:ilvl w:val="0"/>
          <w:numId w:val="0"/>
        </w:numPr>
      </w:pPr>
      <w:bookmarkStart w:id="112" w:name="_Ref102540643"/>
      <w:bookmarkStart w:id="113" w:name="_Ref102540634"/>
      <w:bookmarkStart w:id="114" w:name="_Toc103943783"/>
      <w:r w:rsidRPr="00877921">
        <w:t xml:space="preserve">Figure </w:t>
      </w:r>
      <w:r w:rsidRPr="00877921">
        <w:fldChar w:fldCharType="begin"/>
      </w:r>
      <w:r w:rsidRPr="00877921">
        <w:instrText>SEQ Figure \* ARABIC</w:instrText>
      </w:r>
      <w:r w:rsidRPr="00877921">
        <w:fldChar w:fldCharType="separate"/>
      </w:r>
      <w:r w:rsidR="00357DD7">
        <w:rPr>
          <w:noProof/>
        </w:rPr>
        <w:t>13</w:t>
      </w:r>
      <w:r w:rsidRPr="00877921">
        <w:fldChar w:fldCharType="end"/>
      </w:r>
      <w:bookmarkEnd w:id="112"/>
      <w:r w:rsidRPr="00877921">
        <w:tab/>
        <w:t xml:space="preserve">Average electricity </w:t>
      </w:r>
      <w:r w:rsidR="0015558C">
        <w:t>arrears</w:t>
      </w:r>
      <w:r w:rsidRPr="00877921">
        <w:t xml:space="preserve"> </w:t>
      </w:r>
      <w:r>
        <w:t xml:space="preserve">for customers </w:t>
      </w:r>
      <w:r w:rsidR="00B12341">
        <w:t>when</w:t>
      </w:r>
      <w:r w:rsidRPr="00877921">
        <w:t xml:space="preserve"> commencing tailored assistance</w:t>
      </w:r>
      <w:bookmarkEnd w:id="113"/>
      <w:bookmarkEnd w:id="114"/>
      <w:r w:rsidR="00A82B66">
        <w:t>, 2018-19 to 202</w:t>
      </w:r>
      <w:r w:rsidR="008703A8">
        <w:t>0-21</w:t>
      </w:r>
    </w:p>
    <w:p w14:paraId="4F0D299B" w14:textId="54751F65" w:rsidR="001B7980" w:rsidRDefault="00C43F4C" w:rsidP="00F10D84">
      <w:pPr>
        <w:spacing w:after="360"/>
      </w:pPr>
      <w:r w:rsidRPr="00B77796">
        <w:rPr>
          <w:noProof/>
        </w:rPr>
        <w:drawing>
          <wp:inline distT="0" distB="0" distL="0" distR="0" wp14:anchorId="0C7E6A44" wp14:editId="0DD75E84">
            <wp:extent cx="6120130" cy="1669415"/>
            <wp:effectExtent l="0" t="0" r="0" b="6985"/>
            <wp:docPr id="85" name="Picture 85" descr="Bar chart comparing the average electricity arrears when entering tailored assistance for customers who can for their ongoing usage with those who cannot. Customers who cannot pay for their ongoing usage have consistently higher arr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Bar chart comparing the average electricity arrears when entering tailored assistance for customers who can for their ongoing usage with those who cannot. Customers who cannot pay for their ongoing usage have consistently higher arrear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1669415"/>
                    </a:xfrm>
                    <a:prstGeom prst="rect">
                      <a:avLst/>
                    </a:prstGeom>
                    <a:noFill/>
                    <a:ln>
                      <a:noFill/>
                    </a:ln>
                  </pic:spPr>
                </pic:pic>
              </a:graphicData>
            </a:graphic>
          </wp:inline>
        </w:drawing>
      </w:r>
      <w:bookmarkStart w:id="115" w:name="_Ref102541332"/>
      <w:bookmarkStart w:id="116" w:name="_Ref102541324"/>
      <w:bookmarkStart w:id="117" w:name="_Toc103943784"/>
    </w:p>
    <w:p w14:paraId="686D0CC1" w14:textId="57098567" w:rsidR="00C43F4C" w:rsidRPr="00877921" w:rsidRDefault="00C43F4C" w:rsidP="00C95756">
      <w:pPr>
        <w:pStyle w:val="Figure-Table-BoxHeading"/>
        <w:keepNext/>
        <w:keepLines/>
        <w:numPr>
          <w:ilvl w:val="0"/>
          <w:numId w:val="0"/>
        </w:numPr>
      </w:pPr>
      <w:r w:rsidRPr="00877921">
        <w:t xml:space="preserve">Figure </w:t>
      </w:r>
      <w:r w:rsidRPr="00877921">
        <w:fldChar w:fldCharType="begin"/>
      </w:r>
      <w:r w:rsidRPr="00877921">
        <w:instrText>SEQ Figure \* ARABIC</w:instrText>
      </w:r>
      <w:r w:rsidRPr="00877921">
        <w:fldChar w:fldCharType="separate"/>
      </w:r>
      <w:r w:rsidR="00357DD7">
        <w:rPr>
          <w:noProof/>
        </w:rPr>
        <w:t>14</w:t>
      </w:r>
      <w:r w:rsidRPr="00877921">
        <w:fldChar w:fldCharType="end"/>
      </w:r>
      <w:bookmarkEnd w:id="115"/>
      <w:r w:rsidRPr="00877921">
        <w:tab/>
      </w:r>
      <w:r w:rsidR="008703A8" w:rsidRPr="00877921">
        <w:t xml:space="preserve">Average </w:t>
      </w:r>
      <w:r w:rsidR="008703A8">
        <w:t xml:space="preserve">electricity arrears for </w:t>
      </w:r>
      <w:r w:rsidR="008703A8" w:rsidRPr="00877921">
        <w:t xml:space="preserve">customers </w:t>
      </w:r>
      <w:r w:rsidR="008703A8">
        <w:t>(</w:t>
      </w:r>
      <w:r w:rsidR="008703A8" w:rsidRPr="00877921">
        <w:t xml:space="preserve">who can pay </w:t>
      </w:r>
      <w:r w:rsidR="00CE7A63">
        <w:t xml:space="preserve">for their </w:t>
      </w:r>
      <w:r w:rsidR="008703A8" w:rsidRPr="00877921">
        <w:t xml:space="preserve">on-going </w:t>
      </w:r>
      <w:r w:rsidR="00CE7A63">
        <w:t>energy use</w:t>
      </w:r>
      <w:r w:rsidR="008703A8">
        <w:t>)</w:t>
      </w:r>
      <w:r w:rsidR="008703A8" w:rsidRPr="00877921">
        <w:t xml:space="preserve"> commencing </w:t>
      </w:r>
      <w:r w:rsidR="008703A8">
        <w:t xml:space="preserve">tailored </w:t>
      </w:r>
      <w:r w:rsidR="008703A8" w:rsidRPr="00877921">
        <w:t>assistance in 2020-21, by retailer, de-</w:t>
      </w:r>
      <w:r w:rsidRPr="00877921" w:rsidDel="008703A8">
        <w:t>identified</w:t>
      </w:r>
      <w:bookmarkEnd w:id="116"/>
      <w:bookmarkEnd w:id="117"/>
    </w:p>
    <w:p w14:paraId="3A8F40AD" w14:textId="4C5DF89A" w:rsidR="00C43F4C" w:rsidRDefault="00C43F4C" w:rsidP="00C43F4C">
      <w:r w:rsidRPr="00E454B7">
        <w:rPr>
          <w:noProof/>
        </w:rPr>
        <w:drawing>
          <wp:inline distT="0" distB="0" distL="0" distR="0" wp14:anchorId="10F96D4F" wp14:editId="5C3B7F47">
            <wp:extent cx="6120130" cy="2376170"/>
            <wp:effectExtent l="0" t="0" r="0" b="5080"/>
            <wp:docPr id="91" name="Picture 91" descr="Bar chart showing the average electricity arrears for customers who can pay for their ongoing usage when commencing tailored assistance in 2020-21. The chart is sorted by large, medium, and small retailers. There is great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Bar chart showing the average electricity arrears for customers who can pay for their ongoing usage when commencing tailored assistance in 2020-21. The chart is sorted by large, medium, and small retailers. There is great variance in the outcome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2376170"/>
                    </a:xfrm>
                    <a:prstGeom prst="rect">
                      <a:avLst/>
                    </a:prstGeom>
                    <a:noFill/>
                    <a:ln>
                      <a:noFill/>
                    </a:ln>
                  </pic:spPr>
                </pic:pic>
              </a:graphicData>
            </a:graphic>
          </wp:inline>
        </w:drawing>
      </w:r>
    </w:p>
    <w:p w14:paraId="76726018" w14:textId="63A11464" w:rsidR="002D57E3" w:rsidRDefault="0016755D" w:rsidP="001B7980">
      <w:pPr>
        <w:pStyle w:val="Caption"/>
      </w:pPr>
      <w:r>
        <w:t xml:space="preserve">Source: </w:t>
      </w:r>
      <w:r w:rsidR="00C33886">
        <w:t xml:space="preserve">Voluntary data request to retailers to inform the review. </w:t>
      </w:r>
      <w:r w:rsidR="002D57E3" w:rsidRPr="00F72789">
        <w:t>Note: Some small retailers are not shown due to the retailer either not having tailored assistance customers, or no applicable data relevant to this metric for this time-period.</w:t>
      </w:r>
    </w:p>
    <w:p w14:paraId="24B0F5C1" w14:textId="5DDBC2E4" w:rsidR="00C43F4C" w:rsidRPr="00F87C8D" w:rsidRDefault="00C43F4C" w:rsidP="00916C18">
      <w:pPr>
        <w:keepNext/>
        <w:keepLines/>
      </w:pPr>
      <w:r w:rsidRPr="00F87C8D">
        <w:lastRenderedPageBreak/>
        <w:t xml:space="preserve">At the end of June 2021, approximately 11 per cent of energy residential customers in </w:t>
      </w:r>
      <w:r w:rsidR="0015558C">
        <w:t>arrears</w:t>
      </w:r>
      <w:r w:rsidRPr="00F87C8D">
        <w:t xml:space="preserve"> to their retailers, were not receiving assistance.</w:t>
      </w:r>
      <w:r w:rsidRPr="00F87C8D">
        <w:rPr>
          <w:rStyle w:val="FootnoteReference"/>
        </w:rPr>
        <w:footnoteReference w:id="49"/>
      </w:r>
      <w:r w:rsidRPr="00F87C8D">
        <w:t xml:space="preserve"> Approximately 14</w:t>
      </w:r>
      <w:r>
        <w:t>4</w:t>
      </w:r>
      <w:r w:rsidRPr="00F87C8D">
        <w:t xml:space="preserve">,000 energy customers owed their retailer more than $300, which placed them at risk of being disconnected. Over 49,000 energy customers not receiving assistance had arrears of over $1,000. We also observed significant variation between retailers </w:t>
      </w:r>
      <w:r>
        <w:t>in</w:t>
      </w:r>
      <w:r w:rsidRPr="00F87C8D">
        <w:t xml:space="preserve"> </w:t>
      </w:r>
      <w:r>
        <w:t xml:space="preserve">the proportion of their </w:t>
      </w:r>
      <w:r w:rsidRPr="00F87C8D">
        <w:t xml:space="preserve">customers not receiving assistance with arrears above $1,000, as detailed in </w:t>
      </w:r>
      <w:r w:rsidR="00A8666D">
        <w:fldChar w:fldCharType="begin"/>
      </w:r>
      <w:r w:rsidR="00A8666D">
        <w:instrText xml:space="preserve"> REF _Ref103665129 \h </w:instrText>
      </w:r>
      <w:r w:rsidR="00A8666D">
        <w:fldChar w:fldCharType="separate"/>
      </w:r>
      <w:r w:rsidR="00357DD7">
        <w:t xml:space="preserve">Figure </w:t>
      </w:r>
      <w:r w:rsidR="00357DD7">
        <w:rPr>
          <w:noProof/>
        </w:rPr>
        <w:t>15</w:t>
      </w:r>
      <w:r w:rsidR="00A8666D">
        <w:fldChar w:fldCharType="end"/>
      </w:r>
      <w:r w:rsidRPr="00F87C8D">
        <w:t xml:space="preserve">. </w:t>
      </w:r>
    </w:p>
    <w:p w14:paraId="33D0BCD7" w14:textId="77777777" w:rsidR="00C43F4C" w:rsidRDefault="00C43F4C" w:rsidP="00C43F4C">
      <w:r>
        <w:t>The Energy and Water Ombudsman of Victoria also found many customers experiencing vulnerability presenting to them with large arrears and no provision of assistance.</w:t>
      </w:r>
      <w:r>
        <w:rPr>
          <w:rStyle w:val="FootnoteReference"/>
        </w:rPr>
        <w:footnoteReference w:id="50"/>
      </w:r>
      <w:r>
        <w:t xml:space="preserve"> </w:t>
      </w:r>
    </w:p>
    <w:p w14:paraId="69E941C5" w14:textId="65A81D81" w:rsidR="00C43F4C" w:rsidRDefault="00C43F4C" w:rsidP="00C95756">
      <w:pPr>
        <w:pStyle w:val="Figure-Table-BoxHeading"/>
        <w:keepNext/>
        <w:keepLines/>
        <w:numPr>
          <w:ilvl w:val="0"/>
          <w:numId w:val="0"/>
        </w:numPr>
      </w:pPr>
      <w:bookmarkStart w:id="118" w:name="_Ref103665129"/>
      <w:bookmarkStart w:id="119" w:name="_Toc103943785"/>
      <w:r>
        <w:t xml:space="preserve">Figure </w:t>
      </w:r>
      <w:r>
        <w:fldChar w:fldCharType="begin"/>
      </w:r>
      <w:r>
        <w:instrText>SEQ Figure \* ARABIC</w:instrText>
      </w:r>
      <w:r>
        <w:fldChar w:fldCharType="separate"/>
      </w:r>
      <w:r w:rsidR="00357DD7">
        <w:rPr>
          <w:noProof/>
        </w:rPr>
        <w:t>15</w:t>
      </w:r>
      <w:r>
        <w:fldChar w:fldCharType="end"/>
      </w:r>
      <w:bookmarkEnd w:id="118"/>
      <w:r>
        <w:tab/>
      </w:r>
      <w:r w:rsidR="00F82D6C">
        <w:t>Number of c</w:t>
      </w:r>
      <w:r w:rsidRPr="00F84271">
        <w:t xml:space="preserve">ustomers </w:t>
      </w:r>
      <w:r w:rsidR="00F82D6C">
        <w:t xml:space="preserve">not receiving assistance who owe </w:t>
      </w:r>
      <w:r w:rsidRPr="00F84271">
        <w:t xml:space="preserve">more than $1,000 </w:t>
      </w:r>
      <w:r w:rsidR="00F82D6C">
        <w:t>to their retailer (</w:t>
      </w:r>
      <w:r w:rsidRPr="00F84271">
        <w:t>per 100 customers</w:t>
      </w:r>
      <w:bookmarkEnd w:id="119"/>
      <w:r w:rsidR="00F82D6C">
        <w:t>)</w:t>
      </w:r>
      <w:r w:rsidR="003A2394">
        <w:t xml:space="preserve"> by retailer, deidentified</w:t>
      </w:r>
      <w:r>
        <w:t xml:space="preserve"> </w:t>
      </w:r>
    </w:p>
    <w:p w14:paraId="348D0F37" w14:textId="07C7DCED" w:rsidR="00C43F4C" w:rsidRDefault="00C43F4C" w:rsidP="00C43F4C">
      <w:pPr>
        <w:keepNext/>
        <w:keepLines/>
        <w:rPr>
          <w:lang w:val="en-US"/>
        </w:rPr>
      </w:pPr>
      <w:r w:rsidRPr="000D3044">
        <w:rPr>
          <w:noProof/>
        </w:rPr>
        <w:drawing>
          <wp:inline distT="0" distB="0" distL="0" distR="0" wp14:anchorId="66168C81" wp14:editId="2D896AC2">
            <wp:extent cx="6120000" cy="2210703"/>
            <wp:effectExtent l="0" t="0" r="0" b="0"/>
            <wp:docPr id="111" name="Picture 111" descr="Bar chart showing customers owing more than one thousand dollars and not receiving assistance per 100 customers, sorted by large, medium, and small retailers. There is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Bar chart showing customers owing more than one thousand dollars and not receiving assistance per 100 customers, sorted by large, medium, and small retailers. There is variance in the outcome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000" cy="2210703"/>
                    </a:xfrm>
                    <a:prstGeom prst="rect">
                      <a:avLst/>
                    </a:prstGeom>
                    <a:noFill/>
                    <a:ln>
                      <a:noFill/>
                    </a:ln>
                  </pic:spPr>
                </pic:pic>
              </a:graphicData>
            </a:graphic>
          </wp:inline>
        </w:drawing>
      </w:r>
    </w:p>
    <w:p w14:paraId="6EE6CD6E" w14:textId="2C94CD9F" w:rsidR="002D57E3" w:rsidRPr="002D57E3" w:rsidRDefault="0016755D" w:rsidP="003D2C5D">
      <w:pPr>
        <w:pStyle w:val="Caption"/>
      </w:pPr>
      <w:r>
        <w:t xml:space="preserve">Source: </w:t>
      </w:r>
      <w:r w:rsidR="00C33886">
        <w:t xml:space="preserve">Voluntary data request to retailers to inform the review. </w:t>
      </w:r>
      <w:r w:rsidR="002D57E3" w:rsidRPr="00F72789">
        <w:t>Note: Some small retailers are not shown due to the retailer either not having tailored assistance customers, or no applicable data relevant to this metric for this time-period.</w:t>
      </w:r>
    </w:p>
    <w:p w14:paraId="228D72FF" w14:textId="77777777" w:rsidR="00C43F4C" w:rsidRDefault="00C43F4C" w:rsidP="00C43F4C">
      <w:r w:rsidRPr="00F87C8D">
        <w:t>The level of variation of arrears with different retailers indicates that there may be opportunities for improvement for the way some retailers support customers to manage their arrears.</w:t>
      </w:r>
    </w:p>
    <w:p w14:paraId="27815517" w14:textId="77777777" w:rsidR="00C43F4C" w:rsidRDefault="00C43F4C" w:rsidP="00916C18">
      <w:pPr>
        <w:pStyle w:val="Heading3"/>
      </w:pPr>
      <w:bookmarkStart w:id="120" w:name="_Toc99679839"/>
      <w:bookmarkStart w:id="121" w:name="_Toc98954245"/>
      <w:bookmarkEnd w:id="98"/>
      <w:r>
        <w:lastRenderedPageBreak/>
        <w:t>Retailer interactions with customers</w:t>
      </w:r>
      <w:bookmarkEnd w:id="120"/>
    </w:p>
    <w:bookmarkEnd w:id="121"/>
    <w:p w14:paraId="27AA0C87" w14:textId="77777777" w:rsidR="00C43F4C" w:rsidRDefault="00C43F4C" w:rsidP="00916C18">
      <w:pPr>
        <w:keepNext/>
        <w:keepLines/>
        <w:rPr>
          <w:highlight w:val="yellow"/>
        </w:rPr>
      </w:pPr>
      <w:r>
        <w:t>Once customers do contact their retailers, we have found that the quality of their interactions with retailer representatives varies, both in the customer’s experience of the interaction and the assistance outcomes of the interaction. During our review, stakeholders often commented that the quality of these interactions are crucial to customers’ engagement with retailers and receiving of appropriate assistance</w:t>
      </w:r>
      <w:r w:rsidRPr="00CC42CE">
        <w:t xml:space="preserve">. </w:t>
      </w:r>
    </w:p>
    <w:p w14:paraId="26ECCD97" w14:textId="3202FB24" w:rsidR="00CD7AEB" w:rsidRDefault="00C43F4C" w:rsidP="00E9034A">
      <w:r>
        <w:t xml:space="preserve">The call recordings study found that retail operators mostly demonstrated behaviours and conversational tone consistent with high levels of customer service. In most calls operators: </w:t>
      </w:r>
    </w:p>
    <w:p w14:paraId="0A0C952D" w14:textId="17BF8DCF" w:rsidR="00C43F4C" w:rsidRDefault="00C43F4C" w:rsidP="008E42FA">
      <w:pPr>
        <w:pStyle w:val="ListParagraph"/>
        <w:numPr>
          <w:ilvl w:val="0"/>
          <w:numId w:val="13"/>
        </w:numPr>
        <w:rPr>
          <w:rFonts w:eastAsiaTheme="minorEastAsia"/>
        </w:rPr>
      </w:pPr>
      <w:r>
        <w:t>were respectful of customers (98 per cent)</w:t>
      </w:r>
    </w:p>
    <w:p w14:paraId="1FC385A4" w14:textId="77777777" w:rsidR="00C43F4C" w:rsidRDefault="00C43F4C" w:rsidP="008E42FA">
      <w:pPr>
        <w:pStyle w:val="ListParagraph"/>
        <w:numPr>
          <w:ilvl w:val="0"/>
          <w:numId w:val="13"/>
        </w:numPr>
        <w:rPr>
          <w:rFonts w:eastAsiaTheme="minorEastAsia"/>
        </w:rPr>
      </w:pPr>
      <w:r>
        <w:t>listened to and acknowledged the customer (95 per cent)</w:t>
      </w:r>
    </w:p>
    <w:p w14:paraId="2AEA9F77" w14:textId="2AAFF101" w:rsidR="00C43F4C" w:rsidRDefault="00C43F4C" w:rsidP="008E42FA">
      <w:pPr>
        <w:pStyle w:val="ListParagraph"/>
        <w:numPr>
          <w:ilvl w:val="0"/>
          <w:numId w:val="13"/>
        </w:numPr>
        <w:rPr>
          <w:rFonts w:eastAsiaTheme="minorEastAsia"/>
        </w:rPr>
      </w:pPr>
      <w:r>
        <w:t>provided support to the customer (94 per cent)</w:t>
      </w:r>
    </w:p>
    <w:p w14:paraId="05F459FC" w14:textId="77777777" w:rsidR="00C43F4C" w:rsidRDefault="00C43F4C" w:rsidP="008E42FA">
      <w:pPr>
        <w:pStyle w:val="ListParagraph"/>
        <w:numPr>
          <w:ilvl w:val="0"/>
          <w:numId w:val="13"/>
        </w:numPr>
        <w:rPr>
          <w:rFonts w:eastAsiaTheme="minorEastAsia"/>
        </w:rPr>
      </w:pPr>
      <w:r>
        <w:t xml:space="preserve">asked relevant questions to better understand the customer’s situation (88 per cent) </w:t>
      </w:r>
    </w:p>
    <w:p w14:paraId="0A2CC7CB" w14:textId="77777777" w:rsidR="00C43F4C" w:rsidRDefault="00C43F4C" w:rsidP="008E42FA">
      <w:pPr>
        <w:pStyle w:val="ListParagraph"/>
        <w:numPr>
          <w:ilvl w:val="0"/>
          <w:numId w:val="13"/>
        </w:numPr>
        <w:rPr>
          <w:rFonts w:eastAsiaTheme="minorEastAsia"/>
        </w:rPr>
      </w:pPr>
      <w:r>
        <w:t xml:space="preserve">were empathetic in their communication (88 per cent) </w:t>
      </w:r>
    </w:p>
    <w:p w14:paraId="72F96B28" w14:textId="77777777" w:rsidR="00C43F4C" w:rsidRDefault="00C43F4C" w:rsidP="008E42FA">
      <w:pPr>
        <w:pStyle w:val="ListParagraph"/>
        <w:numPr>
          <w:ilvl w:val="0"/>
          <w:numId w:val="13"/>
        </w:numPr>
        <w:rPr>
          <w:rFonts w:eastAsiaTheme="minorEastAsia"/>
        </w:rPr>
      </w:pPr>
      <w:r>
        <w:t>used the customer’s name (83 per cent).</w:t>
      </w:r>
    </w:p>
    <w:p w14:paraId="6590CCC3" w14:textId="49794433" w:rsidR="00C43F4C" w:rsidRDefault="00C43F4C" w:rsidP="00C43F4C">
      <w:r>
        <w:t>Additionally, the Energy and Water Ombudsman of Victoria reported a 44 per cent decrease in credit-related complaints it had received since the framework started (comparison between 2016-17 and 2019-20)</w:t>
      </w:r>
      <w:r w:rsidR="00015925">
        <w:t>,</w:t>
      </w:r>
      <w:r>
        <w:rPr>
          <w:rStyle w:val="FootnoteReference"/>
        </w:rPr>
        <w:footnoteReference w:id="51"/>
      </w:r>
      <w:r w:rsidR="00015925">
        <w:t xml:space="preserve"> also noting that this could influence customer satisfaction:</w:t>
      </w:r>
    </w:p>
    <w:p w14:paraId="7F0C345F" w14:textId="79D44F04" w:rsidR="00C43F4C" w:rsidRDefault="00C43F4C" w:rsidP="00C43F4C">
      <w:pPr>
        <w:pStyle w:val="Quote"/>
      </w:pPr>
      <w:r w:rsidRPr="00D5769B">
        <w:t>The reduction in EWOV's complaints suggest that customers are satisfied with their engagement with retailers about their entitlements.</w:t>
      </w:r>
      <w:r>
        <w:rPr>
          <w:rStyle w:val="FootnoteReference"/>
        </w:rPr>
        <w:footnoteReference w:id="52"/>
      </w:r>
      <w:r w:rsidRPr="00D5769B">
        <w:t xml:space="preserve"> </w:t>
      </w:r>
    </w:p>
    <w:p w14:paraId="71CDF12D" w14:textId="77777777" w:rsidR="008020DD" w:rsidRPr="006C23B8" w:rsidRDefault="00C43F4C" w:rsidP="002D4F01">
      <w:r>
        <w:t>Negative behaviours were demonstrated in a very small proportion of calls, specifically offering solutions that did not consider the customer’s situation (2 per cent) or were obviously following a script (2 per cent).</w:t>
      </w:r>
      <w:r w:rsidRPr="00611C7A">
        <w:t xml:space="preserve"> </w:t>
      </w:r>
      <w:r w:rsidR="0025200C">
        <w:t>N</w:t>
      </w:r>
      <w:r w:rsidR="00DA7CB1">
        <w:t xml:space="preserve">egative </w:t>
      </w:r>
      <w:r w:rsidR="00263BE8">
        <w:t>experiences</w:t>
      </w:r>
      <w:r w:rsidR="00DA7CB1">
        <w:t xml:space="preserve"> </w:t>
      </w:r>
      <w:r w:rsidR="004E1CA4">
        <w:t xml:space="preserve">during customer calls for assistance appear to reduce the </w:t>
      </w:r>
      <w:r w:rsidR="004E1CA4" w:rsidRPr="006C23B8">
        <w:t xml:space="preserve">likelihood of a customer receiving assistance. </w:t>
      </w:r>
    </w:p>
    <w:p w14:paraId="79628724" w14:textId="4E0AA103" w:rsidR="007C1DDB" w:rsidRPr="006C23B8" w:rsidRDefault="00DA44FC" w:rsidP="006D2010">
      <w:pPr>
        <w:pStyle w:val="Quote"/>
      </w:pPr>
      <w:r w:rsidRPr="006C23B8">
        <w:t xml:space="preserve">[CALD households] try their best not to deal with the energy company, because they've been put off by the company, because they've been waiting for too long [on hold]… sometimes it's </w:t>
      </w:r>
      <w:r w:rsidRPr="006C23B8">
        <w:lastRenderedPageBreak/>
        <w:t>rude[ness] from the call centres. And no empathy, they don't have understanding what the consumer has been through when they try to explain. (Energy Outreach Worker 4)</w:t>
      </w:r>
      <w:r w:rsidRPr="006C23B8">
        <w:rPr>
          <w:rStyle w:val="FootnoteReference"/>
        </w:rPr>
        <w:footnoteReference w:id="53"/>
      </w:r>
    </w:p>
    <w:p w14:paraId="096EE3D2" w14:textId="489FD13F" w:rsidR="00AB06E4" w:rsidRPr="006C23B8" w:rsidRDefault="004E1CA4" w:rsidP="007C1DDB">
      <w:r w:rsidRPr="006C23B8">
        <w:t>We remain concerned of reported instances where customers cannot meaningfully contact a retailer for assistance for various reasons</w:t>
      </w:r>
      <w:r w:rsidR="009E2A93" w:rsidRPr="006C23B8">
        <w:t xml:space="preserve"> such as long call waiting time</w:t>
      </w:r>
      <w:r w:rsidR="000100A1" w:rsidRPr="006C23B8">
        <w:t>s or lack of interpreters</w:t>
      </w:r>
      <w:r w:rsidR="00065B25" w:rsidRPr="006C23B8">
        <w:t xml:space="preserve">. </w:t>
      </w:r>
      <w:r w:rsidR="002D4F01" w:rsidRPr="006C23B8">
        <w:t xml:space="preserve">In their submission to the review, Community Information and Support Victoria noted that waiting times to access retailer representatives or hardship teams make face-to-face or phone assistance challenging. </w:t>
      </w:r>
    </w:p>
    <w:p w14:paraId="1E49DDC2" w14:textId="47DDEBBE" w:rsidR="001D5912" w:rsidRPr="006C23B8" w:rsidRDefault="001D5912" w:rsidP="006D2010">
      <w:pPr>
        <w:pStyle w:val="Quote"/>
      </w:pPr>
      <w:r w:rsidRPr="006C23B8">
        <w:t>Waiting times to access retailers or hardship teams make face-to-face or phone assistance challenging for our agencies and Energy Mentors, as it eats into the time they don’t have</w:t>
      </w:r>
      <w:r w:rsidR="00B80BDC" w:rsidRPr="006C23B8">
        <w:t>.</w:t>
      </w:r>
      <w:r w:rsidR="00A671D5" w:rsidRPr="006C23B8">
        <w:rPr>
          <w:rStyle w:val="FootnoteReference"/>
        </w:rPr>
        <w:footnoteReference w:id="54"/>
      </w:r>
      <w:r w:rsidRPr="006C23B8">
        <w:t xml:space="preserve"> </w:t>
      </w:r>
    </w:p>
    <w:p w14:paraId="1479BB1E" w14:textId="3C6BAA3E" w:rsidR="002D4F01" w:rsidRPr="00A702B7" w:rsidRDefault="002D4F01" w:rsidP="002D4F01">
      <w:r w:rsidRPr="006C23B8">
        <w:t>They also noted that the lack of, or inconsistent use of interpreters, as well as the lack of</w:t>
      </w:r>
      <w:r w:rsidRPr="00A702B7">
        <w:t xml:space="preserve"> understanding and empathy regarding the reality of financial </w:t>
      </w:r>
      <w:r>
        <w:t>difficulty</w:t>
      </w:r>
      <w:r w:rsidRPr="00A702B7">
        <w:t xml:space="preserve"> for vulnerable people or family, creates extra challenges.</w:t>
      </w:r>
      <w:r w:rsidRPr="00A702B7">
        <w:rPr>
          <w:rStyle w:val="FootnoteReference"/>
        </w:rPr>
        <w:footnoteReference w:id="55"/>
      </w:r>
      <w:r>
        <w:t xml:space="preserve"> This was echoed by the Consumer Policy Research Centre:</w:t>
      </w:r>
    </w:p>
    <w:p w14:paraId="5888D5AA" w14:textId="69B0C784" w:rsidR="002D4F01" w:rsidRDefault="002D4F01" w:rsidP="004E1CA4">
      <w:pPr>
        <w:pStyle w:val="Quote"/>
      </w:pPr>
      <w:r>
        <w:t>Access to interpreting services is limited, with reports of most calls to some retailers’ interpreter lines going unanswered or not having a suitable interpreter available. Interpreters that are not experienced in energy issues and advocacy often cannot resolve complex customer issues or identify when retailer responses are unsatisfactory – especially when advocates are excluded from interpreted calls.</w:t>
      </w:r>
      <w:r>
        <w:rPr>
          <w:rStyle w:val="FootnoteReference"/>
        </w:rPr>
        <w:footnoteReference w:id="56"/>
      </w:r>
    </w:p>
    <w:p w14:paraId="0B951956" w14:textId="405E6324" w:rsidR="00C43F4C" w:rsidRDefault="00C43F4C" w:rsidP="00C43F4C">
      <w:r>
        <w:t xml:space="preserve">Stakeholders also </w:t>
      </w:r>
      <w:r w:rsidR="00DA7CB1">
        <w:t xml:space="preserve">observed that they have </w:t>
      </w:r>
      <w:r>
        <w:t xml:space="preserve">encountered </w:t>
      </w:r>
      <w:r w:rsidR="00DA7CB1">
        <w:t>customers with</w:t>
      </w:r>
      <w:r>
        <w:t xml:space="preserve"> negative experiences with retailer staff, and that observed different levels of retailer staff knowledge and awareness of the framework’s customer entitlements within the same retailer.</w:t>
      </w:r>
      <w:r>
        <w:rPr>
          <w:rStyle w:val="FootnoteReference"/>
        </w:rPr>
        <w:footnoteReference w:id="57"/>
      </w:r>
      <w:r>
        <w:t xml:space="preserve"> The Consumer Policy Research Centre noted that support workers commonly </w:t>
      </w:r>
      <w:r w:rsidRPr="00583095">
        <w:t xml:space="preserve">abandon attempts to resolve client issues </w:t>
      </w:r>
      <w:r>
        <w:t xml:space="preserve">with </w:t>
      </w:r>
      <w:r>
        <w:lastRenderedPageBreak/>
        <w:t>certain retailer staff. They then</w:t>
      </w:r>
      <w:r w:rsidRPr="00583095">
        <w:t xml:space="preserve"> initiate a new call in the hope of finding a more knowledgeable or experienced staff member,</w:t>
      </w:r>
      <w:r>
        <w:t xml:space="preserve"> </w:t>
      </w:r>
      <w:r w:rsidRPr="00583095">
        <w:t xml:space="preserve">or </w:t>
      </w:r>
      <w:r>
        <w:t xml:space="preserve">one </w:t>
      </w:r>
      <w:r w:rsidRPr="00583095">
        <w:t>with better communication skills and willingness to help</w:t>
      </w:r>
      <w:r w:rsidRPr="00BC3465">
        <w:t>.</w:t>
      </w:r>
      <w:r w:rsidRPr="001626A8">
        <w:rPr>
          <w:rStyle w:val="FootnoteReference"/>
        </w:rPr>
        <w:t xml:space="preserve"> </w:t>
      </w:r>
      <w:r>
        <w:rPr>
          <w:rStyle w:val="FootnoteReference"/>
        </w:rPr>
        <w:footnoteReference w:id="58"/>
      </w:r>
      <w:r>
        <w:t xml:space="preserve"> </w:t>
      </w:r>
    </w:p>
    <w:p w14:paraId="09D9E133" w14:textId="77777777" w:rsidR="00AB06E4" w:rsidRDefault="00AB06E4" w:rsidP="00AB06E4">
      <w:r>
        <w:t>While we do not have specific records or analysis on the extent of these concerns, we acknowledge the direct experiences reported by community stakeholders.</w:t>
      </w:r>
    </w:p>
    <w:p w14:paraId="28FEB082" w14:textId="1881A51A" w:rsidR="001027AF" w:rsidRDefault="001027AF" w:rsidP="001027AF">
      <w:pPr>
        <w:pStyle w:val="Pullout2bold"/>
        <w:keepNext/>
        <w:keepLines/>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pPr>
      <w:r>
        <w:t>Guidance on contacting customers eligible for tailored assistance</w:t>
      </w:r>
    </w:p>
    <w:p w14:paraId="62636D8C" w14:textId="5C1EE615" w:rsidR="00A61A59" w:rsidRPr="004012A8" w:rsidRDefault="00EA5D6F" w:rsidP="00A61A59">
      <w:pPr>
        <w:pStyle w:val="Pull-out"/>
        <w:keepNext/>
        <w:keepLines/>
      </w:pPr>
      <w:r>
        <w:t>In 2020, we conducted an</w:t>
      </w:r>
      <w:r w:rsidR="00A61A59" w:rsidRPr="004012A8">
        <w:t xml:space="preserve"> energy retail industry pulse check to understand the practices retailers have in place to support customers experiencing payment difficulties.</w:t>
      </w:r>
      <w:r w:rsidR="00871433" w:rsidRPr="004012A8">
        <w:t xml:space="preserve"> </w:t>
      </w:r>
    </w:p>
    <w:p w14:paraId="4591A5AF" w14:textId="286DA586" w:rsidR="001027AF" w:rsidRPr="004012A8" w:rsidRDefault="001027AF" w:rsidP="001027AF">
      <w:pPr>
        <w:pStyle w:val="Pull-outBullet1"/>
        <w:keepNext/>
        <w:keepLines/>
        <w:numPr>
          <w:ilvl w:val="0"/>
          <w:numId w:val="0"/>
        </w:numPr>
        <w:ind w:left="198"/>
        <w:rPr>
          <w:b/>
          <w:i/>
        </w:rPr>
      </w:pPr>
      <w:r w:rsidRPr="004012A8">
        <w:rPr>
          <w:b/>
        </w:rPr>
        <w:t>Guidance note 4 (2020): Contacting customers eligible for tailored assistance</w:t>
      </w:r>
      <w:r w:rsidRPr="004012A8">
        <w:rPr>
          <w:rStyle w:val="FootnoteReference"/>
          <w:i/>
        </w:rPr>
        <w:footnoteReference w:id="59"/>
      </w:r>
    </w:p>
    <w:p w14:paraId="66D60777" w14:textId="3BE95259" w:rsidR="00EA5D6F" w:rsidRDefault="00EA5D6F" w:rsidP="00EA5D6F">
      <w:pPr>
        <w:pStyle w:val="Pull-out"/>
        <w:keepNext/>
        <w:keepLines/>
      </w:pPr>
      <w:r w:rsidRPr="004012A8">
        <w:t>The commission provided guidance to retailers regarding the timing when retailer need to contact a customer to give them tailored assistance information.</w:t>
      </w:r>
      <w:r>
        <w:t xml:space="preserve"> This </w:t>
      </w:r>
      <w:r w:rsidRPr="004012A8">
        <w:t>guidance note clarifies the</w:t>
      </w:r>
      <w:r>
        <w:t xml:space="preserve"> obligation for retailers </w:t>
      </w:r>
      <w:r w:rsidRPr="00871433">
        <w:t>to offer assistance to an eligible customer, even if they have been offered assistance before</w:t>
      </w:r>
      <w:r>
        <w:t>.</w:t>
      </w:r>
    </w:p>
    <w:p w14:paraId="568410D4" w14:textId="7F4702E5" w:rsidR="00A61A59" w:rsidRPr="00EA5D6F" w:rsidRDefault="008416CA" w:rsidP="00BF1D13">
      <w:pPr>
        <w:pStyle w:val="Pull-out"/>
        <w:keepNext/>
        <w:keepLines/>
      </w:pPr>
      <w:r>
        <w:t xml:space="preserve">Additionally, </w:t>
      </w:r>
      <w:r w:rsidR="00BF1D13">
        <w:t xml:space="preserve">for </w:t>
      </w:r>
      <w:r>
        <w:t xml:space="preserve">a customer </w:t>
      </w:r>
      <w:r w:rsidR="00166CC2">
        <w:t xml:space="preserve">receiving assistance </w:t>
      </w:r>
      <w:r>
        <w:t xml:space="preserve">who has missed </w:t>
      </w:r>
      <w:r w:rsidRPr="00BF1D13">
        <w:t xml:space="preserve">the </w:t>
      </w:r>
      <w:r w:rsidR="00A61A59" w:rsidRPr="00BF1D13">
        <w:t xml:space="preserve">pay-by date of their </w:t>
      </w:r>
      <w:r w:rsidR="00166CC2" w:rsidRPr="00BF1D13">
        <w:t xml:space="preserve">energy </w:t>
      </w:r>
      <w:r w:rsidR="00A61A59" w:rsidRPr="00BF1D13">
        <w:t xml:space="preserve">bill, </w:t>
      </w:r>
      <w:r w:rsidR="00BF1D13" w:rsidRPr="00BF1D13">
        <w:t xml:space="preserve">a customer is still entitled to </w:t>
      </w:r>
      <w:r w:rsidR="00A61A59" w:rsidRPr="00BF1D13">
        <w:t xml:space="preserve">information </w:t>
      </w:r>
      <w:r w:rsidR="00BF1D13" w:rsidRPr="00BF1D13">
        <w:t xml:space="preserve">to </w:t>
      </w:r>
      <w:r w:rsidR="00A61A59" w:rsidRPr="00BF1D13">
        <w:t>accessing other forms of assistance within the 21 business day timeframe.</w:t>
      </w:r>
      <w:r w:rsidR="00BF1D13" w:rsidRPr="00BF1D13">
        <w:t xml:space="preserve"> More specifically, a </w:t>
      </w:r>
      <w:r w:rsidR="00C82CD4" w:rsidRPr="00BF1D13">
        <w:t>retailer must contact a customer and give them information about tailored assistance each time the pay-by date is missed.</w:t>
      </w:r>
      <w:r w:rsidR="00BF1D13" w:rsidRPr="00BF1D13">
        <w:t xml:space="preserve"> </w:t>
      </w:r>
      <w:r w:rsidR="00C82CD4" w:rsidRPr="00BF1D13">
        <w:t>A retailer may elect to provide the information separately to a reminder notice.</w:t>
      </w:r>
    </w:p>
    <w:p w14:paraId="71F9A426" w14:textId="77777777" w:rsidR="00C43F4C" w:rsidRDefault="00C43F4C" w:rsidP="00C43F4C">
      <w:pPr>
        <w:pStyle w:val="Heading4"/>
      </w:pPr>
      <w:r>
        <w:t xml:space="preserve">Contact outcomes </w:t>
      </w:r>
    </w:p>
    <w:p w14:paraId="111B3095" w14:textId="77777777" w:rsidR="00C43F4C" w:rsidRDefault="00C43F4C" w:rsidP="00C43F4C">
      <w:r>
        <w:t>In the call recordings study, 75 per cent of the calls resulted in customers accepting payment assistance from the retailer, while 11 per cent of the calls ended with either no outcome or the customer ending the call.</w:t>
      </w:r>
      <w:r>
        <w:rPr>
          <w:rStyle w:val="FootnoteReference"/>
        </w:rPr>
        <w:footnoteReference w:id="60"/>
      </w:r>
      <w:r>
        <w:t xml:space="preserve"> </w:t>
      </w:r>
    </w:p>
    <w:p w14:paraId="21A569FF" w14:textId="72E5A349" w:rsidR="00C43F4C" w:rsidRPr="009B34ED" w:rsidRDefault="00C43F4C" w:rsidP="00C43F4C">
      <w:r>
        <w:t>In the call recordings study, one in five (21 per cent) customer interactions led to outcomes such as scheduling a follow up by the operator or the customer.</w:t>
      </w:r>
      <w:r>
        <w:rPr>
          <w:rStyle w:val="FootnoteReference"/>
        </w:rPr>
        <w:footnoteReference w:id="61"/>
      </w:r>
      <w:r>
        <w:t xml:space="preserve"> A </w:t>
      </w:r>
      <w:r w:rsidR="004E1CA4">
        <w:t xml:space="preserve">common </w:t>
      </w:r>
      <w:r>
        <w:t xml:space="preserve">reason </w:t>
      </w:r>
      <w:r w:rsidR="004E1CA4">
        <w:t xml:space="preserve">being </w:t>
      </w:r>
      <w:r>
        <w:t xml:space="preserve">the </w:t>
      </w:r>
      <w:r>
        <w:lastRenderedPageBreak/>
        <w:t xml:space="preserve">unavailability of a </w:t>
      </w:r>
      <w:r w:rsidR="004E1CA4">
        <w:t xml:space="preserve">specialist </w:t>
      </w:r>
      <w:r>
        <w:t>team at the time of the call. However, in some instances, customers were directed to access assistance elsewhere.</w:t>
      </w:r>
    </w:p>
    <w:p w14:paraId="61E025AA" w14:textId="77777777" w:rsidR="00C43F4C" w:rsidRDefault="00C43F4C" w:rsidP="00C43F4C">
      <w:r>
        <w:t>We remain committed to investigating incidents of potential non-compliance, particularly if they lead to customers being prevented from receiving assistance. For example, i</w:t>
      </w:r>
      <w:r w:rsidRPr="00BA2079">
        <w:t xml:space="preserve">n 2020-21, </w:t>
      </w:r>
      <w:r>
        <w:t xml:space="preserve">Alinta Energy paid </w:t>
      </w:r>
      <w:r w:rsidRPr="00BA2079">
        <w:t xml:space="preserve">$1.125 million in penalty notices </w:t>
      </w:r>
      <w:r>
        <w:t xml:space="preserve">we issued </w:t>
      </w:r>
      <w:r w:rsidRPr="00BA2079">
        <w:t xml:space="preserve">for </w:t>
      </w:r>
      <w:r>
        <w:t xml:space="preserve">allegedly </w:t>
      </w:r>
      <w:r w:rsidRPr="00BA2079">
        <w:t>requiring customers to provide person</w:t>
      </w:r>
      <w:r>
        <w:t>al</w:t>
      </w:r>
      <w:r w:rsidRPr="00BA2079">
        <w:t xml:space="preserve"> or financial information</w:t>
      </w:r>
      <w:r>
        <w:t xml:space="preserve"> as a condition</w:t>
      </w:r>
      <w:r w:rsidRPr="00BA2079">
        <w:t xml:space="preserve"> to receive assistance</w:t>
      </w:r>
      <w:r>
        <w:t>.</w:t>
      </w:r>
    </w:p>
    <w:p w14:paraId="6F11D647" w14:textId="77777777" w:rsidR="00C43F4C" w:rsidRDefault="00C43F4C" w:rsidP="00C43F4C">
      <w:r>
        <w:t>Some retailers believe that compliance with the framework leads to lengthy call centre scripts and phone calls with customers. This restricts their ability to provide better customer service and support to customers that respond to their specific needs.</w:t>
      </w:r>
      <w:r>
        <w:rPr>
          <w:rStyle w:val="FootnoteReference"/>
        </w:rPr>
        <w:footnoteReference w:id="62"/>
      </w:r>
    </w:p>
    <w:p w14:paraId="1A5654BC" w14:textId="77777777" w:rsidR="00C43F4C" w:rsidRDefault="00C43F4C" w:rsidP="00C43F4C">
      <w:pPr>
        <w:pStyle w:val="Quote"/>
      </w:pPr>
      <w:r w:rsidRPr="00F57E7C">
        <w:t>The complexity and strict interpretation approach to the PDF are unintentionally leading to poor customer experiences when customers contact retailers' service centres with conversations often becoming long, highly scripted and disengaging.</w:t>
      </w:r>
      <w:r>
        <w:rPr>
          <w:rStyle w:val="FootnoteReference"/>
        </w:rPr>
        <w:footnoteReference w:id="63"/>
      </w:r>
      <w:r w:rsidRPr="00F57E7C">
        <w:tab/>
      </w:r>
    </w:p>
    <w:p w14:paraId="7CFD7C58" w14:textId="77777777" w:rsidR="00C43F4C" w:rsidRDefault="00C43F4C" w:rsidP="00C43F4C">
      <w:pPr>
        <w:pStyle w:val="Heading4"/>
      </w:pPr>
      <w:r>
        <w:t>Customers experiencing payment difficulty are also likely to face multiple barriers</w:t>
      </w:r>
    </w:p>
    <w:p w14:paraId="2462BDA0" w14:textId="3FD17878" w:rsidR="00C43F4C" w:rsidRDefault="00C43F4C" w:rsidP="00C43F4C">
      <w:r>
        <w:t>According to the call recording</w:t>
      </w:r>
      <w:r w:rsidR="00BB6050">
        <w:t>s</w:t>
      </w:r>
      <w:r>
        <w:t xml:space="preserve"> study report, customers were often affected by an average of more than three separate barriers, and 79 per cent stated that they were in financial stress.</w:t>
      </w:r>
      <w:r>
        <w:rPr>
          <w:rStyle w:val="FootnoteReference"/>
        </w:rPr>
        <w:footnoteReference w:id="64"/>
      </w:r>
      <w:r>
        <w:t xml:space="preserve"> The experience of multiple barriers at the same time may lead to customers not prioritising their energy bills.</w:t>
      </w:r>
      <w:r w:rsidR="003732F1">
        <w:t xml:space="preserve"> This was supported by stakeholder feedback to the review</w:t>
      </w:r>
      <w:r w:rsidR="00EC50ED">
        <w:t xml:space="preserve"> and the research undertaken by Honeycomb.</w:t>
      </w:r>
      <w:r w:rsidR="00EC50ED">
        <w:rPr>
          <w:rStyle w:val="FootnoteReference"/>
        </w:rPr>
        <w:footnoteReference w:id="65"/>
      </w:r>
      <w:r w:rsidR="00EC50ED">
        <w:t xml:space="preserve"> </w:t>
      </w:r>
      <w:r>
        <w:t>These customers appear to face greater barriers to first accessing assistance when they need it, but they also encounter</w:t>
      </w:r>
      <w:r w:rsidR="002F65B4">
        <w:t xml:space="preserve"> further difficulties </w:t>
      </w:r>
      <w:r>
        <w:t xml:space="preserve">when renegotiating payment arrangements. </w:t>
      </w:r>
    </w:p>
    <w:p w14:paraId="7B1160B6" w14:textId="58F3442F" w:rsidR="00C43F4C" w:rsidRPr="009C1D2F" w:rsidRDefault="00C43F4C" w:rsidP="00C43F4C">
      <w:pPr>
        <w:pStyle w:val="Heading3"/>
      </w:pPr>
      <w:r w:rsidRPr="009C1D2F">
        <w:t xml:space="preserve">Improving </w:t>
      </w:r>
      <w:r w:rsidR="00E2143E">
        <w:t>the operation</w:t>
      </w:r>
      <w:r w:rsidRPr="009C1D2F">
        <w:t xml:space="preserve"> of the framework: informing customers about entitlements</w:t>
      </w:r>
    </w:p>
    <w:p w14:paraId="64B83228" w14:textId="188C084A" w:rsidR="00C43F4C" w:rsidRPr="008750C3" w:rsidRDefault="00C43F4C" w:rsidP="00C43F4C">
      <w:r w:rsidRPr="008750C3">
        <w:t xml:space="preserve">The framework has provided greater clarity for both customers and retailers in terms of the assistance that customers are entitled to for helping to pay for energy bills. Over half of the customers receiving tailored assistance </w:t>
      </w:r>
      <w:r>
        <w:t>who</w:t>
      </w:r>
      <w:r w:rsidRPr="008750C3">
        <w:t xml:space="preserve"> can pay for their ongoing use, commence that assistance within 30 days of missing </w:t>
      </w:r>
      <w:r>
        <w:t xml:space="preserve">a </w:t>
      </w:r>
      <w:r w:rsidRPr="008750C3">
        <w:t xml:space="preserve">payment. This varies across retailers, suggesting that some retailers may have found more effective ways in </w:t>
      </w:r>
      <w:r w:rsidR="001C6D00">
        <w:t xml:space="preserve">initially engaging with </w:t>
      </w:r>
      <w:r w:rsidRPr="008750C3">
        <w:t>a customer.</w:t>
      </w:r>
    </w:p>
    <w:p w14:paraId="0969151B" w14:textId="540375B7" w:rsidR="00C43F4C" w:rsidRDefault="00C43F4C" w:rsidP="00C43F4C">
      <w:r w:rsidRPr="008750C3">
        <w:lastRenderedPageBreak/>
        <w:t>Most customers who reach out to their retailers end up receiving assistance</w:t>
      </w:r>
      <w:r>
        <w:t>. Our</w:t>
      </w:r>
      <w:r w:rsidRPr="008750C3">
        <w:t xml:space="preserve"> call recording</w:t>
      </w:r>
      <w:r w:rsidR="00BB6050">
        <w:t>s</w:t>
      </w:r>
      <w:r w:rsidRPr="008750C3">
        <w:t xml:space="preserve"> study found that 75 per cent of the customers </w:t>
      </w:r>
      <w:r>
        <w:t>accepted</w:t>
      </w:r>
      <w:r w:rsidRPr="008750C3">
        <w:t xml:space="preserve"> support</w:t>
      </w:r>
      <w:r>
        <w:t xml:space="preserve"> from their retailer</w:t>
      </w:r>
      <w:r w:rsidRPr="008750C3">
        <w:t xml:space="preserve">. However, </w:t>
      </w:r>
      <w:r>
        <w:t xml:space="preserve">many customers encounter difficulties in reaching appropriate retailer staff to get that support. </w:t>
      </w:r>
      <w:r w:rsidR="00B02BC7">
        <w:t>O</w:t>
      </w:r>
      <w:r>
        <w:t>ur call recording</w:t>
      </w:r>
      <w:r w:rsidR="00BB6050">
        <w:t>s</w:t>
      </w:r>
      <w:r>
        <w:t xml:space="preserve"> study found that one in five customer interactions required a follow up call. </w:t>
      </w:r>
    </w:p>
    <w:p w14:paraId="10ABF522" w14:textId="33C2B8A6" w:rsidR="00C43F4C" w:rsidRDefault="00C43F4C" w:rsidP="00C43F4C">
      <w:r>
        <w:t xml:space="preserve">While the framework has removed some key barriers for customers in accessing assistance, there are more effective ways that can further support customers to engage with their retailers. Improving the quality of </w:t>
      </w:r>
      <w:r w:rsidRPr="00CA71E9">
        <w:t>engagement between customer</w:t>
      </w:r>
      <w:r>
        <w:t>s</w:t>
      </w:r>
      <w:r w:rsidRPr="00CA71E9">
        <w:t xml:space="preserve"> and retailer</w:t>
      </w:r>
      <w:r>
        <w:t>s</w:t>
      </w:r>
      <w:r w:rsidRPr="00CA71E9">
        <w:t xml:space="preserve"> can </w:t>
      </w:r>
      <w:r>
        <w:t xml:space="preserve">also </w:t>
      </w:r>
      <w:r w:rsidRPr="00CA71E9">
        <w:t>lead to better application of customer entitlements under the framework.</w:t>
      </w:r>
      <w:r w:rsidR="00C64833">
        <w:t xml:space="preserve"> </w:t>
      </w:r>
      <w:r w:rsidRPr="008D4807">
        <w:t>Raising customer awareness and understanding of their energy rights and entitlements under the payment difficulty framework may lead to more customer engagement with energy retailers about their energy plans, accounts and possible assistance.</w:t>
      </w:r>
    </w:p>
    <w:tbl>
      <w:tblPr>
        <w:tblStyle w:val="TwoColumnImage"/>
        <w:tblW w:w="9811" w:type="dxa"/>
        <w:tblBorders>
          <w:top w:val="single" w:sz="24" w:space="0" w:color="6CB59D" w:themeColor="accent5" w:themeTint="80"/>
          <w:left w:val="single" w:sz="24" w:space="0" w:color="6CB59D" w:themeColor="accent5" w:themeTint="80"/>
          <w:bottom w:val="single" w:sz="24" w:space="0" w:color="6CB59D" w:themeColor="accent5" w:themeTint="80"/>
          <w:right w:val="single" w:sz="24" w:space="0" w:color="6CB59D" w:themeColor="accent5" w:themeTint="80"/>
        </w:tblBorders>
        <w:shd w:val="clear" w:color="auto" w:fill="B5DACE" w:themeFill="accent5" w:themeFillTint="40"/>
        <w:tblCellMar>
          <w:top w:w="113" w:type="dxa"/>
          <w:bottom w:w="113" w:type="dxa"/>
        </w:tblCellMar>
        <w:tblLook w:val="04A0" w:firstRow="1" w:lastRow="0" w:firstColumn="1" w:lastColumn="0" w:noHBand="0" w:noVBand="1"/>
      </w:tblPr>
      <w:tblGrid>
        <w:gridCol w:w="1873"/>
        <w:gridCol w:w="6521"/>
        <w:gridCol w:w="1417"/>
      </w:tblGrid>
      <w:tr w:rsidR="006F1802" w:rsidRPr="006F1802" w14:paraId="77437395" w14:textId="77777777" w:rsidTr="006F1802">
        <w:tc>
          <w:tcPr>
            <w:tcW w:w="9811" w:type="dxa"/>
            <w:gridSpan w:val="3"/>
            <w:tcBorders>
              <w:bottom w:val="nil"/>
            </w:tcBorders>
            <w:shd w:val="clear" w:color="auto" w:fill="B5DACE" w:themeFill="accent5" w:themeFillTint="40"/>
          </w:tcPr>
          <w:p w14:paraId="24A55F3D" w14:textId="1FF73F78" w:rsidR="006F1802" w:rsidRPr="006F1802" w:rsidRDefault="007D6E24" w:rsidP="00821C80">
            <w:pPr>
              <w:pStyle w:val="TableBody"/>
              <w:ind w:left="142" w:right="121"/>
              <w:rPr>
                <w:rFonts w:ascii="Tahoma" w:hAnsi="Tahoma" w:cs="Tahoma"/>
                <w:color w:val="262626" w:themeColor="text1" w:themeTint="D9"/>
                <w:sz w:val="26"/>
                <w:szCs w:val="26"/>
              </w:rPr>
            </w:pPr>
            <w:r>
              <w:rPr>
                <w:rFonts w:ascii="Tahoma" w:hAnsi="Tahoma" w:cs="Tahoma"/>
                <w:b/>
                <w:bCs/>
                <w:color w:val="262626" w:themeColor="text1" w:themeTint="D9"/>
                <w:sz w:val="26"/>
                <w:szCs w:val="26"/>
              </w:rPr>
              <w:t>Improving the operation of the framework</w:t>
            </w:r>
          </w:p>
        </w:tc>
      </w:tr>
      <w:tr w:rsidR="006260E7" w:rsidRPr="000179AE" w14:paraId="1555F826" w14:textId="77777777" w:rsidTr="006260E7">
        <w:tblPrEx>
          <w:tblCellMar>
            <w:top w:w="57" w:type="dxa"/>
            <w:bottom w:w="57" w:type="dxa"/>
          </w:tblCellMar>
        </w:tblPrEx>
        <w:tc>
          <w:tcPr>
            <w:tcW w:w="9811" w:type="dxa"/>
            <w:gridSpan w:val="3"/>
            <w:tcBorders>
              <w:top w:val="nil"/>
              <w:bottom w:val="nil"/>
            </w:tcBorders>
            <w:shd w:val="clear" w:color="auto" w:fill="B5DACE" w:themeFill="accent5" w:themeFillTint="40"/>
          </w:tcPr>
          <w:p w14:paraId="3C2FEAF8" w14:textId="77777777" w:rsidR="006260E7" w:rsidRPr="000179AE" w:rsidRDefault="006260E7" w:rsidP="00EA5D6F">
            <w:pPr>
              <w:pStyle w:val="TableBody"/>
              <w:spacing w:after="80"/>
              <w:ind w:left="142" w:right="119"/>
              <w:rPr>
                <w:rFonts w:ascii="Tahoma" w:hAnsi="Tahoma" w:cs="Tahoma"/>
                <w:b/>
                <w:bCs/>
                <w:color w:val="262626" w:themeColor="text1" w:themeTint="D9"/>
              </w:rPr>
            </w:pPr>
            <w:r w:rsidRPr="0013353A">
              <w:rPr>
                <w:rFonts w:ascii="Tahoma" w:hAnsi="Tahoma" w:cs="Tahoma"/>
                <w:b/>
                <w:bCs/>
                <w:color w:val="262626" w:themeColor="text1" w:themeTint="D9"/>
              </w:rPr>
              <w:t xml:space="preserve">The level and quality of retailer-customer engagement </w:t>
            </w:r>
            <w:r>
              <w:rPr>
                <w:rFonts w:ascii="Tahoma" w:hAnsi="Tahoma" w:cs="Tahoma"/>
                <w:b/>
                <w:bCs/>
                <w:color w:val="262626" w:themeColor="text1" w:themeTint="D9"/>
              </w:rPr>
              <w:t>a</w:t>
            </w:r>
            <w:r w:rsidRPr="0013353A">
              <w:rPr>
                <w:rFonts w:ascii="Tahoma" w:hAnsi="Tahoma" w:cs="Tahoma"/>
                <w:b/>
                <w:bCs/>
                <w:color w:val="262626" w:themeColor="text1" w:themeTint="D9"/>
              </w:rPr>
              <w:t>ffects customer outcomes</w:t>
            </w:r>
          </w:p>
        </w:tc>
      </w:tr>
      <w:tr w:rsidR="006260E7" w:rsidRPr="000179AE" w14:paraId="01B783EE" w14:textId="77777777" w:rsidTr="006260E7">
        <w:tblPrEx>
          <w:tblCellMar>
            <w:top w:w="57" w:type="dxa"/>
            <w:bottom w:w="57" w:type="dxa"/>
          </w:tblCellMar>
        </w:tblPrEx>
        <w:tc>
          <w:tcPr>
            <w:tcW w:w="1873" w:type="dxa"/>
            <w:vMerge w:val="restart"/>
            <w:tcBorders>
              <w:top w:val="nil"/>
            </w:tcBorders>
            <w:shd w:val="clear" w:color="auto" w:fill="B5DACE" w:themeFill="accent5" w:themeFillTint="40"/>
            <w:vAlign w:val="center"/>
          </w:tcPr>
          <w:p w14:paraId="1E1D8B4B" w14:textId="77777777" w:rsidR="006260E7" w:rsidRPr="000179AE" w:rsidRDefault="006260E7" w:rsidP="00076171">
            <w:pPr>
              <w:pStyle w:val="TableBody"/>
              <w:ind w:left="284" w:right="-2"/>
              <w:jc w:val="center"/>
              <w:rPr>
                <w:noProof/>
                <w:color w:val="262626" w:themeColor="text1" w:themeTint="D9"/>
              </w:rPr>
            </w:pPr>
            <w:r w:rsidRPr="000179AE">
              <w:rPr>
                <w:noProof/>
                <w:color w:val="262626" w:themeColor="text1" w:themeTint="D9"/>
              </w:rPr>
              <w:drawing>
                <wp:inline distT="0" distB="0" distL="0" distR="0" wp14:anchorId="08D22F57" wp14:editId="09A9EF39">
                  <wp:extent cx="864000" cy="864000"/>
                  <wp:effectExtent l="0" t="0" r="0" b="0"/>
                  <wp:docPr id="99973" name="Picture 99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3" name="Picture 99973">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6521" w:type="dxa"/>
            <w:tcBorders>
              <w:top w:val="nil"/>
              <w:bottom w:val="nil"/>
            </w:tcBorders>
            <w:shd w:val="clear" w:color="auto" w:fill="B5DACE" w:themeFill="accent5" w:themeFillTint="40"/>
          </w:tcPr>
          <w:p w14:paraId="6E758CA4" w14:textId="77777777" w:rsidR="006260E7" w:rsidRPr="00046BFF" w:rsidRDefault="006260E7" w:rsidP="00076171">
            <w:pPr>
              <w:pStyle w:val="ListBullet"/>
              <w:spacing w:before="0"/>
              <w:ind w:left="357" w:hanging="357"/>
              <w:contextualSpacing w:val="0"/>
            </w:pPr>
            <w:r w:rsidRPr="001551CC">
              <w:t>Improve retailer interactions with customers, focusing on communication that recognises a customer's circumstances, including the barriers they may be facing.</w:t>
            </w:r>
          </w:p>
        </w:tc>
        <w:tc>
          <w:tcPr>
            <w:tcW w:w="1417" w:type="dxa"/>
            <w:tcBorders>
              <w:top w:val="nil"/>
              <w:bottom w:val="nil"/>
            </w:tcBorders>
            <w:shd w:val="clear" w:color="auto" w:fill="B5DACE" w:themeFill="accent5" w:themeFillTint="40"/>
            <w:vAlign w:val="center"/>
          </w:tcPr>
          <w:p w14:paraId="2EA16BF6" w14:textId="77777777" w:rsidR="006260E7" w:rsidRPr="00046BFF" w:rsidRDefault="006260E7" w:rsidP="00612417">
            <w:pPr>
              <w:pStyle w:val="ListBullet"/>
              <w:numPr>
                <w:ilvl w:val="0"/>
                <w:numId w:val="0"/>
              </w:numPr>
              <w:spacing w:before="0" w:line="240" w:lineRule="auto"/>
              <w:jc w:val="center"/>
              <w:rPr>
                <w:b/>
                <w:bCs/>
                <w:color w:val="CE0058" w:themeColor="accent2"/>
              </w:rPr>
            </w:pPr>
            <w:r w:rsidRPr="00046BFF">
              <w:rPr>
                <w:b/>
                <w:bCs/>
                <w:color w:val="CE0058" w:themeColor="accent2"/>
              </w:rPr>
              <w:t>Priority</w:t>
            </w:r>
          </w:p>
        </w:tc>
      </w:tr>
      <w:tr w:rsidR="006260E7" w:rsidRPr="000179AE" w14:paraId="6FEA753A" w14:textId="77777777" w:rsidTr="006260E7">
        <w:tblPrEx>
          <w:tblCellMar>
            <w:top w:w="57" w:type="dxa"/>
            <w:bottom w:w="57" w:type="dxa"/>
          </w:tblCellMar>
        </w:tblPrEx>
        <w:tc>
          <w:tcPr>
            <w:tcW w:w="1873" w:type="dxa"/>
            <w:vMerge/>
            <w:shd w:val="clear" w:color="auto" w:fill="B5DACE" w:themeFill="accent5" w:themeFillTint="40"/>
            <w:vAlign w:val="center"/>
          </w:tcPr>
          <w:p w14:paraId="784CE07A" w14:textId="77777777" w:rsidR="006260E7" w:rsidRPr="0042768D" w:rsidRDefault="006260E7" w:rsidP="00076171">
            <w:pPr>
              <w:pStyle w:val="TableBody"/>
              <w:ind w:left="284" w:right="-2"/>
              <w:jc w:val="center"/>
              <w:rPr>
                <w:rFonts w:ascii="Tahoma" w:hAnsi="Tahoma" w:cs="Tahoma"/>
                <w:color w:val="262626" w:themeColor="text1" w:themeTint="D9"/>
                <w:highlight w:val="yellow"/>
              </w:rPr>
            </w:pPr>
          </w:p>
        </w:tc>
        <w:tc>
          <w:tcPr>
            <w:tcW w:w="6521" w:type="dxa"/>
            <w:tcBorders>
              <w:top w:val="nil"/>
              <w:bottom w:val="nil"/>
            </w:tcBorders>
            <w:shd w:val="clear" w:color="auto" w:fill="B5DACE" w:themeFill="accent5" w:themeFillTint="40"/>
          </w:tcPr>
          <w:p w14:paraId="384CB02B" w14:textId="6330D360" w:rsidR="006260E7" w:rsidRDefault="007D6E24" w:rsidP="00076171">
            <w:pPr>
              <w:pStyle w:val="ListBullet"/>
              <w:spacing w:before="0"/>
              <w:ind w:left="357" w:hanging="357"/>
              <w:contextualSpacing w:val="0"/>
            </w:pPr>
            <w:r w:rsidRPr="00BE4702">
              <w:t>Further support customers’ entitlement to assistance during retailer communication</w:t>
            </w:r>
            <w:r w:rsidRPr="00046BFF">
              <w:t>.</w:t>
            </w:r>
          </w:p>
        </w:tc>
        <w:tc>
          <w:tcPr>
            <w:tcW w:w="1417" w:type="dxa"/>
            <w:tcBorders>
              <w:top w:val="nil"/>
              <w:bottom w:val="nil"/>
            </w:tcBorders>
            <w:shd w:val="clear" w:color="auto" w:fill="B5DACE" w:themeFill="accent5" w:themeFillTint="40"/>
            <w:vAlign w:val="center"/>
          </w:tcPr>
          <w:p w14:paraId="710F3829" w14:textId="77777777" w:rsidR="006260E7" w:rsidRPr="00062623" w:rsidRDefault="006260E7" w:rsidP="00612417">
            <w:pPr>
              <w:pStyle w:val="ListBullet"/>
              <w:numPr>
                <w:ilvl w:val="0"/>
                <w:numId w:val="0"/>
              </w:numPr>
              <w:spacing w:before="0" w:line="240" w:lineRule="auto"/>
              <w:jc w:val="center"/>
              <w:rPr>
                <w:b/>
                <w:bCs/>
                <w:color w:val="CE0058" w:themeColor="accent2"/>
              </w:rPr>
            </w:pPr>
          </w:p>
        </w:tc>
      </w:tr>
      <w:tr w:rsidR="006260E7" w:rsidRPr="000179AE" w14:paraId="6E59DF23" w14:textId="77777777" w:rsidTr="006260E7">
        <w:tblPrEx>
          <w:tblCellMar>
            <w:top w:w="57" w:type="dxa"/>
            <w:bottom w:w="57" w:type="dxa"/>
          </w:tblCellMar>
        </w:tblPrEx>
        <w:tc>
          <w:tcPr>
            <w:tcW w:w="1873" w:type="dxa"/>
            <w:vMerge/>
            <w:tcBorders>
              <w:bottom w:val="single" w:sz="24" w:space="0" w:color="6CB59D" w:themeColor="accent5" w:themeTint="80"/>
            </w:tcBorders>
            <w:shd w:val="clear" w:color="auto" w:fill="B5DACE" w:themeFill="accent5" w:themeFillTint="40"/>
            <w:vAlign w:val="center"/>
          </w:tcPr>
          <w:p w14:paraId="6BF06EA7" w14:textId="77777777" w:rsidR="006260E7" w:rsidRPr="000179AE" w:rsidRDefault="006260E7" w:rsidP="006260E7">
            <w:pPr>
              <w:pStyle w:val="TableBody"/>
              <w:ind w:left="284" w:right="-2"/>
              <w:jc w:val="center"/>
              <w:rPr>
                <w:noProof/>
                <w:color w:val="262626" w:themeColor="text1" w:themeTint="D9"/>
              </w:rPr>
            </w:pPr>
          </w:p>
        </w:tc>
        <w:tc>
          <w:tcPr>
            <w:tcW w:w="6521" w:type="dxa"/>
            <w:tcBorders>
              <w:top w:val="nil"/>
              <w:bottom w:val="single" w:sz="24" w:space="0" w:color="6CB59D" w:themeColor="accent5" w:themeTint="80"/>
            </w:tcBorders>
            <w:shd w:val="clear" w:color="auto" w:fill="B5DACE" w:themeFill="accent5" w:themeFillTint="40"/>
          </w:tcPr>
          <w:p w14:paraId="01D1FBF0" w14:textId="5E5BA6A0" w:rsidR="006260E7" w:rsidRPr="0013353A" w:rsidRDefault="006260E7" w:rsidP="006260E7">
            <w:pPr>
              <w:pStyle w:val="ListBullet"/>
              <w:spacing w:before="0"/>
              <w:ind w:left="357" w:hanging="357"/>
              <w:contextualSpacing w:val="0"/>
            </w:pPr>
            <w:r w:rsidRPr="00046BFF">
              <w:t xml:space="preserve">Promote earlier </w:t>
            </w:r>
            <w:r w:rsidR="007D6E24">
              <w:t xml:space="preserve">customer </w:t>
            </w:r>
            <w:r w:rsidRPr="00046BFF">
              <w:t xml:space="preserve">engagement </w:t>
            </w:r>
            <w:r w:rsidR="007D6E24">
              <w:t>by retailers</w:t>
            </w:r>
            <w:r w:rsidRPr="00046BFF">
              <w:t>.</w:t>
            </w:r>
          </w:p>
        </w:tc>
        <w:tc>
          <w:tcPr>
            <w:tcW w:w="1417" w:type="dxa"/>
            <w:tcBorders>
              <w:top w:val="nil"/>
              <w:bottom w:val="single" w:sz="24" w:space="0" w:color="6CB59D" w:themeColor="accent5" w:themeTint="80"/>
            </w:tcBorders>
            <w:shd w:val="clear" w:color="auto" w:fill="B5DACE" w:themeFill="accent5" w:themeFillTint="40"/>
            <w:vAlign w:val="center"/>
          </w:tcPr>
          <w:p w14:paraId="6FBADA69" w14:textId="77777777" w:rsidR="006260E7" w:rsidRPr="00046BFF" w:rsidRDefault="006260E7" w:rsidP="00612417">
            <w:pPr>
              <w:pStyle w:val="ListBullet"/>
              <w:numPr>
                <w:ilvl w:val="0"/>
                <w:numId w:val="0"/>
              </w:numPr>
              <w:spacing w:before="0" w:line="240" w:lineRule="auto"/>
              <w:jc w:val="center"/>
              <w:rPr>
                <w:b/>
                <w:bCs/>
                <w:color w:val="CE0058" w:themeColor="accent2"/>
              </w:rPr>
            </w:pPr>
          </w:p>
        </w:tc>
      </w:tr>
    </w:tbl>
    <w:p w14:paraId="67A5F985" w14:textId="49C704D6" w:rsidR="00C43F4C" w:rsidRDefault="00C43F4C" w:rsidP="003A1B23">
      <w:pPr>
        <w:pStyle w:val="Heading2"/>
        <w:spacing w:before="360"/>
      </w:pPr>
      <w:bookmarkStart w:id="122" w:name="_Toc104850132"/>
      <w:r>
        <w:t>Payment plans and advice on repaying arrears</w:t>
      </w:r>
      <w:bookmarkEnd w:id="122"/>
      <w:r>
        <w:t xml:space="preserve"> </w:t>
      </w:r>
    </w:p>
    <w:p w14:paraId="65624EFD" w14:textId="77777777" w:rsidR="00C43F4C" w:rsidRPr="00CE3D3E" w:rsidRDefault="00C43F4C" w:rsidP="00C43F4C">
      <w:r>
        <w:t>Retailers are required to offer the following assistance as a minimum to all customers experiencing payment difficulty, whether they can or cannot pay for their on-going usage:</w:t>
      </w:r>
      <w:r>
        <w:rPr>
          <w:rStyle w:val="FootnoteReference"/>
        </w:rPr>
        <w:footnoteReference w:id="66"/>
      </w:r>
    </w:p>
    <w:p w14:paraId="077D1A6D" w14:textId="77777777" w:rsidR="00C43F4C" w:rsidRDefault="00C43F4C" w:rsidP="000B10F8">
      <w:pPr>
        <w:pStyle w:val="Quote"/>
        <w:keepNext/>
        <w:keepLines/>
      </w:pPr>
      <w:r>
        <w:t xml:space="preserve">(a) repayment of arrears over not more than two years by payments at regular intervals of up to one month; </w:t>
      </w:r>
    </w:p>
    <w:p w14:paraId="656B8B42" w14:textId="77777777" w:rsidR="00C43F4C" w:rsidRDefault="00C43F4C" w:rsidP="00C43F4C">
      <w:pPr>
        <w:pStyle w:val="Quote"/>
      </w:pPr>
      <w:r>
        <w:t xml:space="preserve">(b) advice from the </w:t>
      </w:r>
      <w:r>
        <w:rPr>
          <w:i/>
        </w:rPr>
        <w:t xml:space="preserve">retailer </w:t>
      </w:r>
      <w:r>
        <w:t xml:space="preserve">about payment options that would enable a </w:t>
      </w:r>
      <w:r>
        <w:rPr>
          <w:i/>
        </w:rPr>
        <w:t xml:space="preserve">residential customer </w:t>
      </w:r>
      <w:r>
        <w:t xml:space="preserve">to repay their arrears over not more than two years; </w:t>
      </w:r>
    </w:p>
    <w:p w14:paraId="69CA3DA3" w14:textId="77777777" w:rsidR="00C43F4C" w:rsidRDefault="00C43F4C" w:rsidP="00C43F4C">
      <w:pPr>
        <w:pStyle w:val="Heading3"/>
      </w:pPr>
      <w:r>
        <w:lastRenderedPageBreak/>
        <w:t>Payment arrangements are more structured, affordable and appropriate</w:t>
      </w:r>
    </w:p>
    <w:p w14:paraId="0EAB8E2E" w14:textId="23C7E059" w:rsidR="00C43F4C" w:rsidRDefault="00C43F4C" w:rsidP="00C43F4C">
      <w:r>
        <w:t xml:space="preserve">During our review, payment arrangements were the most discussed type of assistance along with </w:t>
      </w:r>
      <w:r w:rsidR="004E1CA4">
        <w:t xml:space="preserve">help to access </w:t>
      </w:r>
      <w:r w:rsidR="002B7A72">
        <w:t>utility relief grants</w:t>
      </w:r>
      <w:r>
        <w:t xml:space="preserve"> and concessions. Our call recording</w:t>
      </w:r>
      <w:r w:rsidR="00BB6050">
        <w:t>s</w:t>
      </w:r>
      <w:r>
        <w:t xml:space="preserve"> study found that payment arrangements were the </w:t>
      </w:r>
      <w:r w:rsidRPr="00704015">
        <w:t xml:space="preserve">most common </w:t>
      </w:r>
      <w:r>
        <w:t xml:space="preserve">form of </w:t>
      </w:r>
      <w:r w:rsidRPr="00704015">
        <w:t xml:space="preserve">assistance </w:t>
      </w:r>
      <w:r>
        <w:t xml:space="preserve">discussed with </w:t>
      </w:r>
      <w:r w:rsidRPr="00704015">
        <w:t>customers</w:t>
      </w:r>
      <w:r>
        <w:t>. Based on the call recordings collected,</w:t>
      </w:r>
      <w:r w:rsidRPr="00704015">
        <w:t xml:space="preserve"> </w:t>
      </w:r>
      <w:r>
        <w:t xml:space="preserve">setting up a payment plan was discussed at least once with </w:t>
      </w:r>
      <w:r w:rsidRPr="00704015">
        <w:t>93</w:t>
      </w:r>
      <w:r>
        <w:t xml:space="preserve"> per cent</w:t>
      </w:r>
      <w:r w:rsidRPr="00704015">
        <w:t xml:space="preserve"> of 90 customers</w:t>
      </w:r>
      <w:r>
        <w:t>,</w:t>
      </w:r>
      <w:r w:rsidRPr="007A6EDE">
        <w:t xml:space="preserve"> </w:t>
      </w:r>
      <w:r>
        <w:t xml:space="preserve">while customers discussed options to vary existing payment plans with their retailer in </w:t>
      </w:r>
      <w:r w:rsidR="00140589">
        <w:t>50</w:t>
      </w:r>
      <w:r>
        <w:t xml:space="preserve"> per cent of </w:t>
      </w:r>
      <w:r w:rsidR="00140589">
        <w:t>the time (at least once)</w:t>
      </w:r>
      <w:r>
        <w:t>.</w:t>
      </w:r>
      <w:r w:rsidR="00140589">
        <w:rPr>
          <w:rStyle w:val="FootnoteReference"/>
        </w:rPr>
        <w:footnoteReference w:id="67"/>
      </w:r>
    </w:p>
    <w:p w14:paraId="77EB705A" w14:textId="41FB1447" w:rsidR="00592181" w:rsidRPr="00271A07" w:rsidRDefault="00592181" w:rsidP="007F77A1">
      <w:pPr>
        <w:pStyle w:val="Pull-outHeading"/>
        <w:keepNext/>
        <w:keepLines/>
      </w:pPr>
      <w:r>
        <w:t>Call recording</w:t>
      </w:r>
      <w:r w:rsidR="00CF6C1E">
        <w:t>s</w:t>
      </w:r>
      <w:r>
        <w:t xml:space="preserve"> case study </w:t>
      </w:r>
      <w:r>
        <w:fldChar w:fldCharType="begin"/>
      </w:r>
      <w:r>
        <w:instrText xml:space="preserve"> SEQ Call_recording_case_study \* ARABIC </w:instrText>
      </w:r>
      <w:r>
        <w:fldChar w:fldCharType="separate"/>
      </w:r>
      <w:r w:rsidR="00357DD7">
        <w:rPr>
          <w:noProof/>
        </w:rPr>
        <w:t>2</w:t>
      </w:r>
      <w:r>
        <w:fldChar w:fldCharType="end"/>
      </w:r>
      <w:r w:rsidRPr="00271A07">
        <w:t xml:space="preserve">: </w:t>
      </w:r>
      <w:r w:rsidR="00107904">
        <w:t>varying</w:t>
      </w:r>
      <w:r w:rsidRPr="00271A07">
        <w:t xml:space="preserve"> payment plans  </w:t>
      </w:r>
    </w:p>
    <w:p w14:paraId="3F8DFF59" w14:textId="1B53524C" w:rsidR="00951286" w:rsidRDefault="009A6446" w:rsidP="00592181">
      <w:pPr>
        <w:pStyle w:val="Pull-outHeading"/>
        <w:keepNext/>
        <w:keepLines/>
        <w:rPr>
          <w:b w:val="0"/>
        </w:rPr>
      </w:pPr>
      <w:r w:rsidRPr="00951286">
        <w:rPr>
          <w:b w:val="0"/>
        </w:rPr>
        <w:t xml:space="preserve">After receiving disconnection warnings from her </w:t>
      </w:r>
      <w:r>
        <w:rPr>
          <w:b w:val="0"/>
        </w:rPr>
        <w:t>retailer, the customer in customer journey 1</w:t>
      </w:r>
      <w:r w:rsidRPr="00951286">
        <w:rPr>
          <w:b w:val="0"/>
        </w:rPr>
        <w:t xml:space="preserve"> spoke to her provider to discuss options for payment during financial hardship.</w:t>
      </w:r>
      <w:r>
        <w:rPr>
          <w:b w:val="0"/>
        </w:rPr>
        <w:t xml:space="preserve"> </w:t>
      </w:r>
      <w:r w:rsidR="0056509B">
        <w:rPr>
          <w:b w:val="0"/>
        </w:rPr>
        <w:t>T</w:t>
      </w:r>
      <w:r w:rsidR="00592181" w:rsidRPr="001345EA">
        <w:rPr>
          <w:b w:val="0"/>
        </w:rPr>
        <w:t xml:space="preserve">he customer </w:t>
      </w:r>
      <w:r w:rsidR="00951286">
        <w:rPr>
          <w:b w:val="0"/>
        </w:rPr>
        <w:t xml:space="preserve">experienced multiple barriers </w:t>
      </w:r>
      <w:r w:rsidR="00951286" w:rsidRPr="00951286">
        <w:rPr>
          <w:b w:val="0"/>
        </w:rPr>
        <w:t xml:space="preserve">over the duration of the call period including death of a loved one, illness and financial stress from COVID-19 related unemployment. </w:t>
      </w:r>
    </w:p>
    <w:p w14:paraId="1E421FF0" w14:textId="6134475E" w:rsidR="00592181" w:rsidRPr="001345EA" w:rsidRDefault="00447069" w:rsidP="00592181">
      <w:pPr>
        <w:pStyle w:val="Pull-outHeading"/>
        <w:keepNext/>
        <w:keepLines/>
        <w:rPr>
          <w:b w:val="0"/>
        </w:rPr>
      </w:pPr>
      <w:r>
        <w:rPr>
          <w:b w:val="0"/>
        </w:rPr>
        <w:t xml:space="preserve">The customer </w:t>
      </w:r>
      <w:r w:rsidRPr="001345EA">
        <w:rPr>
          <w:b w:val="0"/>
        </w:rPr>
        <w:t xml:space="preserve">was offered payment assistance by the </w:t>
      </w:r>
      <w:r>
        <w:rPr>
          <w:b w:val="0"/>
        </w:rPr>
        <w:t>retailer</w:t>
      </w:r>
      <w:r w:rsidRPr="001345EA">
        <w:rPr>
          <w:b w:val="0"/>
        </w:rPr>
        <w:t xml:space="preserve"> to </w:t>
      </w:r>
      <w:r>
        <w:rPr>
          <w:b w:val="0"/>
        </w:rPr>
        <w:t>vary</w:t>
      </w:r>
      <w:r w:rsidRPr="001345EA">
        <w:rPr>
          <w:b w:val="0"/>
        </w:rPr>
        <w:t xml:space="preserve"> an existing payment plan on two occasions. </w:t>
      </w:r>
      <w:r>
        <w:rPr>
          <w:b w:val="0"/>
          <w:bCs w:val="0"/>
        </w:rPr>
        <w:t>In one of these instances</w:t>
      </w:r>
      <w:r w:rsidRPr="001345EA">
        <w:rPr>
          <w:b w:val="0"/>
        </w:rPr>
        <w:t>, the amendment related to the interval of the payments.</w:t>
      </w:r>
      <w:r>
        <w:rPr>
          <w:b w:val="0"/>
        </w:rPr>
        <w:t xml:space="preserve"> </w:t>
      </w:r>
      <w:r w:rsidRPr="009D6A88">
        <w:rPr>
          <w:b w:val="0"/>
        </w:rPr>
        <w:t xml:space="preserve">Most of </w:t>
      </w:r>
      <w:r>
        <w:rPr>
          <w:b w:val="0"/>
        </w:rPr>
        <w:t xml:space="preserve">the customer’s </w:t>
      </w:r>
      <w:r w:rsidRPr="009D6A88">
        <w:rPr>
          <w:b w:val="0"/>
        </w:rPr>
        <w:t>calls were supported by empathetic and friendly operators who sought to provide support and assistance</w:t>
      </w:r>
      <w:r>
        <w:rPr>
          <w:b w:val="0"/>
        </w:rPr>
        <w:t xml:space="preserve"> and the customer appeared to be mostly satisfied with the support she received.</w:t>
      </w:r>
      <w:r w:rsidRPr="009D6A88">
        <w:rPr>
          <w:b w:val="0"/>
        </w:rPr>
        <w:t xml:space="preserve"> </w:t>
      </w:r>
    </w:p>
    <w:p w14:paraId="69CFFBBF" w14:textId="59872F94" w:rsidR="00592181" w:rsidRPr="00D13737" w:rsidRDefault="00592181" w:rsidP="00592181">
      <w:pPr>
        <w:pStyle w:val="Pull-outHeading"/>
        <w:keepNext/>
        <w:keepLines/>
        <w:rPr>
          <w:b w:val="0"/>
          <w:strike/>
        </w:rPr>
      </w:pPr>
      <w:r w:rsidRPr="00BC4631">
        <w:rPr>
          <w:b w:val="0"/>
        </w:rPr>
        <w:t xml:space="preserve">The customer’s engagement with the retailer to discuss their financial difficulty and the amended payment plans illustrates the way in which the framework has been able to empower customers to be more active in </w:t>
      </w:r>
      <w:r w:rsidR="0056509B">
        <w:rPr>
          <w:b w:val="0"/>
        </w:rPr>
        <w:t xml:space="preserve">negotiating their </w:t>
      </w:r>
      <w:r w:rsidRPr="00BC4631">
        <w:rPr>
          <w:b w:val="0"/>
        </w:rPr>
        <w:t>assistance with the</w:t>
      </w:r>
      <w:r w:rsidR="0056509B">
        <w:rPr>
          <w:b w:val="0"/>
        </w:rPr>
        <w:t>ir</w:t>
      </w:r>
      <w:r w:rsidRPr="00BC4631">
        <w:rPr>
          <w:b w:val="0"/>
        </w:rPr>
        <w:t xml:space="preserve"> retailer.</w:t>
      </w:r>
      <w:r w:rsidRPr="00BC4631">
        <w:rPr>
          <w:b w:val="0"/>
          <w:strike/>
        </w:rPr>
        <w:t xml:space="preserve"> </w:t>
      </w:r>
    </w:p>
    <w:p w14:paraId="6672C5EB" w14:textId="77777777" w:rsidR="00CF6C1E" w:rsidRDefault="00CF6C1E" w:rsidP="00CF6C1E">
      <w:pPr>
        <w:pStyle w:val="Caption"/>
      </w:pPr>
      <w:r w:rsidRPr="004A1436">
        <w:t>Source:</w:t>
      </w:r>
      <w:r>
        <w:t xml:space="preserve"> </w:t>
      </w:r>
      <w:r w:rsidRPr="004A1436">
        <w:t xml:space="preserve">ORIMA Research, </w:t>
      </w:r>
      <w:r>
        <w:t>‘</w:t>
      </w:r>
      <w:r w:rsidRPr="004A1436">
        <w:t>Call recordings study</w:t>
      </w:r>
      <w:r>
        <w:t>: c</w:t>
      </w:r>
      <w:r w:rsidRPr="006F437F">
        <w:t xml:space="preserve">ase </w:t>
      </w:r>
      <w:r>
        <w:t>s</w:t>
      </w:r>
      <w:r w:rsidRPr="006F437F">
        <w:t xml:space="preserve">tudies of </w:t>
      </w:r>
      <w:r>
        <w:t>c</w:t>
      </w:r>
      <w:r w:rsidRPr="006F437F">
        <w:t xml:space="preserve">ustomer </w:t>
      </w:r>
      <w:r>
        <w:t>j</w:t>
      </w:r>
      <w:r w:rsidRPr="006F437F">
        <w:t>ourneys</w:t>
      </w:r>
      <w:r w:rsidRPr="004A1436">
        <w:t>’, May 2022</w:t>
      </w:r>
      <w:r>
        <w:t xml:space="preserve">. </w:t>
      </w:r>
    </w:p>
    <w:p w14:paraId="667A26C4" w14:textId="39AD0F3E" w:rsidR="00C43F4C" w:rsidRDefault="00C43F4C" w:rsidP="002A4A50">
      <w:pPr>
        <w:keepNext/>
        <w:keepLines/>
      </w:pPr>
      <w:r>
        <w:t xml:space="preserve">The minimum standards for payment arrangements required under the framework appear to have reduced some of the previous barriers to assistance for customers. Under some retailer hardship programs prior to the framework’s implementation, retailers were given more discretion to propose the structure of payment arrangements to customers. </w:t>
      </w:r>
    </w:p>
    <w:p w14:paraId="772E25E9" w14:textId="77777777" w:rsidR="00C43F4C" w:rsidRDefault="00C43F4C" w:rsidP="00C43F4C">
      <w:r>
        <w:t xml:space="preserve">The framework now requires retailers to offer customers payment arrangements that allow their arrears to be repaid within two years, as a minimum. This was designed with the intention to set a clear minimum standard for retailers to work with, while providing for some flexibility. For example, </w:t>
      </w:r>
      <w:r>
        <w:lastRenderedPageBreak/>
        <w:t>customers are also able to propose different instalment amounts so that arrears can be repaid in a shorter time, and retailers are also able to voluntarily offer a repayment period beyond the two-year minimum.</w:t>
      </w:r>
    </w:p>
    <w:p w14:paraId="55B29E9D" w14:textId="617D6187" w:rsidR="00C43F4C" w:rsidRDefault="008D1B0F" w:rsidP="00C70121">
      <w:pPr>
        <w:keepNext/>
        <w:keepLines/>
      </w:pPr>
      <w:r>
        <w:t>Some s</w:t>
      </w:r>
      <w:r w:rsidR="00C43F4C">
        <w:t xml:space="preserve">takeholders were generally </w:t>
      </w:r>
      <w:r w:rsidR="00C43F4C" w:rsidRPr="00E51235">
        <w:t xml:space="preserve">positive about </w:t>
      </w:r>
      <w:r w:rsidR="00C43F4C">
        <w:t xml:space="preserve">how </w:t>
      </w:r>
      <w:r w:rsidR="00C43F4C" w:rsidRPr="00E51235">
        <w:t>the framework</w:t>
      </w:r>
      <w:r w:rsidR="00C43F4C">
        <w:t xml:space="preserve"> supports </w:t>
      </w:r>
      <w:r w:rsidR="00C43F4C" w:rsidRPr="00E51235">
        <w:t xml:space="preserve">customers through </w:t>
      </w:r>
      <w:r w:rsidR="00B81A36">
        <w:t xml:space="preserve">more formalised </w:t>
      </w:r>
      <w:r w:rsidR="00C43F4C" w:rsidRPr="00E51235">
        <w:t>payment arrangements</w:t>
      </w:r>
      <w:r w:rsidR="00C43F4C">
        <w:t xml:space="preserve">, particularly those </w:t>
      </w:r>
      <w:r w:rsidR="00C43F4C" w:rsidRPr="00E51235">
        <w:t>experiencing immediate or short-term financial difficulty</w:t>
      </w:r>
      <w:r w:rsidR="00C43F4C">
        <w:t>.</w:t>
      </w:r>
      <w:r w:rsidR="00C43F4C">
        <w:rPr>
          <w:rStyle w:val="FootnoteReference"/>
        </w:rPr>
        <w:footnoteReference w:id="68"/>
      </w:r>
      <w:r w:rsidR="00C43F4C">
        <w:t xml:space="preserve"> </w:t>
      </w:r>
      <w:r w:rsidR="00170F78">
        <w:t xml:space="preserve">The Consumer Action Law Centre </w:t>
      </w:r>
      <w:r w:rsidR="00416826">
        <w:t>also observed</w:t>
      </w:r>
      <w:r w:rsidR="00170F78">
        <w:t xml:space="preserve"> a </w:t>
      </w:r>
      <w:r w:rsidR="000E2E8C">
        <w:t xml:space="preserve">general </w:t>
      </w:r>
      <w:r w:rsidR="00416826">
        <w:t>reduction</w:t>
      </w:r>
      <w:r w:rsidR="00C43F4C" w:rsidRPr="00611210">
        <w:t xml:space="preserve"> in </w:t>
      </w:r>
      <w:r w:rsidR="000E2E8C">
        <w:t>retailer pressure to accept unaffordable payment plans:</w:t>
      </w:r>
    </w:p>
    <w:p w14:paraId="407BCA19" w14:textId="77777777" w:rsidR="00C43F4C" w:rsidRDefault="00C43F4C" w:rsidP="00C70121">
      <w:pPr>
        <w:pStyle w:val="Quote"/>
        <w:keepNext/>
        <w:keepLines/>
      </w:pPr>
      <w:r>
        <w:t xml:space="preserve">...overall, there has been gradual improvement in the hardship assistance customers are receiving from their retailers since the introduction of the PDF. Since the first report was published in July 2019 we have seen reductions in the </w:t>
      </w:r>
      <w:r w:rsidR="00416826">
        <w:t xml:space="preserve">proportion of </w:t>
      </w:r>
      <w:r>
        <w:t xml:space="preserve">people </w:t>
      </w:r>
      <w:r w:rsidR="00416826">
        <w:t>reporting</w:t>
      </w:r>
      <w:r>
        <w:t xml:space="preserve">: being inappropriately referred to our financial counsellors by their energy companies; being </w:t>
      </w:r>
      <w:r w:rsidR="003F1C3B">
        <w:t xml:space="preserve">pressured by their retailer to accept </w:t>
      </w:r>
      <w:r w:rsidRPr="00611210">
        <w:t xml:space="preserve">unaffordable </w:t>
      </w:r>
      <w:r w:rsidR="00E45878">
        <w:t>payment plans</w:t>
      </w:r>
      <w:r>
        <w:t>; and either being threatened with disconnection, or having their energy disconnected.</w:t>
      </w:r>
      <w:r>
        <w:rPr>
          <w:rStyle w:val="FootnoteReference"/>
        </w:rPr>
        <w:footnoteReference w:id="69"/>
      </w:r>
    </w:p>
    <w:p w14:paraId="6804EB7C" w14:textId="6C002306" w:rsidR="00C43F4C" w:rsidRDefault="002A4A50" w:rsidP="00C43F4C">
      <w:r>
        <w:t>R</w:t>
      </w:r>
      <w:r w:rsidR="00C43F4C" w:rsidDel="00F70998">
        <w:t>etailers</w:t>
      </w:r>
      <w:r w:rsidR="00E94BFA">
        <w:t xml:space="preserve"> </w:t>
      </w:r>
      <w:r w:rsidR="00C43F4C">
        <w:t>AGL and Origin Energy, commented that the minimum standards relating to payment arrangements are beneficial for customers:</w:t>
      </w:r>
    </w:p>
    <w:p w14:paraId="1FCADC0D" w14:textId="77777777" w:rsidR="00C43F4C" w:rsidRDefault="00C43F4C" w:rsidP="0027254C">
      <w:pPr>
        <w:pStyle w:val="Quote"/>
        <w:keepLines/>
      </w:pPr>
      <w:r>
        <w:t xml:space="preserve">Tailored assistance </w:t>
      </w:r>
      <w:r w:rsidRPr="00E216A6">
        <w:t>has given customers and their representatives greater agency in setting the payment plan instalment amount.</w:t>
      </w:r>
      <w:r>
        <w:rPr>
          <w:rStyle w:val="FootnoteReference"/>
        </w:rPr>
        <w:footnoteReference w:id="70"/>
      </w:r>
    </w:p>
    <w:p w14:paraId="446896B2" w14:textId="6405FA2F" w:rsidR="00C43F4C" w:rsidRDefault="00C43F4C" w:rsidP="0027254C">
      <w:pPr>
        <w:pStyle w:val="Quote"/>
        <w:keepLines/>
      </w:pPr>
      <w:r>
        <w:t>A key feature of the PDF was the inclusion of this entitlement for a customer as the retailer would be required to accept the customers proposal…They are provided with a plan as per the Code (Cl. 81(3)) where the discussion with the customer indicates that in their circumstances a plan to repay their current bill and future use over a two-year period is required.</w:t>
      </w:r>
      <w:r>
        <w:rPr>
          <w:rStyle w:val="FootnoteReference"/>
        </w:rPr>
        <w:footnoteReference w:id="71"/>
      </w:r>
    </w:p>
    <w:p w14:paraId="2B6CCF5C" w14:textId="77777777" w:rsidR="00C43F4C" w:rsidRDefault="00C43F4C" w:rsidP="00C43F4C">
      <w:pPr>
        <w:pStyle w:val="Heading4"/>
      </w:pPr>
      <w:r>
        <w:lastRenderedPageBreak/>
        <w:t xml:space="preserve">There are still instances of inappropriate or unaffordable payment arrangements </w:t>
      </w:r>
    </w:p>
    <w:p w14:paraId="085BBAD7" w14:textId="77777777" w:rsidR="00C43F4C" w:rsidRDefault="00C43F4C" w:rsidP="00C43F4C">
      <w:r>
        <w:rPr>
          <w:lang w:val="en-US"/>
        </w:rPr>
        <w:t xml:space="preserve">The framework does not preclude retailers from going beyond minimum requirements to aid customers and </w:t>
      </w:r>
      <w:r>
        <w:t>offer payment plans with longer timeframes. This approach may be more appropriate for some customers.</w:t>
      </w:r>
      <w:r>
        <w:rPr>
          <w:rStyle w:val="FootnoteReference"/>
        </w:rPr>
        <w:footnoteReference w:id="72"/>
      </w:r>
    </w:p>
    <w:p w14:paraId="1E6F4759" w14:textId="47B1EE31" w:rsidR="00C43F4C" w:rsidRDefault="00BC52CA" w:rsidP="00C43F4C">
      <w:r>
        <w:t>N</w:t>
      </w:r>
      <w:r w:rsidR="00C43F4C">
        <w:t xml:space="preserve">ot all customers find the minimum payment arrangement structures appropriate for their needs. While stakeholders agreed </w:t>
      </w:r>
      <w:r w:rsidR="00C43F4C" w:rsidRPr="000847DE">
        <w:t xml:space="preserve">payment plans should not last forever, </w:t>
      </w:r>
      <w:r w:rsidR="00C43F4C">
        <w:t xml:space="preserve">they also recognised that customers could end up </w:t>
      </w:r>
      <w:r w:rsidR="00C43F4C" w:rsidRPr="000847DE">
        <w:t xml:space="preserve">agreeing to </w:t>
      </w:r>
      <w:r w:rsidR="00C43F4C">
        <w:t>smaller repayment amounts that lead to a build-up of arrears over time</w:t>
      </w:r>
      <w:r w:rsidR="00C43F4C" w:rsidRPr="000847DE">
        <w:t>.</w:t>
      </w:r>
      <w:r w:rsidR="00A628F3">
        <w:rPr>
          <w:rStyle w:val="FootnoteReference"/>
        </w:rPr>
        <w:footnoteReference w:id="73"/>
      </w:r>
      <w:r w:rsidR="00C43F4C" w:rsidRPr="00AD01B5">
        <w:t xml:space="preserve"> </w:t>
      </w:r>
      <w:r w:rsidR="00C43F4C">
        <w:t>Some customers begin their payment arrangements with very high levels of arrears, making it unlikely for repayment amounts to be affordable or sustainable.</w:t>
      </w:r>
    </w:p>
    <w:p w14:paraId="5805AC42" w14:textId="31AFAD8D" w:rsidR="00C43F4C" w:rsidRDefault="00C43F4C" w:rsidP="00C43F4C">
      <w:r>
        <w:t xml:space="preserve">Stakeholders provided different views on how the discussions on payment arrangements are perceived by the customer. </w:t>
      </w:r>
      <w:r w:rsidR="00E80865">
        <w:t>Some stakeholders have observed</w:t>
      </w:r>
      <w:r w:rsidR="00E80865" w:rsidRPr="00020F5A">
        <w:t xml:space="preserve"> </w:t>
      </w:r>
      <w:r w:rsidR="00E80865">
        <w:t>that some customers can find it difficult to negotiate alternative repayment amounts or intervals for their payment arrangements.</w:t>
      </w:r>
      <w:r w:rsidR="00E80865">
        <w:rPr>
          <w:rStyle w:val="FootnoteReference"/>
        </w:rPr>
        <w:footnoteReference w:id="74"/>
      </w:r>
      <w:r w:rsidR="00E80865">
        <w:t xml:space="preserve"> </w:t>
      </w:r>
      <w:r>
        <w:t xml:space="preserve"> Financial Counselling Victoria </w:t>
      </w:r>
      <w:r w:rsidR="00EF55F6">
        <w:t xml:space="preserve">and Anglicare </w:t>
      </w:r>
      <w:r>
        <w:t>considered that the minimum payment plan arrangements suggested by retailers are perceived as being non-negotiable, and may not be suitable for some customers:</w:t>
      </w:r>
    </w:p>
    <w:p w14:paraId="6CAE340B" w14:textId="77777777" w:rsidR="00C43F4C" w:rsidRPr="00575A55" w:rsidRDefault="00C43F4C" w:rsidP="00C43F4C">
      <w:pPr>
        <w:pStyle w:val="Quote"/>
      </w:pPr>
      <w:r w:rsidRPr="00575A55">
        <w:t>The payment plan arrangements are put forward as non-negotiable…This often puts the customer in a worse position as payment plans are often proposed as non-negotiable and are often unreasonable and unsustainable.</w:t>
      </w:r>
      <w:r w:rsidRPr="00575A55">
        <w:rPr>
          <w:rStyle w:val="FootnoteReference"/>
        </w:rPr>
        <w:footnoteReference w:id="75"/>
      </w:r>
    </w:p>
    <w:p w14:paraId="720F828E" w14:textId="77777777" w:rsidR="00C43F4C" w:rsidRDefault="00C43F4C" w:rsidP="00C43F4C">
      <w:pPr>
        <w:pStyle w:val="Quote"/>
      </w:pPr>
      <w:r w:rsidRPr="00575A55">
        <w:t>Inconsistent sector and phone operators can often demand higher amounts than what clients can afford.</w:t>
      </w:r>
      <w:r w:rsidRPr="00575A55">
        <w:rPr>
          <w:rStyle w:val="FootnoteReference"/>
        </w:rPr>
        <w:footnoteReference w:id="76"/>
      </w:r>
    </w:p>
    <w:p w14:paraId="58106577" w14:textId="543261A8" w:rsidR="00C43F4C" w:rsidRPr="00575A55" w:rsidRDefault="00C43F4C" w:rsidP="008522C8">
      <w:pPr>
        <w:keepNext/>
        <w:keepLines/>
      </w:pPr>
      <w:r>
        <w:lastRenderedPageBreak/>
        <w:t>Conversely, retailers such as Origin Energy recognise that retailers will generally lead the discussion on payment arrangements with customers, but suggest there are reasonable options for a customer to consider:</w:t>
      </w:r>
    </w:p>
    <w:p w14:paraId="08116505" w14:textId="77777777" w:rsidR="00C43F4C" w:rsidRDefault="00C43F4C" w:rsidP="008522C8">
      <w:pPr>
        <w:pStyle w:val="Quote"/>
        <w:keepLines/>
      </w:pPr>
      <w:r w:rsidRPr="00AD43E0">
        <w:t>This is a retailer-led discussion in most cases, enabling the customer to access their entitlement. When we discuss with the customer their need for a payment plan, the instalment amounts and the period over which the outstanding amount is repaid is agreed as part of the discussion at that point in time. The agent will ask the customer about the desired length of the repayment period and offer options that the customer can choose from. If these initial options are not suitable for the customer, the agent will offer an alternative entitlement available to the customer.</w:t>
      </w:r>
      <w:r w:rsidRPr="00AD43E0">
        <w:rPr>
          <w:rStyle w:val="FootnoteReference"/>
        </w:rPr>
        <w:footnoteReference w:id="77"/>
      </w:r>
    </w:p>
    <w:p w14:paraId="1E5D1BAE" w14:textId="28387446" w:rsidR="00C43F4C" w:rsidRDefault="00C43F4C" w:rsidP="00C43F4C">
      <w:r>
        <w:t xml:space="preserve">We recognise that some customers may not be </w:t>
      </w:r>
      <w:r w:rsidR="00BC0BEB">
        <w:t>confident</w:t>
      </w:r>
      <w:r>
        <w:t xml:space="preserve"> to negotiate payment arrangements. </w:t>
      </w:r>
      <w:r w:rsidRPr="00837FC7">
        <w:t>As part of our research into customers experiencing vulnerability,</w:t>
      </w:r>
      <w:r>
        <w:t xml:space="preserve"> we found it </w:t>
      </w:r>
      <w:r w:rsidRPr="00837FC7">
        <w:t xml:space="preserve">is likely that those facing payment difficulty </w:t>
      </w:r>
      <w:r>
        <w:t xml:space="preserve">also encounter </w:t>
      </w:r>
      <w:r w:rsidRPr="00837FC7">
        <w:t>multiple barriers.</w:t>
      </w:r>
      <w:r w:rsidR="00823735">
        <w:t xml:space="preserve"> Stakeholders echoed these observations in their feedback to the review. </w:t>
      </w:r>
      <w:r>
        <w:t>We also observed this in the call recordings we collected for the review</w:t>
      </w:r>
      <w:r w:rsidR="00823735">
        <w:t>. C</w:t>
      </w:r>
      <w:r>
        <w:t>ustomers mention</w:t>
      </w:r>
      <w:r w:rsidR="00823735">
        <w:t>ed</w:t>
      </w:r>
      <w:r>
        <w:t xml:space="preserve"> that they were experiencing an average of three different types of barriers across their various calls</w:t>
      </w:r>
      <w:r w:rsidR="0052670B">
        <w:t xml:space="preserve"> </w:t>
      </w:r>
      <w:r>
        <w:t>(</w:t>
      </w:r>
      <w:r>
        <w:fldChar w:fldCharType="begin"/>
      </w:r>
      <w:r>
        <w:instrText xml:space="preserve"> REF _Ref103407339 \h </w:instrText>
      </w:r>
      <w:r>
        <w:fldChar w:fldCharType="separate"/>
      </w:r>
      <w:r w:rsidR="00357DD7">
        <w:t xml:space="preserve">Figure </w:t>
      </w:r>
      <w:r w:rsidR="00357DD7">
        <w:rPr>
          <w:noProof/>
        </w:rPr>
        <w:t>16</w:t>
      </w:r>
      <w:r>
        <w:fldChar w:fldCharType="end"/>
      </w:r>
      <w:r>
        <w:t>).</w:t>
      </w:r>
      <w:r w:rsidR="00823735" w:rsidRPr="00823735">
        <w:t xml:space="preserve"> </w:t>
      </w:r>
    </w:p>
    <w:p w14:paraId="24E281E6" w14:textId="16826185" w:rsidR="00C43F4C" w:rsidRDefault="00C43F4C" w:rsidP="000D5DB6">
      <w:pPr>
        <w:pStyle w:val="Figure-Table-BoxHeading"/>
        <w:keepNext/>
        <w:keepLines/>
        <w:numPr>
          <w:ilvl w:val="0"/>
          <w:numId w:val="0"/>
        </w:numPr>
      </w:pPr>
      <w:bookmarkStart w:id="123" w:name="_Ref103407339"/>
      <w:bookmarkStart w:id="124" w:name="_Toc103943786"/>
      <w:r>
        <w:t xml:space="preserve">Figure </w:t>
      </w:r>
      <w:r>
        <w:fldChar w:fldCharType="begin"/>
      </w:r>
      <w:r>
        <w:instrText>SEQ Figure \* ARABIC</w:instrText>
      </w:r>
      <w:r>
        <w:fldChar w:fldCharType="separate"/>
      </w:r>
      <w:r w:rsidR="00357DD7">
        <w:rPr>
          <w:noProof/>
        </w:rPr>
        <w:t>16</w:t>
      </w:r>
      <w:r>
        <w:fldChar w:fldCharType="end"/>
      </w:r>
      <w:bookmarkEnd w:id="123"/>
      <w:r>
        <w:t xml:space="preserve"> </w:t>
      </w:r>
      <w:r>
        <w:tab/>
        <w:t xml:space="preserve">Number of barriers experienced by customers, as mentioned to retailers </w:t>
      </w:r>
      <w:bookmarkEnd w:id="124"/>
      <w:r w:rsidR="006C359C">
        <w:t>(</w:t>
      </w:r>
      <w:r w:rsidR="000A63D9">
        <w:t>based on observations of call recordings collected for the review</w:t>
      </w:r>
      <w:r w:rsidR="006C359C">
        <w:t>)</w:t>
      </w:r>
    </w:p>
    <w:p w14:paraId="209E1D50" w14:textId="77777777" w:rsidR="00C43F4C" w:rsidRDefault="00C43F4C" w:rsidP="00C43F4C">
      <w:r>
        <w:rPr>
          <w:noProof/>
        </w:rPr>
        <w:drawing>
          <wp:inline distT="0" distB="0" distL="0" distR="0" wp14:anchorId="15ECE4A2" wp14:editId="0F82D9AD">
            <wp:extent cx="6120000" cy="2480181"/>
            <wp:effectExtent l="0" t="0" r="0" b="0"/>
            <wp:docPr id="100021" name="Picture 100021" descr="Chart showing the number of types of barriers experienced by customers that were mentioned to retailers during calls. Customers mentioned an average of 3.6 barriers during the calls.&#10;Number of barriers:&#10;None 6 per cent, One 17 per cent, Two 19 per cent, Three 15 per cent, Four 15 per cent, Five 6 per cent, Six 11 per cent, Seven 3 per cent, Eight 2 per cent,&#10;Nine 1 per cent, Ten 1 per cent, Eleven 1 per cent, Twelve 1 per cent, Thirteen 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Picture 100021" descr="Chart showing the number of types of barriers experienced by customers that were mentioned to retailers during calls. Customers mentioned an average of 3.6 barriers during the calls.&#10;Number of barriers:&#10;None 6 per cent, One 17 per cent, Two 19 per cent, Three 15 per cent, Four 15 per cent, Five 6 per cent, Six 11 per cent, Seven 3 per cent, Eight 2 per cent,&#10;Nine 1 per cent, Ten 1 per cent, Eleven 1 per cent, Twelve 1 per cent, Thirteen 1 per cent"/>
                    <pic:cNvPicPr>
                      <a:picLocks noChangeAspect="1"/>
                    </pic:cNvPicPr>
                  </pic:nvPicPr>
                  <pic:blipFill rotWithShape="1">
                    <a:blip r:embed="rId88"/>
                    <a:srcRect t="21748"/>
                    <a:stretch/>
                  </pic:blipFill>
                  <pic:spPr bwMode="auto">
                    <a:xfrm>
                      <a:off x="0" y="0"/>
                      <a:ext cx="6120000" cy="2480181"/>
                    </a:xfrm>
                    <a:prstGeom prst="rect">
                      <a:avLst/>
                    </a:prstGeom>
                    <a:ln>
                      <a:noFill/>
                    </a:ln>
                    <a:extLst>
                      <a:ext uri="{53640926-AAD7-44D8-BBD7-CCE9431645EC}">
                        <a14:shadowObscured xmlns:a14="http://schemas.microsoft.com/office/drawing/2010/main"/>
                      </a:ext>
                    </a:extLst>
                  </pic:spPr>
                </pic:pic>
              </a:graphicData>
            </a:graphic>
          </wp:inline>
        </w:drawing>
      </w:r>
    </w:p>
    <w:p w14:paraId="389CB74A" w14:textId="335362C5" w:rsidR="006C359C" w:rsidRDefault="00D31CF2" w:rsidP="000C53C1">
      <w:pPr>
        <w:pStyle w:val="Source"/>
      </w:pPr>
      <w:r>
        <w:lastRenderedPageBreak/>
        <w:t xml:space="preserve">Source: </w:t>
      </w:r>
      <w:r w:rsidR="005A42F2" w:rsidRPr="005A42F2">
        <w:t>ORIMA Research, ‘Call recordings study’, May 2022</w:t>
      </w:r>
    </w:p>
    <w:p w14:paraId="07B9430F" w14:textId="6897DD42" w:rsidR="00407B3A" w:rsidRPr="00E529C8" w:rsidRDefault="009E38BC" w:rsidP="00C43F4C">
      <w:r>
        <w:t>Many of these barriers were related to the events they were experiencing in their lives. Most frequently mentioned by customers was financial stress or pressure (79 per cent), followed by lack of work (41 per cent) or job loss (28 per cent) and illness (26 per cent).</w:t>
      </w:r>
      <w:r>
        <w:rPr>
          <w:rStyle w:val="FootnoteReference"/>
        </w:rPr>
        <w:footnoteReference w:id="78"/>
      </w:r>
      <w:r>
        <w:t xml:space="preserve"> This can place many of these customers at a disadvantage when discussing payment terms with a retailer and might find</w:t>
      </w:r>
      <w:r w:rsidRPr="00837FC7">
        <w:t xml:space="preserve"> such negotiations with retailers difficult or overwhelming</w:t>
      </w:r>
      <w:r>
        <w:t>, and agreeing to plans they cannot afford.</w:t>
      </w:r>
    </w:p>
    <w:p w14:paraId="6CD747D9" w14:textId="08AE1810" w:rsidR="00C43F4C" w:rsidRPr="00D9450D" w:rsidRDefault="00250AD1" w:rsidP="003A5AB9">
      <w:pPr>
        <w:pStyle w:val="Pull-outHeading"/>
        <w:keepNext/>
        <w:keepLines/>
      </w:pPr>
      <w:r>
        <w:t>Call recording</w:t>
      </w:r>
      <w:r w:rsidR="00CF6C1E">
        <w:t>s</w:t>
      </w:r>
      <w:r>
        <w:t xml:space="preserve"> case study </w:t>
      </w:r>
      <w:r>
        <w:fldChar w:fldCharType="begin"/>
      </w:r>
      <w:r>
        <w:instrText xml:space="preserve"> SEQ Call_recording_case_study \* ARABIC </w:instrText>
      </w:r>
      <w:r>
        <w:fldChar w:fldCharType="separate"/>
      </w:r>
      <w:r w:rsidR="00357DD7">
        <w:rPr>
          <w:noProof/>
        </w:rPr>
        <w:t>3</w:t>
      </w:r>
      <w:r>
        <w:fldChar w:fldCharType="end"/>
      </w:r>
      <w:r w:rsidR="00C43F4C" w:rsidRPr="00D9450D">
        <w:t>: unaffordable payment plans</w:t>
      </w:r>
    </w:p>
    <w:p w14:paraId="16CA9D6B" w14:textId="24E3FEF0" w:rsidR="00C43F4C" w:rsidRDefault="00C43F4C" w:rsidP="003A5AB9">
      <w:pPr>
        <w:pStyle w:val="Pull-outHeading"/>
        <w:keepNext/>
        <w:keepLines/>
        <w:rPr>
          <w:b w:val="0"/>
        </w:rPr>
      </w:pPr>
      <w:r>
        <w:rPr>
          <w:b w:val="0"/>
        </w:rPr>
        <w:t>T</w:t>
      </w:r>
      <w:r w:rsidRPr="001345EA">
        <w:rPr>
          <w:b w:val="0"/>
        </w:rPr>
        <w:t xml:space="preserve">he </w:t>
      </w:r>
      <w:r>
        <w:rPr>
          <w:b w:val="0"/>
        </w:rPr>
        <w:t>experience of</w:t>
      </w:r>
      <w:r w:rsidRPr="001345EA">
        <w:rPr>
          <w:b w:val="0"/>
        </w:rPr>
        <w:t xml:space="preserve"> the customer in </w:t>
      </w:r>
      <w:r>
        <w:rPr>
          <w:b w:val="0"/>
        </w:rPr>
        <w:t>customer journey</w:t>
      </w:r>
      <w:r w:rsidRPr="001345EA">
        <w:rPr>
          <w:b w:val="0"/>
        </w:rPr>
        <w:t xml:space="preserve"> 3 illustrates that some payment plans </w:t>
      </w:r>
      <w:r>
        <w:rPr>
          <w:b w:val="0"/>
        </w:rPr>
        <w:t xml:space="preserve">may be </w:t>
      </w:r>
      <w:r w:rsidRPr="001345EA">
        <w:rPr>
          <w:b w:val="0"/>
        </w:rPr>
        <w:t>unsuitable for some customers.</w:t>
      </w:r>
      <w:r>
        <w:rPr>
          <w:b w:val="0"/>
        </w:rPr>
        <w:t xml:space="preserve"> In this case</w:t>
      </w:r>
      <w:r>
        <w:rPr>
          <w:b w:val="0"/>
          <w:bCs w:val="0"/>
        </w:rPr>
        <w:t xml:space="preserve"> </w:t>
      </w:r>
      <w:r>
        <w:rPr>
          <w:b w:val="0"/>
        </w:rPr>
        <w:t>study, the customer was:</w:t>
      </w:r>
    </w:p>
    <w:p w14:paraId="7605E1E4" w14:textId="77777777" w:rsidR="00C43F4C" w:rsidRDefault="00C43F4C" w:rsidP="003A5AB9">
      <w:pPr>
        <w:pStyle w:val="Pull-outBullet1"/>
        <w:keepNext/>
        <w:keepLines/>
      </w:pPr>
      <w:r w:rsidRPr="001345EA">
        <w:t xml:space="preserve">experiencing </w:t>
      </w:r>
      <w:r>
        <w:t>payment difficulty</w:t>
      </w:r>
      <w:r w:rsidRPr="001345EA">
        <w:t xml:space="preserve"> due to job loss on multiple occasions</w:t>
      </w:r>
    </w:p>
    <w:p w14:paraId="5AB7E7BB" w14:textId="77777777" w:rsidR="00C43F4C" w:rsidRDefault="00C43F4C" w:rsidP="003A5AB9">
      <w:pPr>
        <w:pStyle w:val="Pull-outBullet1"/>
        <w:keepNext/>
        <w:keepLines/>
      </w:pPr>
      <w:r w:rsidRPr="00031FFD">
        <w:t>living in low quality housing, which led to lower levels of energy efficiency and possibly higher levels of consumption</w:t>
      </w:r>
    </w:p>
    <w:p w14:paraId="5C41CD2B" w14:textId="354000AB" w:rsidR="00C43F4C" w:rsidRPr="00691E1F" w:rsidRDefault="00C43F4C" w:rsidP="003A5AB9">
      <w:pPr>
        <w:pStyle w:val="Pull-outBullet1"/>
        <w:keepNext/>
        <w:keepLines/>
      </w:pPr>
      <w:r w:rsidRPr="00691E1F">
        <w:t xml:space="preserve">had accrued high levels of </w:t>
      </w:r>
      <w:r w:rsidR="0015558C" w:rsidRPr="00691E1F">
        <w:t>arrears</w:t>
      </w:r>
      <w:r w:rsidRPr="00691E1F">
        <w:t xml:space="preserve">. </w:t>
      </w:r>
    </w:p>
    <w:p w14:paraId="6368DB76" w14:textId="5778FAEC" w:rsidR="00C43F4C" w:rsidRPr="00691E1F" w:rsidRDefault="00C43F4C" w:rsidP="003A5AB9">
      <w:pPr>
        <w:pStyle w:val="Pull-outHeading"/>
        <w:keepNext/>
        <w:keepLines/>
        <w:rPr>
          <w:b w:val="0"/>
        </w:rPr>
      </w:pPr>
      <w:r w:rsidRPr="00691E1F">
        <w:rPr>
          <w:b w:val="0"/>
        </w:rPr>
        <w:t xml:space="preserve">These multiple barriers faced by the customer made the </w:t>
      </w:r>
      <w:r w:rsidR="00034977" w:rsidRPr="00691E1F">
        <w:rPr>
          <w:b w:val="0"/>
        </w:rPr>
        <w:t xml:space="preserve">proposed </w:t>
      </w:r>
      <w:r w:rsidRPr="00691E1F">
        <w:rPr>
          <w:b w:val="0"/>
        </w:rPr>
        <w:t xml:space="preserve">payment plan consistently unaffordable for them. The customer requested to defer payments, </w:t>
      </w:r>
      <w:r w:rsidR="009450CC" w:rsidRPr="00691E1F">
        <w:rPr>
          <w:b w:val="0"/>
        </w:rPr>
        <w:t xml:space="preserve">which was agreed to </w:t>
      </w:r>
      <w:r w:rsidR="005237A9" w:rsidRPr="00691E1F">
        <w:rPr>
          <w:b w:val="0"/>
        </w:rPr>
        <w:t xml:space="preserve">on two occasions </w:t>
      </w:r>
      <w:r w:rsidR="009450CC" w:rsidRPr="00691E1F">
        <w:rPr>
          <w:b w:val="0"/>
        </w:rPr>
        <w:t>and they continued to make payments after the deferral</w:t>
      </w:r>
      <w:r w:rsidR="005237A9" w:rsidRPr="00691E1F">
        <w:rPr>
          <w:b w:val="0"/>
        </w:rPr>
        <w:t xml:space="preserve">. </w:t>
      </w:r>
    </w:p>
    <w:p w14:paraId="04A72BEE" w14:textId="59B80D0F" w:rsidR="00691105" w:rsidRPr="001345EA" w:rsidRDefault="00691105" w:rsidP="003A5AB9">
      <w:pPr>
        <w:pStyle w:val="Pull-outHeading"/>
        <w:keepNext/>
        <w:keepLines/>
      </w:pPr>
      <w:r w:rsidRPr="00691E1F">
        <w:rPr>
          <w:b w:val="0"/>
        </w:rPr>
        <w:t>The retailer offered</w:t>
      </w:r>
      <w:r w:rsidR="008D4B58" w:rsidRPr="00691E1F">
        <w:rPr>
          <w:b w:val="0"/>
        </w:rPr>
        <w:t xml:space="preserve"> to retrospectively </w:t>
      </w:r>
      <w:r w:rsidR="006069F1" w:rsidRPr="00691E1F">
        <w:rPr>
          <w:b w:val="0"/>
        </w:rPr>
        <w:t xml:space="preserve">match the last seven </w:t>
      </w:r>
      <w:r w:rsidRPr="00691E1F">
        <w:rPr>
          <w:b w:val="0"/>
        </w:rPr>
        <w:t>payment</w:t>
      </w:r>
      <w:r w:rsidR="006069F1" w:rsidRPr="00691E1F">
        <w:rPr>
          <w:b w:val="0"/>
        </w:rPr>
        <w:t>s</w:t>
      </w:r>
      <w:r w:rsidRPr="00691E1F">
        <w:rPr>
          <w:b w:val="0"/>
        </w:rPr>
        <w:t xml:space="preserve"> and a</w:t>
      </w:r>
      <w:r w:rsidR="006069F1" w:rsidRPr="00691E1F">
        <w:rPr>
          <w:b w:val="0"/>
        </w:rPr>
        <w:t>pplied a</w:t>
      </w:r>
      <w:r w:rsidRPr="00691E1F">
        <w:rPr>
          <w:b w:val="0"/>
        </w:rPr>
        <w:t xml:space="preserve"> debt waiver</w:t>
      </w:r>
      <w:r w:rsidR="006069F1" w:rsidRPr="00691E1F">
        <w:rPr>
          <w:b w:val="0"/>
        </w:rPr>
        <w:t xml:space="preserve"> to </w:t>
      </w:r>
      <w:r w:rsidR="004965D2" w:rsidRPr="00691E1F">
        <w:rPr>
          <w:b w:val="0"/>
        </w:rPr>
        <w:t>eliminate all remaining</w:t>
      </w:r>
      <w:r w:rsidR="00EA0F1E" w:rsidRPr="00691E1F">
        <w:rPr>
          <w:b w:val="0"/>
        </w:rPr>
        <w:t xml:space="preserve"> </w:t>
      </w:r>
      <w:r w:rsidR="0015558C" w:rsidRPr="00691E1F">
        <w:rPr>
          <w:b w:val="0"/>
        </w:rPr>
        <w:t>arrears</w:t>
      </w:r>
      <w:r w:rsidR="005237A9" w:rsidRPr="007F77A1">
        <w:rPr>
          <w:b w:val="0"/>
        </w:rPr>
        <w:t xml:space="preserve">. </w:t>
      </w:r>
      <w:r w:rsidR="00664096" w:rsidRPr="007F77A1">
        <w:rPr>
          <w:b w:val="0"/>
        </w:rPr>
        <w:t xml:space="preserve">The customer’s inability to make </w:t>
      </w:r>
      <w:r w:rsidR="0099674A" w:rsidRPr="007F77A1">
        <w:rPr>
          <w:b w:val="0"/>
        </w:rPr>
        <w:t>higher payments impacted thei</w:t>
      </w:r>
      <w:r w:rsidR="00E1154C" w:rsidRPr="007F77A1">
        <w:rPr>
          <w:b w:val="0"/>
        </w:rPr>
        <w:t xml:space="preserve">r ability to reduce the </w:t>
      </w:r>
      <w:r w:rsidR="0015558C" w:rsidRPr="007F77A1">
        <w:rPr>
          <w:b w:val="0"/>
        </w:rPr>
        <w:t>arrears</w:t>
      </w:r>
      <w:r w:rsidR="00E1154C" w:rsidRPr="007F77A1">
        <w:rPr>
          <w:b w:val="0"/>
        </w:rPr>
        <w:t xml:space="preserve"> without further assistance.</w:t>
      </w:r>
      <w:r w:rsidRPr="007F77A1">
        <w:rPr>
          <w:b w:val="0"/>
        </w:rPr>
        <w:t xml:space="preserve"> </w:t>
      </w:r>
      <w:r w:rsidR="00330C7F" w:rsidRPr="007F77A1">
        <w:rPr>
          <w:b w:val="0"/>
        </w:rPr>
        <w:t>We note</w:t>
      </w:r>
      <w:r w:rsidR="00330C7F" w:rsidRPr="00691E1F">
        <w:rPr>
          <w:b w:val="0"/>
        </w:rPr>
        <w:t xml:space="preserve"> that the payment matching and debt waiver</w:t>
      </w:r>
      <w:r w:rsidRPr="00691E1F">
        <w:rPr>
          <w:b w:val="0"/>
        </w:rPr>
        <w:t xml:space="preserve"> </w:t>
      </w:r>
      <w:r w:rsidR="002C04A4">
        <w:rPr>
          <w:b w:val="0"/>
        </w:rPr>
        <w:t xml:space="preserve">offered by the retailer in this case </w:t>
      </w:r>
      <w:r w:rsidRPr="00691E1F">
        <w:rPr>
          <w:b w:val="0"/>
        </w:rPr>
        <w:t>is above the minimum standards in the framework.</w:t>
      </w:r>
    </w:p>
    <w:p w14:paraId="26A1E371" w14:textId="77777777" w:rsidR="00CF6C1E" w:rsidRDefault="00CF6C1E" w:rsidP="00CF6C1E">
      <w:pPr>
        <w:pStyle w:val="Caption"/>
      </w:pPr>
      <w:r w:rsidRPr="004A1436">
        <w:t>Source:</w:t>
      </w:r>
      <w:r>
        <w:t xml:space="preserve"> </w:t>
      </w:r>
      <w:r w:rsidRPr="004A1436">
        <w:t xml:space="preserve">ORIMA Research, </w:t>
      </w:r>
      <w:r>
        <w:t>‘</w:t>
      </w:r>
      <w:r w:rsidRPr="004A1436">
        <w:t>Call recordings study</w:t>
      </w:r>
      <w:r>
        <w:t>: c</w:t>
      </w:r>
      <w:r w:rsidRPr="006F437F">
        <w:t xml:space="preserve">ase </w:t>
      </w:r>
      <w:r>
        <w:t>s</w:t>
      </w:r>
      <w:r w:rsidRPr="006F437F">
        <w:t xml:space="preserve">tudies of </w:t>
      </w:r>
      <w:r>
        <w:t>c</w:t>
      </w:r>
      <w:r w:rsidRPr="006F437F">
        <w:t xml:space="preserve">ustomer </w:t>
      </w:r>
      <w:r>
        <w:t>j</w:t>
      </w:r>
      <w:r w:rsidRPr="006F437F">
        <w:t>ourneys</w:t>
      </w:r>
      <w:r w:rsidRPr="004A1436">
        <w:t>’, May 2022</w:t>
      </w:r>
      <w:r>
        <w:t xml:space="preserve">. </w:t>
      </w:r>
    </w:p>
    <w:p w14:paraId="5C9CE7F4" w14:textId="04D9EA6B" w:rsidR="00C43F4C" w:rsidRPr="003961B0" w:rsidRDefault="00C43F4C" w:rsidP="00C43F4C">
      <w:r>
        <w:t>Financial counsellors and</w:t>
      </w:r>
      <w:r w:rsidRPr="003961B0">
        <w:t xml:space="preserve"> representatives of community sector organisations have highlighted the importance of a trusted third party being able to engage with retailers on behalf of clients experiencing vulnerability. They noted that many of their clients are overwhelmed with a range of challenges, and often less confident or able to effectively engage with retailer staff. </w:t>
      </w:r>
      <w:r>
        <w:t>The use of such a third party would be a beneficial means of support for customers seeking assistance</w:t>
      </w:r>
    </w:p>
    <w:p w14:paraId="0A7B7028" w14:textId="0586C886" w:rsidR="00C43F4C" w:rsidRPr="003961B0" w:rsidRDefault="00C43F4C" w:rsidP="00C43F4C">
      <w:r>
        <w:lastRenderedPageBreak/>
        <w:t>However, these counsellors and representatives also noted the difficulties they encounter when seeking to support and advocate for their clients when they contact some retailers. Some retailer call centre staff are helpful and constructive when helping customers, but others are perceived as making the provision of support more difficult and time consuming for customers. This often frustrates early and effective engagement.</w:t>
      </w:r>
      <w:r w:rsidR="00D02B45">
        <w:rPr>
          <w:rStyle w:val="FootnoteReference"/>
        </w:rPr>
        <w:footnoteReference w:id="79"/>
      </w:r>
    </w:p>
    <w:p w14:paraId="3C8A7351" w14:textId="3BCE823B" w:rsidR="00C43F4C" w:rsidRDefault="00C43F4C" w:rsidP="00C43F4C">
      <w:pPr>
        <w:pStyle w:val="Heading3"/>
      </w:pPr>
      <w:r>
        <w:t>Payment arrangements appear more effective for customers with lower levels of arrears and who can pay for their ongoing use</w:t>
      </w:r>
    </w:p>
    <w:p w14:paraId="6FECE144" w14:textId="67FFBCCE" w:rsidR="00785E54" w:rsidRDefault="00C43F4C" w:rsidP="00C43F4C">
      <w:r>
        <w:t xml:space="preserve">It appears that payment arrangements (alongside other tailored assistance measures) have better supported customers with lower levels of arrears and who can pay for their ongoing usage. </w:t>
      </w:r>
      <w:r w:rsidR="00633019">
        <w:t>For example, on</w:t>
      </w:r>
      <w:r>
        <w:t xml:space="preserve"> average, a higher proportion of customers </w:t>
      </w:r>
      <w:r w:rsidR="003D2CAC">
        <w:t xml:space="preserve">who </w:t>
      </w:r>
      <w:r>
        <w:t xml:space="preserve">can pay for </w:t>
      </w:r>
      <w:r w:rsidR="00B33952">
        <w:t xml:space="preserve">their </w:t>
      </w:r>
      <w:r>
        <w:t>ongoing use</w:t>
      </w:r>
      <w:r w:rsidR="00B33952">
        <w:t xml:space="preserve">, were able to </w:t>
      </w:r>
      <w:r w:rsidR="00633019">
        <w:t xml:space="preserve">successfully </w:t>
      </w:r>
      <w:r w:rsidR="00B33952">
        <w:t>achieve a</w:t>
      </w:r>
      <w:r w:rsidR="00540E52">
        <w:t xml:space="preserve"> p</w:t>
      </w:r>
      <w:r w:rsidR="00B33952">
        <w:t>osition of having</w:t>
      </w:r>
      <w:r>
        <w:t xml:space="preserve"> no arrears</w:t>
      </w:r>
      <w:r w:rsidR="00B33952">
        <w:t xml:space="preserve"> and no longer requiring assistance</w:t>
      </w:r>
      <w:r>
        <w:t xml:space="preserve">, compared to those who cannot </w:t>
      </w:r>
      <w:r w:rsidR="00B33952">
        <w:t xml:space="preserve">pay for their ongoing use </w:t>
      </w:r>
      <w:r>
        <w:t>(</w:t>
      </w:r>
      <w:r w:rsidR="00633019">
        <w:fldChar w:fldCharType="begin"/>
      </w:r>
      <w:r w:rsidR="00633019">
        <w:instrText xml:space="preserve"> REF _Ref103758544 \h </w:instrText>
      </w:r>
      <w:r w:rsidR="00633019">
        <w:fldChar w:fldCharType="separate"/>
      </w:r>
      <w:r w:rsidR="00357DD7">
        <w:t xml:space="preserve">Figure </w:t>
      </w:r>
      <w:r w:rsidR="00357DD7">
        <w:rPr>
          <w:noProof/>
        </w:rPr>
        <w:t>17</w:t>
      </w:r>
      <w:r w:rsidR="00633019">
        <w:fldChar w:fldCharType="end"/>
      </w:r>
      <w:r>
        <w:t>).</w:t>
      </w:r>
    </w:p>
    <w:p w14:paraId="7AF5147A" w14:textId="51D305AD" w:rsidR="00C43F4C" w:rsidRDefault="00C43F4C" w:rsidP="00C95756">
      <w:pPr>
        <w:pStyle w:val="Figure-Table-BoxHeading"/>
        <w:keepNext/>
        <w:keepLines/>
        <w:numPr>
          <w:ilvl w:val="0"/>
          <w:numId w:val="0"/>
        </w:numPr>
        <w:rPr>
          <w:lang w:val="it-IT"/>
        </w:rPr>
      </w:pPr>
      <w:bookmarkStart w:id="125" w:name="_Ref103758544"/>
      <w:bookmarkStart w:id="126" w:name="_Toc103943787"/>
      <w:r>
        <w:t xml:space="preserve">Figure </w:t>
      </w:r>
      <w:r>
        <w:fldChar w:fldCharType="begin"/>
      </w:r>
      <w:r>
        <w:instrText>SEQ Figure \* ARABIC</w:instrText>
      </w:r>
      <w:r>
        <w:fldChar w:fldCharType="separate"/>
      </w:r>
      <w:r w:rsidR="00357DD7">
        <w:rPr>
          <w:noProof/>
        </w:rPr>
        <w:t>17</w:t>
      </w:r>
      <w:r>
        <w:fldChar w:fldCharType="end"/>
      </w:r>
      <w:bookmarkEnd w:id="125"/>
      <w:r>
        <w:tab/>
        <w:t>Comparison of the proportion of customers</w:t>
      </w:r>
      <w:r w:rsidR="009D17E2">
        <w:t xml:space="preserve"> (</w:t>
      </w:r>
      <w:r w:rsidR="000B3280">
        <w:t xml:space="preserve">who can and cannot pay </w:t>
      </w:r>
      <w:r w:rsidR="00CE7A63">
        <w:t xml:space="preserve">for their </w:t>
      </w:r>
      <w:r w:rsidR="000B3280">
        <w:t xml:space="preserve">ongoing </w:t>
      </w:r>
      <w:r w:rsidR="00CE7A63">
        <w:t xml:space="preserve">energy </w:t>
      </w:r>
      <w:r w:rsidR="000B3280">
        <w:t xml:space="preserve">use) </w:t>
      </w:r>
      <w:r>
        <w:t xml:space="preserve">receiving tailored assistance who successfully </w:t>
      </w:r>
      <w:r w:rsidR="007610CD">
        <w:t>exit assistance</w:t>
      </w:r>
      <w:r>
        <w:t xml:space="preserve"> without arrears in 2020-21</w:t>
      </w:r>
      <w:bookmarkEnd w:id="126"/>
      <w:r w:rsidR="000B3280">
        <w:t>, by electricity and gas</w:t>
      </w:r>
    </w:p>
    <w:p w14:paraId="271F7692" w14:textId="1396ECD1" w:rsidR="00C43F4C" w:rsidRDefault="00C43F4C" w:rsidP="00C43F4C">
      <w:pPr>
        <w:rPr>
          <w:lang w:val="en-US"/>
        </w:rPr>
      </w:pPr>
      <w:r w:rsidRPr="005D57F8">
        <w:rPr>
          <w:noProof/>
        </w:rPr>
        <w:drawing>
          <wp:inline distT="0" distB="0" distL="0" distR="0" wp14:anchorId="2E1F255C" wp14:editId="1F501CFD">
            <wp:extent cx="6120130" cy="2519045"/>
            <wp:effectExtent l="0" t="0" r="0" b="0"/>
            <wp:docPr id="114" name="Picture 114" descr="Bar chart of the proportion of customers receiving tailored assistance who successfully exit assistance without arrears in 2020-21. &#10;The chart compares customers who can and cannot pay for ongoing usage. &#10;The proportion of customers who cannot pay for ongoing usage exiting without arrears is significantly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Bar chart of the proportion of customers receiving tailored assistance who successfully exit assistance without arrears in 2020-21. &#10;The chart compares customers who can and cannot pay for ongoing usage. &#10;The proportion of customers who cannot pay for ongoing usage exiting without arrears is significantly low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0130" cy="2519045"/>
                    </a:xfrm>
                    <a:prstGeom prst="rect">
                      <a:avLst/>
                    </a:prstGeom>
                    <a:noFill/>
                    <a:ln>
                      <a:noFill/>
                    </a:ln>
                  </pic:spPr>
                </pic:pic>
              </a:graphicData>
            </a:graphic>
          </wp:inline>
        </w:drawing>
      </w:r>
    </w:p>
    <w:p w14:paraId="7071D9FA" w14:textId="559E3480" w:rsidR="00CA00BA" w:rsidRPr="00197925" w:rsidRDefault="0027619A" w:rsidP="00A63DC3">
      <w:pPr>
        <w:pStyle w:val="Caption"/>
        <w:rPr>
          <w:lang w:val="en-US"/>
        </w:rPr>
      </w:pPr>
      <w:r>
        <w:t xml:space="preserve">Source: </w:t>
      </w:r>
      <w:r w:rsidR="00CA00BA">
        <w:t>Voluntary data request to retailers to inform the review.</w:t>
      </w:r>
    </w:p>
    <w:p w14:paraId="00937216" w14:textId="31AAE322" w:rsidR="00633019" w:rsidRDefault="00633019" w:rsidP="00633019">
      <w:r w:rsidRPr="009E5E43">
        <w:t xml:space="preserve">The arrears of customers receiving tailored assistance and can pay their on-going usage, also appears to reduce while they are receiving assistance. In </w:t>
      </w:r>
      <w:r w:rsidRPr="009E5E43">
        <w:fldChar w:fldCharType="begin"/>
      </w:r>
      <w:r w:rsidRPr="009E5E43">
        <w:instrText xml:space="preserve"> REF _Ref103340115 \h </w:instrText>
      </w:r>
      <w:r w:rsidR="009E5E43" w:rsidRPr="009E5E43">
        <w:instrText xml:space="preserve"> \* MERGEFORMAT </w:instrText>
      </w:r>
      <w:r w:rsidRPr="009E5E43">
        <w:fldChar w:fldCharType="separate"/>
      </w:r>
      <w:r w:rsidR="00357DD7">
        <w:t xml:space="preserve">Figure </w:t>
      </w:r>
      <w:r w:rsidR="00357DD7">
        <w:rPr>
          <w:noProof/>
        </w:rPr>
        <w:t>18</w:t>
      </w:r>
      <w:r w:rsidRPr="009E5E43">
        <w:fldChar w:fldCharType="end"/>
      </w:r>
      <w:r w:rsidRPr="009E5E43">
        <w:t xml:space="preserve">, customers commence their </w:t>
      </w:r>
      <w:r w:rsidRPr="009E5E43">
        <w:lastRenderedPageBreak/>
        <w:t xml:space="preserve">assistance with an average arrears of $916 in </w:t>
      </w:r>
      <w:r w:rsidR="009B24C4">
        <w:t>2020</w:t>
      </w:r>
      <w:r w:rsidRPr="009E5E43">
        <w:t>-21, compared to an average arrears of $746 once they are receiving tailored assistance.</w:t>
      </w:r>
    </w:p>
    <w:p w14:paraId="7D148864" w14:textId="340DF230" w:rsidR="00C43F4C" w:rsidRDefault="00C43F4C" w:rsidP="00C95756">
      <w:pPr>
        <w:pStyle w:val="Figure-Table-BoxHeading"/>
        <w:keepNext/>
        <w:keepLines/>
        <w:numPr>
          <w:ilvl w:val="0"/>
          <w:numId w:val="0"/>
        </w:numPr>
      </w:pPr>
      <w:bookmarkStart w:id="127" w:name="_Ref103340115"/>
      <w:bookmarkStart w:id="128" w:name="_Toc103943788"/>
      <w:r>
        <w:t xml:space="preserve">Figure </w:t>
      </w:r>
      <w:r>
        <w:fldChar w:fldCharType="begin"/>
      </w:r>
      <w:r>
        <w:instrText>SEQ Figure \* ARABIC</w:instrText>
      </w:r>
      <w:r>
        <w:fldChar w:fldCharType="separate"/>
      </w:r>
      <w:r w:rsidR="00357DD7">
        <w:rPr>
          <w:noProof/>
        </w:rPr>
        <w:t>18</w:t>
      </w:r>
      <w:r>
        <w:fldChar w:fldCharType="end"/>
      </w:r>
      <w:bookmarkEnd w:id="127"/>
      <w:r>
        <w:tab/>
        <w:t xml:space="preserve">Comparison of arrears for customers </w:t>
      </w:r>
      <w:r w:rsidR="00E53E99">
        <w:t>(</w:t>
      </w:r>
      <w:r>
        <w:t>who can and cannot pay for their ongoing energy usage</w:t>
      </w:r>
      <w:r w:rsidR="00E53E99">
        <w:t>)</w:t>
      </w:r>
      <w:r>
        <w:t xml:space="preserve"> upon commencement and whil</w:t>
      </w:r>
      <w:r w:rsidR="000A0C0B">
        <w:t>st</w:t>
      </w:r>
      <w:r>
        <w:t xml:space="preserve"> receiving assistance</w:t>
      </w:r>
      <w:bookmarkEnd w:id="128"/>
    </w:p>
    <w:p w14:paraId="17C15DDD" w14:textId="5F0189DE" w:rsidR="00C43F4C" w:rsidRDefault="00C43F4C" w:rsidP="00C43F4C">
      <w:pPr>
        <w:rPr>
          <w:lang w:val="it-IT"/>
        </w:rPr>
      </w:pPr>
      <w:r w:rsidRPr="005518EB">
        <w:rPr>
          <w:noProof/>
        </w:rPr>
        <w:drawing>
          <wp:inline distT="0" distB="0" distL="0" distR="0" wp14:anchorId="34120A2C" wp14:editId="7AE14DFF">
            <wp:extent cx="2987491" cy="2699385"/>
            <wp:effectExtent l="0" t="0" r="3810" b="5715"/>
            <wp:docPr id="99972" name="Picture 99972" descr="Bar chart of the average arrears of customers commencing tailored assistance. The chart compares customers who can pay for ongoing usage and those who cannot in two time periods of 2018-19 and 2020-21.&#10;The arrears of customers who can pay for ongoing usage have stayed consistent, but they have increased for those who can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2" name="Picture 99972" descr="Bar chart of the average arrears of customers commencing tailored assistance. The chart compares customers who can pay for ongoing usage and those who cannot in two time periods of 2018-19 and 2020-21.&#10;The arrears of customers who can pay for ongoing usage have stayed consistent, but they have increased for those who canno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90706" cy="2702290"/>
                    </a:xfrm>
                    <a:prstGeom prst="rect">
                      <a:avLst/>
                    </a:prstGeom>
                    <a:noFill/>
                    <a:ln>
                      <a:noFill/>
                    </a:ln>
                  </pic:spPr>
                </pic:pic>
              </a:graphicData>
            </a:graphic>
          </wp:inline>
        </w:drawing>
      </w:r>
      <w:r>
        <w:rPr>
          <w:lang w:val="it-IT"/>
        </w:rPr>
        <w:t xml:space="preserve"> </w:t>
      </w:r>
      <w:r w:rsidRPr="0084650D">
        <w:rPr>
          <w:lang w:val="it-IT"/>
        </w:rPr>
        <w:t xml:space="preserve"> </w:t>
      </w:r>
      <w:r w:rsidRPr="00FE230E">
        <w:rPr>
          <w:noProof/>
        </w:rPr>
        <w:drawing>
          <wp:inline distT="0" distB="0" distL="0" distR="0" wp14:anchorId="7D99D6CE" wp14:editId="3DC8668E">
            <wp:extent cx="2875053" cy="2700000"/>
            <wp:effectExtent l="0" t="0" r="1905" b="5715"/>
            <wp:docPr id="99971" name="Picture 99971" descr="Bar chart of the average arrears of customers receiving tailored assistance. The chart compares customers who can pay for ongoing usage and those who cannot.&#10;The arrears of customers who can pay for ongoing usage have increased slightly, but they have increased significantly for those who cannot pay for ongoing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1" name="Picture 99971" descr="Bar chart of the average arrears of customers receiving tailored assistance. The chart compares customers who can pay for ongoing usage and those who cannot.&#10;The arrears of customers who can pay for ongoing usage have increased slightly, but they have increased significantly for those who cannot pay for ongoing usag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75053" cy="2700000"/>
                    </a:xfrm>
                    <a:prstGeom prst="rect">
                      <a:avLst/>
                    </a:prstGeom>
                    <a:noFill/>
                    <a:ln>
                      <a:noFill/>
                    </a:ln>
                  </pic:spPr>
                </pic:pic>
              </a:graphicData>
            </a:graphic>
          </wp:inline>
        </w:drawing>
      </w:r>
    </w:p>
    <w:p w14:paraId="4590EDEF" w14:textId="570B88DC" w:rsidR="004C721F" w:rsidRPr="00A63DC3" w:rsidRDefault="00C43F4C" w:rsidP="00C43F4C">
      <w:pPr>
        <w:rPr>
          <w:lang w:val="en-US"/>
        </w:rPr>
      </w:pPr>
      <w:r>
        <w:t xml:space="preserve">We also found that the number of customers successfully exiting tailored assistance varied across retailers. For customers of medium and large retailers who can pay for their ongoing energy use, </w:t>
      </w:r>
      <w:r w:rsidRPr="00A63DC3">
        <w:t>this ranged from eight to 51 per cent of customers (</w:t>
      </w:r>
      <w:r w:rsidRPr="00A63DC3">
        <w:fldChar w:fldCharType="begin"/>
      </w:r>
      <w:r w:rsidRPr="00A63DC3">
        <w:instrText xml:space="preserve"> REF _Ref103671132 \h </w:instrText>
      </w:r>
      <w:r w:rsidR="00A63DC3">
        <w:instrText xml:space="preserve"> \* MERGEFORMAT </w:instrText>
      </w:r>
      <w:r w:rsidRPr="00A63DC3">
        <w:fldChar w:fldCharType="separate"/>
      </w:r>
      <w:r w:rsidR="00357DD7">
        <w:t xml:space="preserve">Figure </w:t>
      </w:r>
      <w:r w:rsidR="00357DD7">
        <w:rPr>
          <w:noProof/>
        </w:rPr>
        <w:t>19</w:t>
      </w:r>
      <w:r w:rsidRPr="00A63DC3">
        <w:fldChar w:fldCharType="end"/>
      </w:r>
      <w:r w:rsidRPr="00A63DC3">
        <w:t>).</w:t>
      </w:r>
      <w:r w:rsidRPr="00A63DC3">
        <w:rPr>
          <w:lang w:val="en-US"/>
        </w:rPr>
        <w:t xml:space="preserve"> </w:t>
      </w:r>
    </w:p>
    <w:p w14:paraId="703AB2BC" w14:textId="4F4F868F" w:rsidR="00C43F4C" w:rsidRDefault="002976BD" w:rsidP="00C43F4C">
      <w:pPr>
        <w:rPr>
          <w:lang w:val="it-IT"/>
        </w:rPr>
      </w:pPr>
      <w:r w:rsidRPr="00A63DC3">
        <w:rPr>
          <w:lang w:val="en-US"/>
        </w:rPr>
        <w:t xml:space="preserve">We also note that there are examples of retailers with higher rates of successful exits corresponding with higher </w:t>
      </w:r>
      <w:r w:rsidR="005A7C70" w:rsidRPr="00A63DC3">
        <w:rPr>
          <w:lang w:val="en-US"/>
        </w:rPr>
        <w:t>rates of customers entering assistance earlier</w:t>
      </w:r>
      <w:r w:rsidR="004C721F" w:rsidRPr="00A63DC3">
        <w:rPr>
          <w:lang w:val="en-US"/>
        </w:rPr>
        <w:t>. F</w:t>
      </w:r>
      <w:r w:rsidR="005A7C70" w:rsidRPr="00A63DC3">
        <w:rPr>
          <w:lang w:val="en-US"/>
        </w:rPr>
        <w:t xml:space="preserve">or example, </w:t>
      </w:r>
      <w:r w:rsidR="00E31EAC" w:rsidRPr="00A63DC3">
        <w:rPr>
          <w:lang w:val="en-US"/>
        </w:rPr>
        <w:t xml:space="preserve">when comparing </w:t>
      </w:r>
      <w:r w:rsidR="00E31EAC" w:rsidRPr="00A63DC3">
        <w:rPr>
          <w:lang w:val="en-US"/>
        </w:rPr>
        <w:fldChar w:fldCharType="begin"/>
      </w:r>
      <w:r w:rsidR="00E31EAC" w:rsidRPr="00A63DC3">
        <w:rPr>
          <w:lang w:val="en-US"/>
        </w:rPr>
        <w:instrText xml:space="preserve"> REF _Ref99998106 \h </w:instrText>
      </w:r>
      <w:r w:rsidR="00A63DC3">
        <w:rPr>
          <w:lang w:val="en-US"/>
        </w:rPr>
        <w:instrText xml:space="preserve"> \* MERGEFORMAT </w:instrText>
      </w:r>
      <w:r w:rsidR="00E31EAC" w:rsidRPr="00A63DC3">
        <w:rPr>
          <w:lang w:val="en-US"/>
        </w:rPr>
      </w:r>
      <w:r w:rsidR="00E31EAC" w:rsidRPr="00A63DC3">
        <w:rPr>
          <w:lang w:val="en-US"/>
        </w:rPr>
        <w:fldChar w:fldCharType="separate"/>
      </w:r>
      <w:r w:rsidR="00357DD7">
        <w:t xml:space="preserve">Figure </w:t>
      </w:r>
      <w:r w:rsidR="00357DD7">
        <w:rPr>
          <w:noProof/>
        </w:rPr>
        <w:t>12</w:t>
      </w:r>
      <w:r w:rsidR="00E31EAC" w:rsidRPr="00A63DC3">
        <w:rPr>
          <w:lang w:val="en-US"/>
        </w:rPr>
        <w:fldChar w:fldCharType="end"/>
      </w:r>
      <w:r w:rsidR="00E31EAC" w:rsidRPr="00A63DC3">
        <w:rPr>
          <w:lang w:val="en-US"/>
        </w:rPr>
        <w:t xml:space="preserve"> and </w:t>
      </w:r>
      <w:r w:rsidR="00E31EAC" w:rsidRPr="00A63DC3">
        <w:rPr>
          <w:lang w:val="en-US"/>
        </w:rPr>
        <w:fldChar w:fldCharType="begin"/>
      </w:r>
      <w:r w:rsidR="00E31EAC" w:rsidRPr="00A63DC3">
        <w:rPr>
          <w:lang w:val="en-US"/>
        </w:rPr>
        <w:instrText xml:space="preserve"> REF _Ref103671132 \h </w:instrText>
      </w:r>
      <w:r w:rsidR="00A63DC3">
        <w:rPr>
          <w:lang w:val="en-US"/>
        </w:rPr>
        <w:instrText xml:space="preserve"> \* MERGEFORMAT </w:instrText>
      </w:r>
      <w:r w:rsidR="00E31EAC" w:rsidRPr="00A63DC3">
        <w:rPr>
          <w:lang w:val="en-US"/>
        </w:rPr>
      </w:r>
      <w:r w:rsidR="00E31EAC" w:rsidRPr="00A63DC3">
        <w:rPr>
          <w:lang w:val="en-US"/>
        </w:rPr>
        <w:fldChar w:fldCharType="separate"/>
      </w:r>
      <w:r w:rsidR="00357DD7">
        <w:t xml:space="preserve">Figure </w:t>
      </w:r>
      <w:r w:rsidR="00357DD7">
        <w:rPr>
          <w:noProof/>
        </w:rPr>
        <w:t>19</w:t>
      </w:r>
      <w:r w:rsidR="00E31EAC" w:rsidRPr="00A63DC3">
        <w:rPr>
          <w:lang w:val="en-US"/>
        </w:rPr>
        <w:fldChar w:fldCharType="end"/>
      </w:r>
      <w:r w:rsidR="00E31EAC" w:rsidRPr="00A63DC3">
        <w:rPr>
          <w:lang w:val="en-US"/>
        </w:rPr>
        <w:t xml:space="preserve">, </w:t>
      </w:r>
      <w:r w:rsidR="005A7C70" w:rsidRPr="00A63DC3">
        <w:rPr>
          <w:lang w:val="en-US"/>
        </w:rPr>
        <w:t>large retailer</w:t>
      </w:r>
      <w:r w:rsidR="00A56DF0" w:rsidRPr="00A63DC3">
        <w:rPr>
          <w:lang w:val="en-US"/>
        </w:rPr>
        <w:t>s</w:t>
      </w:r>
      <w:r w:rsidR="005A7C70" w:rsidRPr="00A63DC3">
        <w:rPr>
          <w:lang w:val="en-US"/>
        </w:rPr>
        <w:t xml:space="preserve"> 2 </w:t>
      </w:r>
      <w:r w:rsidR="00B97AA8" w:rsidRPr="00A63DC3">
        <w:rPr>
          <w:lang w:val="en-US"/>
        </w:rPr>
        <w:t xml:space="preserve">and 5 have </w:t>
      </w:r>
      <w:r w:rsidR="00A56DF0" w:rsidRPr="00A63DC3">
        <w:rPr>
          <w:lang w:val="en-US"/>
        </w:rPr>
        <w:t xml:space="preserve">successful exit rates of </w:t>
      </w:r>
      <w:r w:rsidR="00E31EAC" w:rsidRPr="00A63DC3">
        <w:rPr>
          <w:lang w:val="en-US"/>
        </w:rPr>
        <w:t>43</w:t>
      </w:r>
      <w:r w:rsidR="003956E4">
        <w:rPr>
          <w:lang w:val="en-US"/>
        </w:rPr>
        <w:t xml:space="preserve"> per cent </w:t>
      </w:r>
      <w:r w:rsidR="00E31EAC" w:rsidRPr="00A63DC3">
        <w:rPr>
          <w:lang w:val="en-US"/>
        </w:rPr>
        <w:t>and 36</w:t>
      </w:r>
      <w:r w:rsidR="003956E4">
        <w:rPr>
          <w:lang w:val="en-US"/>
        </w:rPr>
        <w:t xml:space="preserve"> per cent r</w:t>
      </w:r>
      <w:r w:rsidR="004C721F" w:rsidRPr="00A63DC3">
        <w:rPr>
          <w:lang w:val="en-US"/>
        </w:rPr>
        <w:t>espectively</w:t>
      </w:r>
      <w:r w:rsidR="00E31EAC" w:rsidRPr="00A63DC3">
        <w:rPr>
          <w:lang w:val="en-US"/>
        </w:rPr>
        <w:t xml:space="preserve">, </w:t>
      </w:r>
      <w:r w:rsidR="004C721F" w:rsidRPr="00A63DC3">
        <w:rPr>
          <w:lang w:val="en-US"/>
        </w:rPr>
        <w:t>with their proportion of customers entering tailored assistance within 30 days being 65</w:t>
      </w:r>
      <w:r w:rsidR="003956E4">
        <w:rPr>
          <w:lang w:val="en-US"/>
        </w:rPr>
        <w:t xml:space="preserve"> per cent </w:t>
      </w:r>
      <w:r w:rsidR="004C721F" w:rsidRPr="00A63DC3">
        <w:rPr>
          <w:lang w:val="en-US"/>
        </w:rPr>
        <w:t>and 37</w:t>
      </w:r>
      <w:r w:rsidR="003956E4">
        <w:rPr>
          <w:lang w:val="en-US"/>
        </w:rPr>
        <w:t xml:space="preserve"> per cent</w:t>
      </w:r>
      <w:r w:rsidR="004C721F" w:rsidRPr="00A63DC3">
        <w:rPr>
          <w:lang w:val="en-US"/>
        </w:rPr>
        <w:t xml:space="preserve"> respectively.</w:t>
      </w:r>
    </w:p>
    <w:p w14:paraId="16E7D321" w14:textId="3EFAB600" w:rsidR="00C43F4C" w:rsidRDefault="00C43F4C" w:rsidP="00C95756">
      <w:pPr>
        <w:pStyle w:val="Figure-Table-BoxHeading"/>
        <w:keepNext/>
        <w:keepLines/>
        <w:numPr>
          <w:ilvl w:val="0"/>
          <w:numId w:val="0"/>
        </w:numPr>
      </w:pPr>
      <w:bookmarkStart w:id="129" w:name="_Ref103671132"/>
      <w:bookmarkStart w:id="130" w:name="_Toc103943789"/>
      <w:r>
        <w:lastRenderedPageBreak/>
        <w:t xml:space="preserve">Figure </w:t>
      </w:r>
      <w:r>
        <w:fldChar w:fldCharType="begin"/>
      </w:r>
      <w:r>
        <w:instrText>SEQ Figure \* ARABIC</w:instrText>
      </w:r>
      <w:r>
        <w:fldChar w:fldCharType="separate"/>
      </w:r>
      <w:r w:rsidR="00357DD7">
        <w:rPr>
          <w:noProof/>
        </w:rPr>
        <w:t>19</w:t>
      </w:r>
      <w:r>
        <w:fldChar w:fldCharType="end"/>
      </w:r>
      <w:bookmarkEnd w:id="129"/>
      <w:r>
        <w:tab/>
      </w:r>
      <w:r w:rsidR="00D25B9F">
        <w:t>S</w:t>
      </w:r>
      <w:r>
        <w:t>uccessful exits of customers (who can pay for their ongoing energy use) receiving tailored assistance, by retailer</w:t>
      </w:r>
      <w:bookmarkEnd w:id="130"/>
      <w:r w:rsidR="00CB6358" w:rsidRPr="00877921">
        <w:t>, de-identified</w:t>
      </w:r>
    </w:p>
    <w:p w14:paraId="225D9A0A" w14:textId="03BCCE6E" w:rsidR="00C43F4C" w:rsidRDefault="00C43F4C" w:rsidP="00C43F4C">
      <w:r w:rsidRPr="002C55A6">
        <w:rPr>
          <w:noProof/>
        </w:rPr>
        <w:drawing>
          <wp:inline distT="0" distB="0" distL="0" distR="0" wp14:anchorId="5555B79B" wp14:editId="3A49DB54">
            <wp:extent cx="6120130" cy="2519045"/>
            <wp:effectExtent l="0" t="0" r="0" b="0"/>
            <wp:docPr id="99974" name="Picture 99974" descr="Bar chart showing successful exits of customers who can pay for their ongoing energy use receiving tailored assistance, sorted by large, medium, and small retailers. There is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 name="Picture 99974" descr="Bar chart showing successful exits of customers who can pay for their ongoing energy use receiving tailored assistance, sorted by large, medium, and small retailers. There is variance in the outcome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0130" cy="2519045"/>
                    </a:xfrm>
                    <a:prstGeom prst="rect">
                      <a:avLst/>
                    </a:prstGeom>
                    <a:noFill/>
                    <a:ln>
                      <a:noFill/>
                    </a:ln>
                  </pic:spPr>
                </pic:pic>
              </a:graphicData>
            </a:graphic>
          </wp:inline>
        </w:drawing>
      </w:r>
    </w:p>
    <w:p w14:paraId="4F8BA3E2" w14:textId="546DD23F" w:rsidR="00D749C8" w:rsidRDefault="0016755D" w:rsidP="00F10D84">
      <w:pPr>
        <w:pStyle w:val="Caption"/>
        <w:spacing w:after="360"/>
      </w:pPr>
      <w:r>
        <w:t xml:space="preserve">Source: </w:t>
      </w:r>
      <w:r w:rsidR="00CA00BA">
        <w:t>Voluntary data request to retailers to inform the review.</w:t>
      </w:r>
      <w:r w:rsidR="00CA00BA">
        <w:rPr>
          <w:lang w:val="en-US"/>
        </w:rPr>
        <w:t xml:space="preserve"> </w:t>
      </w:r>
      <w:r w:rsidR="00D749C8" w:rsidRPr="00F72789">
        <w:t>Note: Some small retailers are not shown due to the retailer either not having tailored assistance customers, or no applicable data relevant to this metric for this time-period.</w:t>
      </w:r>
    </w:p>
    <w:p w14:paraId="7BEB26C1" w14:textId="52F339BA" w:rsidR="00C43F4C" w:rsidRDefault="00C43F4C" w:rsidP="00C95756">
      <w:pPr>
        <w:pStyle w:val="Figure-Table-BoxHeading"/>
        <w:numPr>
          <w:ilvl w:val="0"/>
          <w:numId w:val="0"/>
        </w:numPr>
      </w:pPr>
      <w:bookmarkStart w:id="131" w:name="_Toc103943790"/>
      <w:r>
        <w:t xml:space="preserve">Figure </w:t>
      </w:r>
      <w:r>
        <w:fldChar w:fldCharType="begin"/>
      </w:r>
      <w:r>
        <w:instrText>SEQ Figure \* ARABIC</w:instrText>
      </w:r>
      <w:r>
        <w:fldChar w:fldCharType="separate"/>
      </w:r>
      <w:r w:rsidR="00357DD7">
        <w:rPr>
          <w:noProof/>
        </w:rPr>
        <w:t>20</w:t>
      </w:r>
      <w:r>
        <w:fldChar w:fldCharType="end"/>
      </w:r>
      <w:r>
        <w:tab/>
      </w:r>
      <w:r w:rsidR="00D25B9F">
        <w:t>S</w:t>
      </w:r>
      <w:r>
        <w:t>uccessful exits of customers (who cannot pay for their ongoing energy use) receiving tailored assistance, by retailer</w:t>
      </w:r>
      <w:bookmarkEnd w:id="131"/>
      <w:r w:rsidR="0040412E" w:rsidRPr="00877921">
        <w:t>, de-identified</w:t>
      </w:r>
    </w:p>
    <w:p w14:paraId="71CB7573" w14:textId="62743B90" w:rsidR="00C43F4C" w:rsidRDefault="00C43F4C" w:rsidP="00C43F4C">
      <w:r w:rsidRPr="00D80715">
        <w:rPr>
          <w:noProof/>
        </w:rPr>
        <w:drawing>
          <wp:inline distT="0" distB="0" distL="0" distR="0" wp14:anchorId="261FB8DD" wp14:editId="0CFEFB2A">
            <wp:extent cx="6120130" cy="2519045"/>
            <wp:effectExtent l="0" t="0" r="0" b="0"/>
            <wp:docPr id="99979" name="Picture 99979" descr="Bar chart showing successful exits of customers who cannot pay for their ongoing use receiving tailored assistance. The chart is sorted by large, medium, and small retailers. There is great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9" name="Picture 99979" descr="Bar chart showing successful exits of customers who cannot pay for their ongoing use receiving tailored assistance. The chart is sorted by large, medium, and small retailers. There is great variance in the outcome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0130" cy="2519045"/>
                    </a:xfrm>
                    <a:prstGeom prst="rect">
                      <a:avLst/>
                    </a:prstGeom>
                    <a:noFill/>
                    <a:ln>
                      <a:noFill/>
                    </a:ln>
                  </pic:spPr>
                </pic:pic>
              </a:graphicData>
            </a:graphic>
          </wp:inline>
        </w:drawing>
      </w:r>
    </w:p>
    <w:p w14:paraId="29F30463" w14:textId="5763D951" w:rsidR="00D749C8" w:rsidRPr="00CA00BA" w:rsidRDefault="0016755D" w:rsidP="00F10D84">
      <w:pPr>
        <w:pStyle w:val="Caption"/>
        <w:spacing w:after="360"/>
        <w:rPr>
          <w:lang w:val="en-US"/>
        </w:rPr>
      </w:pPr>
      <w:r>
        <w:t xml:space="preserve">Source: </w:t>
      </w:r>
      <w:r w:rsidR="00CA00BA">
        <w:t>Voluntary data request to retailers to inform the review.</w:t>
      </w:r>
      <w:r w:rsidR="00CA00BA">
        <w:rPr>
          <w:lang w:val="en-US"/>
        </w:rPr>
        <w:t xml:space="preserve"> </w:t>
      </w:r>
      <w:r w:rsidR="00D749C8" w:rsidRPr="00F72789">
        <w:t>Note: Some small retailers are not shown due to the retailer either not having tailored assistance customers, or no applicable data relevant to this metric for this time-period.</w:t>
      </w:r>
    </w:p>
    <w:p w14:paraId="2565B99C" w14:textId="5DABCF08" w:rsidR="00C43F4C" w:rsidRDefault="00C43F4C" w:rsidP="00F10D84">
      <w:pPr>
        <w:keepLines/>
      </w:pPr>
      <w:r>
        <w:lastRenderedPageBreak/>
        <w:t xml:space="preserve">It is also apparent that many customers have been assessed by retailers as having not complied with their payment arrangements. An example of this non-compliance is not paying their repayment amounts by the agreed date. By 2021, around 39 per cent of customers exited assistance having not complied with the term of their arrangements. </w:t>
      </w:r>
      <w:r w:rsidR="00CD26ED">
        <w:t>T</w:t>
      </w:r>
      <w:r>
        <w:t>his percentage has decreased compared to customers in hardship programs prior to the framework (</w:t>
      </w:r>
      <w:r>
        <w:fldChar w:fldCharType="begin"/>
      </w:r>
      <w:r>
        <w:instrText xml:space="preserve"> REF _Ref103671155 \h </w:instrText>
      </w:r>
      <w:r>
        <w:fldChar w:fldCharType="separate"/>
      </w:r>
      <w:r w:rsidR="00357DD7">
        <w:t xml:space="preserve">Figure </w:t>
      </w:r>
      <w:r w:rsidR="00357DD7">
        <w:rPr>
          <w:noProof/>
        </w:rPr>
        <w:t>21</w:t>
      </w:r>
      <w:r>
        <w:fldChar w:fldCharType="end"/>
      </w:r>
      <w:r>
        <w:t>).</w:t>
      </w:r>
    </w:p>
    <w:p w14:paraId="4A8E60D3" w14:textId="57114CBC" w:rsidR="00C43F4C" w:rsidRDefault="00C43F4C" w:rsidP="00C95756">
      <w:pPr>
        <w:pStyle w:val="Figure-Table-BoxHeading"/>
        <w:numPr>
          <w:ilvl w:val="0"/>
          <w:numId w:val="0"/>
        </w:numPr>
      </w:pPr>
      <w:bookmarkStart w:id="132" w:name="_Ref103671155"/>
      <w:bookmarkStart w:id="133" w:name="_Toc103943791"/>
      <w:r>
        <w:t xml:space="preserve">Figure </w:t>
      </w:r>
      <w:r>
        <w:fldChar w:fldCharType="begin"/>
      </w:r>
      <w:r>
        <w:instrText>SEQ Figure \* ARABIC</w:instrText>
      </w:r>
      <w:r>
        <w:fldChar w:fldCharType="separate"/>
      </w:r>
      <w:r w:rsidR="00357DD7">
        <w:rPr>
          <w:noProof/>
        </w:rPr>
        <w:t>21</w:t>
      </w:r>
      <w:r>
        <w:fldChar w:fldCharType="end"/>
      </w:r>
      <w:bookmarkEnd w:id="132"/>
      <w:r>
        <w:tab/>
        <w:t>Proportion of tailored assistance customers who have exited assistance having not complied with the terms of their payment arrangements</w:t>
      </w:r>
      <w:bookmarkEnd w:id="133"/>
    </w:p>
    <w:p w14:paraId="53255F9C" w14:textId="7FE8AC92" w:rsidR="00C43F4C" w:rsidRDefault="00015A87" w:rsidP="00C43F4C">
      <w:r w:rsidRPr="00015A87">
        <w:rPr>
          <w:noProof/>
        </w:rPr>
        <w:drawing>
          <wp:inline distT="0" distB="0" distL="0" distR="0" wp14:anchorId="4587F4FF" wp14:editId="1D573C32">
            <wp:extent cx="6120130" cy="1795780"/>
            <wp:effectExtent l="0" t="0" r="0" b="0"/>
            <wp:docPr id="67" name="Picture 67" descr="Bar chart showing the proportion of tailored assistance customers who have exited assistance having not complied with the terms of their payment arrangements from 2018 to 2021. &#10;There has been a decrease in this proportion after the introduction of the framework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Bar chart showing the proportion of tailored assistance customers who have exited assistance having not complied with the terms of their payment arrangements from 2018 to 2021. &#10;There has been a decrease in this proportion after the introduction of the framework in 201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0130" cy="1795780"/>
                    </a:xfrm>
                    <a:prstGeom prst="rect">
                      <a:avLst/>
                    </a:prstGeom>
                    <a:noFill/>
                    <a:ln>
                      <a:noFill/>
                    </a:ln>
                  </pic:spPr>
                </pic:pic>
              </a:graphicData>
            </a:graphic>
          </wp:inline>
        </w:drawing>
      </w:r>
    </w:p>
    <w:p w14:paraId="5BD1BF28" w14:textId="7091AAD2" w:rsidR="00C43F4C" w:rsidRDefault="00C43F4C" w:rsidP="00C43F4C">
      <w:pPr>
        <w:rPr>
          <w:lang w:val="en-US"/>
        </w:rPr>
      </w:pPr>
      <w:r w:rsidRPr="00845DA6">
        <w:t>However, we again observe significant variation on these outcomes between retailers, with varying rates of customer non-compliance with payment arrangements regardless of the retailer’s size</w:t>
      </w:r>
      <w:r>
        <w:t xml:space="preserve"> (</w:t>
      </w:r>
      <w:r>
        <w:fldChar w:fldCharType="begin"/>
      </w:r>
      <w:r>
        <w:instrText xml:space="preserve"> REF _Ref103671190 \h </w:instrText>
      </w:r>
      <w:r>
        <w:fldChar w:fldCharType="separate"/>
      </w:r>
      <w:r w:rsidR="00357DD7">
        <w:t xml:space="preserve">Figure </w:t>
      </w:r>
      <w:r w:rsidR="00357DD7">
        <w:rPr>
          <w:noProof/>
        </w:rPr>
        <w:t>22</w:t>
      </w:r>
      <w:r>
        <w:fldChar w:fldCharType="end"/>
      </w:r>
      <w:r>
        <w:t xml:space="preserve"> and </w:t>
      </w:r>
      <w:r>
        <w:fldChar w:fldCharType="begin"/>
      </w:r>
      <w:r>
        <w:instrText xml:space="preserve"> REF _Ref103671191 \h </w:instrText>
      </w:r>
      <w:r>
        <w:fldChar w:fldCharType="separate"/>
      </w:r>
      <w:r w:rsidR="00357DD7">
        <w:t xml:space="preserve">Figure </w:t>
      </w:r>
      <w:r w:rsidR="00357DD7">
        <w:rPr>
          <w:noProof/>
        </w:rPr>
        <w:t>23</w:t>
      </w:r>
      <w:r>
        <w:fldChar w:fldCharType="end"/>
      </w:r>
      <w:r>
        <w:t>)</w:t>
      </w:r>
      <w:r w:rsidRPr="00845DA6">
        <w:t xml:space="preserve">. </w:t>
      </w:r>
      <w:r>
        <w:rPr>
          <w:lang w:val="en-US"/>
        </w:rPr>
        <w:t>It is likely that retailers have different levels of tolerance for whether a customer has not complied with their payment arrangements. For example, some retailers have extended grace periods, or may spend time re-negotiating payment terms</w:t>
      </w:r>
      <w:r w:rsidRPr="00AF3A51">
        <w:rPr>
          <w:lang w:val="en-US"/>
        </w:rPr>
        <w:t xml:space="preserve"> </w:t>
      </w:r>
      <w:r>
        <w:rPr>
          <w:lang w:val="en-US"/>
        </w:rPr>
        <w:t>for a customer.</w:t>
      </w:r>
    </w:p>
    <w:p w14:paraId="189F596B" w14:textId="77777777" w:rsidR="00C43F4C" w:rsidRDefault="00C43F4C" w:rsidP="00C43F4C">
      <w:pPr>
        <w:rPr>
          <w:lang w:val="en-US"/>
        </w:rPr>
      </w:pPr>
      <w:r>
        <w:rPr>
          <w:lang w:val="en-US"/>
        </w:rPr>
        <w:t>We also noted inconsistencies in retailer practices following an industry-wide pulse check in 2020. We issued a guidance note regarding retailers’ obligation to contact customers who miss a payment on their payment arrangement.</w:t>
      </w:r>
      <w:r>
        <w:rPr>
          <w:rStyle w:val="FootnoteReference"/>
          <w:lang w:val="en-US"/>
        </w:rPr>
        <w:footnoteReference w:id="80"/>
      </w:r>
      <w:r>
        <w:rPr>
          <w:lang w:val="en-US"/>
        </w:rPr>
        <w:t xml:space="preserve"> We issued guidance regarding a retailer’s obligation to consider a customer’s circumstances regarding family violence </w:t>
      </w:r>
      <w:r w:rsidRPr="007F02A7">
        <w:rPr>
          <w:lang w:val="en-US"/>
        </w:rPr>
        <w:t>before discontinuing tailored assistance</w:t>
      </w:r>
      <w:r>
        <w:rPr>
          <w:lang w:val="en-US"/>
        </w:rPr>
        <w:t>.</w:t>
      </w:r>
      <w:r>
        <w:rPr>
          <w:rStyle w:val="FootnoteReference"/>
          <w:lang w:val="en-US"/>
        </w:rPr>
        <w:footnoteReference w:id="81"/>
      </w:r>
    </w:p>
    <w:p w14:paraId="34362953" w14:textId="4CD01A13" w:rsidR="00C43F4C" w:rsidRPr="00845DA6" w:rsidRDefault="00C43F4C" w:rsidP="00F14D9A">
      <w:pPr>
        <w:pStyle w:val="Figure-Table-BoxHeading"/>
        <w:keepNext/>
        <w:keepLines/>
        <w:numPr>
          <w:ilvl w:val="0"/>
          <w:numId w:val="0"/>
        </w:numPr>
      </w:pPr>
      <w:bookmarkStart w:id="134" w:name="_Ref103671190"/>
      <w:bookmarkStart w:id="135" w:name="_Ref103942637"/>
      <w:bookmarkStart w:id="136" w:name="_Ref103942667"/>
      <w:bookmarkStart w:id="137" w:name="_Toc103943792"/>
      <w:r>
        <w:lastRenderedPageBreak/>
        <w:t xml:space="preserve">Figure </w:t>
      </w:r>
      <w:r>
        <w:fldChar w:fldCharType="begin"/>
      </w:r>
      <w:r>
        <w:instrText>SEQ Figure \* ARABIC</w:instrText>
      </w:r>
      <w:r>
        <w:fldChar w:fldCharType="separate"/>
      </w:r>
      <w:r w:rsidR="00357DD7">
        <w:rPr>
          <w:noProof/>
        </w:rPr>
        <w:t>22</w:t>
      </w:r>
      <w:r>
        <w:fldChar w:fldCharType="end"/>
      </w:r>
      <w:bookmarkEnd w:id="134"/>
      <w:r>
        <w:tab/>
      </w:r>
      <w:r w:rsidR="00722D37">
        <w:t>Proportion of tailored assistance customers (who cannot pay ongoing usage) who have exited tailored assistance having not complied with the terms of their payment arrangements, by retailer</w:t>
      </w:r>
      <w:r w:rsidR="00722D37" w:rsidRPr="00877921">
        <w:t>, de-</w:t>
      </w:r>
      <w:bookmarkEnd w:id="135"/>
      <w:bookmarkEnd w:id="136"/>
      <w:bookmarkEnd w:id="137"/>
      <w:r w:rsidR="00722D37" w:rsidRPr="00877921">
        <w:t>identified</w:t>
      </w:r>
    </w:p>
    <w:p w14:paraId="45823DC4" w14:textId="13B71459" w:rsidR="00C43F4C" w:rsidRDefault="00C43F4C" w:rsidP="00C43F4C">
      <w:r w:rsidRPr="00532AC1">
        <w:rPr>
          <w:noProof/>
        </w:rPr>
        <w:drawing>
          <wp:inline distT="0" distB="0" distL="0" distR="0" wp14:anchorId="24EB3CC3" wp14:editId="59F0AB4D">
            <wp:extent cx="6120130" cy="2519045"/>
            <wp:effectExtent l="0" t="0" r="0" b="0"/>
            <wp:docPr id="99988" name="Picture 99988" descr="Bar chart showing the proportion of customers who cannot pay for ongoing usage and who have exited assistance having not complied with the terms of their payment arrangement. The chart is sorted by large, medium, and small retailers. There is great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8" name="Picture 99988" descr="Bar chart showing the proportion of customers who cannot pay for ongoing usage and who have exited assistance having not complied with the terms of their payment arrangement. The chart is sorted by large, medium, and small retailers. There is great variance in the outcom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0130" cy="2519045"/>
                    </a:xfrm>
                    <a:prstGeom prst="rect">
                      <a:avLst/>
                    </a:prstGeom>
                    <a:noFill/>
                    <a:ln>
                      <a:noFill/>
                    </a:ln>
                  </pic:spPr>
                </pic:pic>
              </a:graphicData>
            </a:graphic>
          </wp:inline>
        </w:drawing>
      </w:r>
    </w:p>
    <w:p w14:paraId="45B372B1" w14:textId="0E442648" w:rsidR="00D749C8" w:rsidRPr="00CA00BA" w:rsidRDefault="0075603F" w:rsidP="00F10D84">
      <w:pPr>
        <w:pStyle w:val="Caption"/>
        <w:spacing w:after="360"/>
        <w:rPr>
          <w:lang w:val="en-US"/>
        </w:rPr>
      </w:pPr>
      <w:r>
        <w:t xml:space="preserve">Source: </w:t>
      </w:r>
      <w:r w:rsidR="00CA00BA" w:rsidRPr="00A63DC3">
        <w:t>Voluntary</w:t>
      </w:r>
      <w:r w:rsidR="00CA00BA">
        <w:t xml:space="preserve"> data request to retailers to inform the review.</w:t>
      </w:r>
      <w:r w:rsidR="00CA00BA">
        <w:rPr>
          <w:lang w:val="en-US"/>
        </w:rPr>
        <w:t xml:space="preserve"> </w:t>
      </w:r>
      <w:r w:rsidR="00D749C8" w:rsidRPr="00F72789">
        <w:t>Note: Some small retailers are not shown due to the retailer either not having tailored assistance customers, or no applicable data relevant to this metric for this time-period.</w:t>
      </w:r>
    </w:p>
    <w:p w14:paraId="30885B3A" w14:textId="75A11DF9" w:rsidR="00C43F4C" w:rsidRPr="00845DA6" w:rsidRDefault="00C43F4C" w:rsidP="00F14D9A">
      <w:pPr>
        <w:pStyle w:val="Figure-Table-BoxHeading"/>
        <w:keepNext/>
        <w:keepLines/>
        <w:numPr>
          <w:ilvl w:val="0"/>
          <w:numId w:val="0"/>
        </w:numPr>
      </w:pPr>
      <w:bookmarkStart w:id="138" w:name="_Ref103671191"/>
      <w:bookmarkStart w:id="139" w:name="_Toc103943793"/>
      <w:r>
        <w:t xml:space="preserve">Figure </w:t>
      </w:r>
      <w:r>
        <w:fldChar w:fldCharType="begin"/>
      </w:r>
      <w:r>
        <w:instrText>SEQ Figure \* ARABIC</w:instrText>
      </w:r>
      <w:r>
        <w:fldChar w:fldCharType="separate"/>
      </w:r>
      <w:r w:rsidR="00357DD7">
        <w:rPr>
          <w:noProof/>
        </w:rPr>
        <w:t>23</w:t>
      </w:r>
      <w:r>
        <w:fldChar w:fldCharType="end"/>
      </w:r>
      <w:bookmarkEnd w:id="138"/>
      <w:r>
        <w:tab/>
      </w:r>
      <w:r w:rsidR="00990EA7">
        <w:t xml:space="preserve">Proportion of tailored assistance customers (who can pay ongoing usage) who have exited tailored assistance having not complied with the terms of their payment arrangements, by retailer, </w:t>
      </w:r>
      <w:bookmarkEnd w:id="139"/>
      <w:r w:rsidR="00990EA7">
        <w:t>deidentified</w:t>
      </w:r>
    </w:p>
    <w:p w14:paraId="7A207D6F" w14:textId="1857405B" w:rsidR="00C43F4C" w:rsidRDefault="00C43F4C" w:rsidP="00C43F4C">
      <w:r w:rsidRPr="00261520">
        <w:rPr>
          <w:noProof/>
        </w:rPr>
        <w:drawing>
          <wp:inline distT="0" distB="0" distL="0" distR="0" wp14:anchorId="207354EA" wp14:editId="0524C59A">
            <wp:extent cx="6120130" cy="2519045"/>
            <wp:effectExtent l="0" t="0" r="0" b="0"/>
            <wp:docPr id="99992" name="Picture 99992" descr="Bar chart showing the proportion of tailored assistance customers who can pay for ongoing usage and who have exited tailored assistance having not complied with the terms of their payment arrangements. The chart is sorted by large, medium, and small retailers. There is variance in the outcomes, but small retailers have a smaller pro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2" name="Picture 99992" descr="Bar chart showing the proportion of tailored assistance customers who can pay for ongoing usage and who have exited tailored assistance having not complied with the terms of their payment arrangements. The chart is sorted by large, medium, and small retailers. There is variance in the outcomes, but small retailers have a smaller proportio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130" cy="2519045"/>
                    </a:xfrm>
                    <a:prstGeom prst="rect">
                      <a:avLst/>
                    </a:prstGeom>
                    <a:noFill/>
                    <a:ln>
                      <a:noFill/>
                    </a:ln>
                  </pic:spPr>
                </pic:pic>
              </a:graphicData>
            </a:graphic>
          </wp:inline>
        </w:drawing>
      </w:r>
    </w:p>
    <w:p w14:paraId="2ABF41A3" w14:textId="677D4EDA" w:rsidR="00D749C8" w:rsidRPr="00CA00BA" w:rsidRDefault="0075603F" w:rsidP="00A63DC3">
      <w:pPr>
        <w:pStyle w:val="Caption"/>
        <w:rPr>
          <w:lang w:val="en-US"/>
        </w:rPr>
      </w:pPr>
      <w:r>
        <w:t xml:space="preserve">Source: </w:t>
      </w:r>
      <w:r w:rsidR="00CA00BA">
        <w:t>Voluntary data request to retailers to inform the review.</w:t>
      </w:r>
      <w:r w:rsidR="00CA00BA">
        <w:rPr>
          <w:lang w:val="en-US"/>
        </w:rPr>
        <w:t xml:space="preserve"> </w:t>
      </w:r>
      <w:r w:rsidR="00D749C8" w:rsidRPr="00F72789">
        <w:t>Note: Some small retailers are not shown due to the retailer either not having tailored assistance customers, or no applicable data relevant to this metric for this time-period.</w:t>
      </w:r>
    </w:p>
    <w:p w14:paraId="4B790276" w14:textId="43227589" w:rsidR="00C43F4C" w:rsidRDefault="00C43F4C" w:rsidP="00C43F4C">
      <w:pPr>
        <w:rPr>
          <w:lang w:val="it-IT"/>
        </w:rPr>
      </w:pPr>
      <w:r>
        <w:rPr>
          <w:lang w:val="en-US"/>
        </w:rPr>
        <w:lastRenderedPageBreak/>
        <w:t xml:space="preserve">These outcomes </w:t>
      </w:r>
      <w:r w:rsidRPr="005A0093">
        <w:rPr>
          <w:lang w:val="en-US"/>
        </w:rPr>
        <w:t xml:space="preserve">suggest </w:t>
      </w:r>
      <w:r w:rsidRPr="00AF3A51">
        <w:rPr>
          <w:lang w:val="en-US"/>
        </w:rPr>
        <w:t>possible opportunities for some retailers to better help customers reduce their arrears while receiving assistance</w:t>
      </w:r>
      <w:r>
        <w:rPr>
          <w:lang w:val="en-US"/>
        </w:rPr>
        <w:t xml:space="preserve">, </w:t>
      </w:r>
      <w:r w:rsidRPr="48E4FC3F">
        <w:rPr>
          <w:lang w:val="en-US"/>
        </w:rPr>
        <w:t>as well as</w:t>
      </w:r>
      <w:r>
        <w:rPr>
          <w:lang w:val="en-US"/>
        </w:rPr>
        <w:t xml:space="preserve"> more effective ways to discuss payment arrangements with customers</w:t>
      </w:r>
      <w:r w:rsidRPr="00AF3A51">
        <w:rPr>
          <w:lang w:val="en-US"/>
        </w:rPr>
        <w:t>.</w:t>
      </w:r>
      <w:r w:rsidRPr="00AF3A51">
        <w:rPr>
          <w:lang w:val="it-IT"/>
        </w:rPr>
        <w:t xml:space="preserve"> These trends further indicate how the framework better supports customers who can pay for their ongoing energy usage.</w:t>
      </w:r>
      <w:r>
        <w:rPr>
          <w:lang w:val="it-IT"/>
        </w:rPr>
        <w:t xml:space="preserve"> </w:t>
      </w:r>
    </w:p>
    <w:p w14:paraId="12D7F7D8" w14:textId="11A9D85B" w:rsidR="00C43F4C" w:rsidRPr="009C1D2F" w:rsidRDefault="00C43F4C" w:rsidP="00C43F4C">
      <w:pPr>
        <w:pStyle w:val="Heading3"/>
      </w:pPr>
      <w:r w:rsidRPr="009C1D2F">
        <w:t xml:space="preserve">Improving </w:t>
      </w:r>
      <w:r w:rsidR="00E2143E">
        <w:t>the operation</w:t>
      </w:r>
      <w:r w:rsidRPr="009C1D2F">
        <w:t xml:space="preserve"> of the framework: the appropriateness of payment plans</w:t>
      </w:r>
    </w:p>
    <w:p w14:paraId="024BD8A3" w14:textId="45F67B44" w:rsidR="00C43F4C" w:rsidRPr="003F1158" w:rsidRDefault="00C43F4C" w:rsidP="00C43F4C">
      <w:pPr>
        <w:rPr>
          <w:lang w:val="it-IT"/>
        </w:rPr>
      </w:pPr>
      <w:r w:rsidRPr="003F1158">
        <w:rPr>
          <w:lang w:val="it-IT"/>
        </w:rPr>
        <w:t xml:space="preserve">The framework requires retailers to offer and provide customers with payment arrangements, </w:t>
      </w:r>
      <w:r w:rsidRPr="48E4FC3F">
        <w:rPr>
          <w:lang w:val="it-IT"/>
        </w:rPr>
        <w:t>allowing</w:t>
      </w:r>
      <w:r w:rsidRPr="003F1158">
        <w:rPr>
          <w:lang w:val="it-IT"/>
        </w:rPr>
        <w:t xml:space="preserve"> for repayment of arrears over two years. </w:t>
      </w:r>
      <w:r w:rsidRPr="48E4FC3F">
        <w:rPr>
          <w:lang w:val="it-IT"/>
        </w:rPr>
        <w:t>Based on our</w:t>
      </w:r>
      <w:r w:rsidR="00151A08">
        <w:rPr>
          <w:lang w:val="it-IT"/>
        </w:rPr>
        <w:t xml:space="preserve"> call</w:t>
      </w:r>
      <w:r w:rsidRPr="48E4FC3F">
        <w:rPr>
          <w:lang w:val="it-IT"/>
        </w:rPr>
        <w:t xml:space="preserve"> recording</w:t>
      </w:r>
      <w:r w:rsidR="00BB6050">
        <w:rPr>
          <w:lang w:val="it-IT"/>
        </w:rPr>
        <w:t>s</w:t>
      </w:r>
      <w:r w:rsidRPr="48E4FC3F">
        <w:rPr>
          <w:lang w:val="it-IT"/>
        </w:rPr>
        <w:t xml:space="preserve"> study, payment</w:t>
      </w:r>
      <w:r w:rsidRPr="003F1158">
        <w:rPr>
          <w:lang w:val="it-IT"/>
        </w:rPr>
        <w:t xml:space="preserve"> arrangements are the most common form of assistance discussed with customers.</w:t>
      </w:r>
    </w:p>
    <w:p w14:paraId="32C29D6A" w14:textId="77777777" w:rsidR="00C43F4C" w:rsidRPr="003F1158" w:rsidRDefault="00C43F4C" w:rsidP="00C43F4C">
      <w:pPr>
        <w:rPr>
          <w:lang w:val="it-IT"/>
        </w:rPr>
      </w:pPr>
      <w:r>
        <w:rPr>
          <w:lang w:val="it-IT"/>
        </w:rPr>
        <w:t>T</w:t>
      </w:r>
      <w:r w:rsidRPr="003F1158">
        <w:rPr>
          <w:lang w:val="it-IT"/>
        </w:rPr>
        <w:t xml:space="preserve">he minimum standards for payment arrangements have </w:t>
      </w:r>
      <w:r w:rsidRPr="48E4FC3F">
        <w:rPr>
          <w:lang w:val="it-IT"/>
        </w:rPr>
        <w:t>removed</w:t>
      </w:r>
      <w:r w:rsidRPr="003F1158">
        <w:rPr>
          <w:lang w:val="it-IT"/>
        </w:rPr>
        <w:t xml:space="preserve"> some of the previous barriers </w:t>
      </w:r>
      <w:r w:rsidRPr="48E4FC3F">
        <w:rPr>
          <w:lang w:val="it-IT"/>
        </w:rPr>
        <w:t>to</w:t>
      </w:r>
      <w:r w:rsidRPr="003F1158">
        <w:rPr>
          <w:lang w:val="it-IT"/>
        </w:rPr>
        <w:t xml:space="preserve"> customers </w:t>
      </w:r>
      <w:r w:rsidRPr="48E4FC3F">
        <w:rPr>
          <w:lang w:val="it-IT"/>
        </w:rPr>
        <w:t>accessing</w:t>
      </w:r>
      <w:r w:rsidRPr="003F1158">
        <w:rPr>
          <w:lang w:val="it-IT"/>
        </w:rPr>
        <w:t xml:space="preserve"> assistance. </w:t>
      </w:r>
      <w:r>
        <w:rPr>
          <w:lang w:val="it-IT"/>
        </w:rPr>
        <w:t xml:space="preserve">It has also resulted in more structured, affordable and appropriate payment arrangements for customers. </w:t>
      </w:r>
      <w:r w:rsidRPr="003F1158">
        <w:rPr>
          <w:lang w:val="it-IT"/>
        </w:rPr>
        <w:t xml:space="preserve">However, payment arrangements seem to work </w:t>
      </w:r>
      <w:r>
        <w:rPr>
          <w:lang w:val="it-IT"/>
        </w:rPr>
        <w:t xml:space="preserve">better </w:t>
      </w:r>
      <w:r w:rsidRPr="003F1158">
        <w:rPr>
          <w:lang w:val="it-IT"/>
        </w:rPr>
        <w:t>for customers with lower levels of arrears,  who can pay for their ongoing energy use.</w:t>
      </w:r>
    </w:p>
    <w:p w14:paraId="6F1DA7D3" w14:textId="6216A7D8" w:rsidR="00C43F4C" w:rsidRPr="003F1158" w:rsidRDefault="00C43F4C" w:rsidP="00C43F4C">
      <w:pPr>
        <w:rPr>
          <w:lang w:val="it-IT"/>
        </w:rPr>
      </w:pPr>
      <w:r w:rsidRPr="003F1158">
        <w:rPr>
          <w:lang w:val="it-IT"/>
        </w:rPr>
        <w:t>We also recognise that a conversation between a customer and retailer is often required to establish a payment</w:t>
      </w:r>
      <w:r w:rsidR="00151A08">
        <w:rPr>
          <w:lang w:val="it-IT"/>
        </w:rPr>
        <w:t xml:space="preserve"> plan</w:t>
      </w:r>
      <w:r w:rsidRPr="003F1158">
        <w:rPr>
          <w:lang w:val="it-IT"/>
        </w:rPr>
        <w:t xml:space="preserve">. Retailers are often in a better position to lead those discussions, having more awareness and information </w:t>
      </w:r>
      <w:r w:rsidRPr="48E4FC3F">
        <w:rPr>
          <w:lang w:val="it-IT"/>
        </w:rPr>
        <w:t>regarding possible options.</w:t>
      </w:r>
      <w:r w:rsidRPr="003F1158">
        <w:rPr>
          <w:lang w:val="it-IT"/>
        </w:rPr>
        <w:t xml:space="preserve"> </w:t>
      </w:r>
      <w:r>
        <w:rPr>
          <w:lang w:val="it-IT"/>
        </w:rPr>
        <w:t>C</w:t>
      </w:r>
      <w:r w:rsidRPr="003F1158">
        <w:rPr>
          <w:lang w:val="it-IT"/>
        </w:rPr>
        <w:t xml:space="preserve">ustomers may not be as </w:t>
      </w:r>
      <w:r w:rsidRPr="48E4FC3F">
        <w:rPr>
          <w:lang w:val="it-IT"/>
        </w:rPr>
        <w:t>informed</w:t>
      </w:r>
      <w:r w:rsidRPr="003F1158">
        <w:rPr>
          <w:lang w:val="it-IT"/>
        </w:rPr>
        <w:t xml:space="preserve"> to negotiate payment </w:t>
      </w:r>
      <w:r w:rsidRPr="48E4FC3F">
        <w:rPr>
          <w:lang w:val="it-IT"/>
        </w:rPr>
        <w:t>arrangement terms.</w:t>
      </w:r>
      <w:r w:rsidRPr="003F1158">
        <w:rPr>
          <w:lang w:val="it-IT"/>
        </w:rPr>
        <w:t xml:space="preserve"> This could be a barrier for customers to access assistance, and may </w:t>
      </w:r>
      <w:r w:rsidRPr="48E4FC3F">
        <w:rPr>
          <w:lang w:val="it-IT"/>
        </w:rPr>
        <w:t>present additional issues</w:t>
      </w:r>
      <w:r w:rsidRPr="003F1158">
        <w:rPr>
          <w:lang w:val="it-IT"/>
        </w:rPr>
        <w:t xml:space="preserve"> if they are experiencing vulnerability </w:t>
      </w:r>
      <w:r w:rsidRPr="48E4FC3F">
        <w:rPr>
          <w:lang w:val="it-IT"/>
        </w:rPr>
        <w:t>or other potential barriers.</w:t>
      </w:r>
    </w:p>
    <w:p w14:paraId="5FBC42F6" w14:textId="50FC81B1" w:rsidR="00C43F4C" w:rsidRPr="003F1158" w:rsidRDefault="00C43F4C" w:rsidP="00C43F4C">
      <w:pPr>
        <w:rPr>
          <w:lang w:val="it-IT"/>
        </w:rPr>
      </w:pPr>
      <w:r w:rsidRPr="003F1158">
        <w:rPr>
          <w:lang w:val="it-IT"/>
        </w:rPr>
        <w:t>Th</w:t>
      </w:r>
      <w:r w:rsidR="00C43853">
        <w:rPr>
          <w:lang w:val="it-IT"/>
        </w:rPr>
        <w:t>e</w:t>
      </w:r>
      <w:r w:rsidRPr="003F1158">
        <w:rPr>
          <w:lang w:val="it-IT"/>
        </w:rPr>
        <w:t xml:space="preserve"> dynamic between customer and retailer highlights the importance of empathy and understanding from retailer call centre staff. </w:t>
      </w:r>
      <w:r w:rsidR="00DE5170" w:rsidRPr="00DE5170">
        <w:rPr>
          <w:lang w:val="it-IT"/>
        </w:rPr>
        <w:t xml:space="preserve">Calls </w:t>
      </w:r>
      <w:r w:rsidR="00DE5170">
        <w:rPr>
          <w:lang w:val="it-IT"/>
        </w:rPr>
        <w:t xml:space="preserve">where retailer operators </w:t>
      </w:r>
      <w:r w:rsidR="00DE5170" w:rsidRPr="00DE5170">
        <w:rPr>
          <w:lang w:val="it-IT"/>
        </w:rPr>
        <w:t>engage empathetically with customers seem</w:t>
      </w:r>
      <w:r w:rsidR="00DE5170">
        <w:rPr>
          <w:lang w:val="it-IT"/>
        </w:rPr>
        <w:t xml:space="preserve"> </w:t>
      </w:r>
      <w:r w:rsidR="00DE5170" w:rsidRPr="00DE5170">
        <w:rPr>
          <w:lang w:val="it-IT"/>
        </w:rPr>
        <w:t>to have more positive outcomes for both the customer and retailer.</w:t>
      </w:r>
      <w:r w:rsidR="00DA0426">
        <w:rPr>
          <w:rStyle w:val="FootnoteReference"/>
          <w:lang w:val="it-IT"/>
        </w:rPr>
        <w:footnoteReference w:id="82"/>
      </w:r>
      <w:r w:rsidR="00E13655">
        <w:rPr>
          <w:lang w:val="it-IT"/>
        </w:rPr>
        <w:t xml:space="preserve"> </w:t>
      </w:r>
    </w:p>
    <w:p w14:paraId="5461B434" w14:textId="77777777" w:rsidR="00C43F4C" w:rsidRDefault="00C43F4C" w:rsidP="00C43F4C">
      <w:pPr>
        <w:rPr>
          <w:lang w:val="it-IT"/>
        </w:rPr>
      </w:pPr>
      <w:r w:rsidRPr="003F1158">
        <w:rPr>
          <w:lang w:val="it-IT"/>
        </w:rPr>
        <w:t xml:space="preserve">We also found </w:t>
      </w:r>
      <w:r>
        <w:rPr>
          <w:lang w:val="it-IT"/>
        </w:rPr>
        <w:t xml:space="preserve">variation across retailers in the proprtion of customers </w:t>
      </w:r>
      <w:r w:rsidRPr="003F1158">
        <w:rPr>
          <w:lang w:val="it-IT"/>
        </w:rPr>
        <w:t>successful</w:t>
      </w:r>
      <w:r>
        <w:rPr>
          <w:lang w:val="it-IT"/>
        </w:rPr>
        <w:t>ly</w:t>
      </w:r>
      <w:r w:rsidRPr="003F1158">
        <w:rPr>
          <w:lang w:val="it-IT"/>
        </w:rPr>
        <w:t xml:space="preserve"> eliminating their arrears, </w:t>
      </w:r>
      <w:r>
        <w:rPr>
          <w:lang w:val="it-IT"/>
        </w:rPr>
        <w:t xml:space="preserve">or stopped receiving assistance for not complying with </w:t>
      </w:r>
      <w:r w:rsidRPr="003F1158">
        <w:rPr>
          <w:lang w:val="it-IT"/>
        </w:rPr>
        <w:t xml:space="preserve">their </w:t>
      </w:r>
      <w:r>
        <w:rPr>
          <w:lang w:val="it-IT"/>
        </w:rPr>
        <w:t>payment arrangements.</w:t>
      </w:r>
      <w:r w:rsidRPr="003F1158">
        <w:rPr>
          <w:lang w:val="it-IT"/>
        </w:rPr>
        <w:t xml:space="preserve"> These </w:t>
      </w:r>
      <w:r>
        <w:rPr>
          <w:lang w:val="it-IT"/>
        </w:rPr>
        <w:t xml:space="preserve">varied </w:t>
      </w:r>
      <w:r w:rsidRPr="003F1158">
        <w:rPr>
          <w:lang w:val="it-IT"/>
        </w:rPr>
        <w:t xml:space="preserve">outcomes could be a result of the </w:t>
      </w:r>
      <w:r>
        <w:rPr>
          <w:lang w:val="it-IT"/>
        </w:rPr>
        <w:t xml:space="preserve">different levels of </w:t>
      </w:r>
      <w:r w:rsidRPr="003F1158">
        <w:rPr>
          <w:lang w:val="it-IT"/>
        </w:rPr>
        <w:t xml:space="preserve">discretion </w:t>
      </w:r>
      <w:r>
        <w:rPr>
          <w:lang w:val="it-IT"/>
        </w:rPr>
        <w:t xml:space="preserve">by retailers </w:t>
      </w:r>
      <w:r w:rsidRPr="003F1158">
        <w:rPr>
          <w:lang w:val="it-IT"/>
        </w:rPr>
        <w:t xml:space="preserve">in delivering payment </w:t>
      </w:r>
      <w:r>
        <w:rPr>
          <w:lang w:val="it-IT"/>
        </w:rPr>
        <w:t>arrangements</w:t>
      </w:r>
      <w:r w:rsidRPr="003F1158">
        <w:rPr>
          <w:lang w:val="it-IT"/>
        </w:rPr>
        <w:t>.</w:t>
      </w:r>
    </w:p>
    <w:tbl>
      <w:tblPr>
        <w:tblStyle w:val="TwoColumnImage"/>
        <w:tblW w:w="9811" w:type="dxa"/>
        <w:tblBorders>
          <w:top w:val="single" w:sz="24" w:space="0" w:color="6CB59D" w:themeColor="accent5" w:themeTint="80"/>
          <w:left w:val="single" w:sz="24" w:space="0" w:color="6CB59D" w:themeColor="accent5" w:themeTint="80"/>
          <w:bottom w:val="single" w:sz="24" w:space="0" w:color="6CB59D" w:themeColor="accent5" w:themeTint="80"/>
          <w:right w:val="single" w:sz="24" w:space="0" w:color="6CB59D" w:themeColor="accent5" w:themeTint="80"/>
        </w:tblBorders>
        <w:shd w:val="clear" w:color="auto" w:fill="B5DACE" w:themeFill="accent5" w:themeFillTint="40"/>
        <w:tblCellMar>
          <w:top w:w="113" w:type="dxa"/>
          <w:bottom w:w="113" w:type="dxa"/>
        </w:tblCellMar>
        <w:tblLook w:val="04A0" w:firstRow="1" w:lastRow="0" w:firstColumn="1" w:lastColumn="0" w:noHBand="0" w:noVBand="1"/>
      </w:tblPr>
      <w:tblGrid>
        <w:gridCol w:w="1870"/>
        <w:gridCol w:w="6316"/>
        <w:gridCol w:w="1625"/>
      </w:tblGrid>
      <w:tr w:rsidR="006F1802" w:rsidRPr="006F1802" w14:paraId="30A6ABCE" w14:textId="77777777" w:rsidTr="00CD26ED">
        <w:tc>
          <w:tcPr>
            <w:tcW w:w="9811" w:type="dxa"/>
            <w:gridSpan w:val="3"/>
            <w:tcBorders>
              <w:bottom w:val="nil"/>
            </w:tcBorders>
            <w:shd w:val="clear" w:color="auto" w:fill="B5DACE" w:themeFill="accent5" w:themeFillTint="40"/>
          </w:tcPr>
          <w:p w14:paraId="2A9EFEEE" w14:textId="516261E2" w:rsidR="006F1802" w:rsidRPr="006F1802" w:rsidRDefault="005147A3" w:rsidP="008522C8">
            <w:pPr>
              <w:pStyle w:val="TableBody"/>
              <w:keepLines/>
              <w:pageBreakBefore/>
              <w:ind w:left="142" w:right="119"/>
              <w:rPr>
                <w:rFonts w:ascii="Tahoma" w:hAnsi="Tahoma" w:cs="Tahoma"/>
                <w:color w:val="262626" w:themeColor="text1" w:themeTint="D9"/>
                <w:sz w:val="26"/>
                <w:szCs w:val="26"/>
              </w:rPr>
            </w:pPr>
            <w:r>
              <w:rPr>
                <w:rFonts w:ascii="Tahoma" w:hAnsi="Tahoma" w:cs="Tahoma"/>
                <w:b/>
                <w:bCs/>
                <w:color w:val="262626" w:themeColor="text1" w:themeTint="D9"/>
                <w:sz w:val="26"/>
                <w:szCs w:val="26"/>
              </w:rPr>
              <w:lastRenderedPageBreak/>
              <w:t>Improving the operation of the framework</w:t>
            </w:r>
          </w:p>
        </w:tc>
      </w:tr>
      <w:tr w:rsidR="006260E7" w:rsidRPr="000179AE" w14:paraId="1ACB115D" w14:textId="77777777" w:rsidTr="006F1802">
        <w:tblPrEx>
          <w:tblCellMar>
            <w:top w:w="57" w:type="dxa"/>
            <w:bottom w:w="57" w:type="dxa"/>
          </w:tblCellMar>
        </w:tblPrEx>
        <w:tc>
          <w:tcPr>
            <w:tcW w:w="9811" w:type="dxa"/>
            <w:gridSpan w:val="3"/>
            <w:shd w:val="clear" w:color="auto" w:fill="B5DACE" w:themeFill="accent5" w:themeFillTint="40"/>
          </w:tcPr>
          <w:p w14:paraId="471C1128" w14:textId="77777777" w:rsidR="006260E7" w:rsidRPr="000179AE" w:rsidRDefault="006260E7" w:rsidP="00D25400">
            <w:pPr>
              <w:pStyle w:val="TableBody"/>
              <w:keepLines/>
              <w:spacing w:before="80" w:after="80"/>
              <w:ind w:left="142" w:right="119"/>
              <w:rPr>
                <w:rFonts w:ascii="Tahoma" w:hAnsi="Tahoma" w:cs="Tahoma"/>
                <w:b/>
                <w:bCs/>
                <w:color w:val="262626" w:themeColor="text1" w:themeTint="D9"/>
              </w:rPr>
            </w:pPr>
            <w:r>
              <w:rPr>
                <w:rFonts w:ascii="Tahoma" w:hAnsi="Tahoma" w:cs="Tahoma"/>
                <w:b/>
                <w:bCs/>
                <w:color w:val="262626" w:themeColor="text1" w:themeTint="D9"/>
              </w:rPr>
              <w:t>Customer outcomes vary significantly between and within retailers</w:t>
            </w:r>
          </w:p>
        </w:tc>
      </w:tr>
      <w:tr w:rsidR="006260E7" w:rsidRPr="000179AE" w14:paraId="1726652B" w14:textId="77777777" w:rsidTr="00CD26ED">
        <w:tblPrEx>
          <w:tblCellMar>
            <w:top w:w="57" w:type="dxa"/>
            <w:bottom w:w="57" w:type="dxa"/>
          </w:tblCellMar>
        </w:tblPrEx>
        <w:tc>
          <w:tcPr>
            <w:tcW w:w="1870" w:type="dxa"/>
            <w:vMerge w:val="restart"/>
            <w:shd w:val="clear" w:color="auto" w:fill="B5DACE" w:themeFill="accent5" w:themeFillTint="40"/>
            <w:vAlign w:val="center"/>
          </w:tcPr>
          <w:p w14:paraId="7B65CA7D" w14:textId="77777777" w:rsidR="006260E7" w:rsidRPr="000179AE" w:rsidRDefault="006260E7" w:rsidP="00D25400">
            <w:pPr>
              <w:pStyle w:val="TableBody"/>
              <w:keepLines/>
              <w:ind w:left="284" w:right="-2"/>
              <w:jc w:val="center"/>
              <w:rPr>
                <w:rFonts w:ascii="Tahoma" w:hAnsi="Tahoma" w:cs="Tahoma"/>
                <w:noProof/>
                <w:color w:val="262626" w:themeColor="text1" w:themeTint="D9"/>
              </w:rPr>
            </w:pPr>
            <w:r w:rsidRPr="000179AE">
              <w:rPr>
                <w:rFonts w:ascii="Tahoma" w:hAnsi="Tahoma" w:cs="Tahoma"/>
                <w:noProof/>
                <w:color w:val="262626" w:themeColor="text1" w:themeTint="D9"/>
              </w:rPr>
              <w:drawing>
                <wp:inline distT="0" distB="0" distL="0" distR="0" wp14:anchorId="49A14E0C" wp14:editId="574B1BE5">
                  <wp:extent cx="864000" cy="864000"/>
                  <wp:effectExtent l="0" t="0" r="0" b="0"/>
                  <wp:docPr id="99985" name="Picture 99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5" name="Picture 99985">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6316" w:type="dxa"/>
            <w:shd w:val="clear" w:color="auto" w:fill="B5DACE" w:themeFill="accent5" w:themeFillTint="40"/>
          </w:tcPr>
          <w:p w14:paraId="0B1615F9" w14:textId="3C9F8E0B" w:rsidR="006260E7" w:rsidRPr="001551CC" w:rsidRDefault="006260E7" w:rsidP="00D25400">
            <w:pPr>
              <w:pStyle w:val="ListBullet"/>
              <w:keepLines/>
              <w:spacing w:before="0"/>
              <w:ind w:left="357" w:hanging="357"/>
              <w:contextualSpacing w:val="0"/>
            </w:pPr>
            <w:r w:rsidRPr="001551CC">
              <w:t xml:space="preserve">Improve </w:t>
            </w:r>
            <w:r w:rsidR="005147A3">
              <w:t xml:space="preserve">retailers’ </w:t>
            </w:r>
            <w:r w:rsidRPr="001551CC">
              <w:t>effectiveness of establishing and reviewing payment arrangements and plans.</w:t>
            </w:r>
          </w:p>
        </w:tc>
        <w:tc>
          <w:tcPr>
            <w:tcW w:w="1625" w:type="dxa"/>
            <w:shd w:val="clear" w:color="auto" w:fill="B5DACE" w:themeFill="accent5" w:themeFillTint="40"/>
            <w:vAlign w:val="center"/>
          </w:tcPr>
          <w:p w14:paraId="6955AEF9" w14:textId="77777777" w:rsidR="006260E7" w:rsidRPr="00C82D1A" w:rsidRDefault="006260E7" w:rsidP="002734AA">
            <w:pPr>
              <w:pStyle w:val="ListBullet"/>
              <w:keepLines/>
              <w:numPr>
                <w:ilvl w:val="0"/>
                <w:numId w:val="0"/>
              </w:numPr>
              <w:spacing w:before="0" w:line="240" w:lineRule="auto"/>
              <w:rPr>
                <w:b/>
                <w:bCs/>
                <w:color w:val="CE0058" w:themeColor="accent2"/>
              </w:rPr>
            </w:pPr>
            <w:r w:rsidRPr="00046BFF">
              <w:rPr>
                <w:b/>
                <w:bCs/>
                <w:color w:val="CE0058" w:themeColor="accent2"/>
              </w:rPr>
              <w:t>Priority</w:t>
            </w:r>
          </w:p>
        </w:tc>
      </w:tr>
      <w:tr w:rsidR="006260E7" w:rsidRPr="000179AE" w14:paraId="75BE2FBA" w14:textId="77777777" w:rsidTr="00CD26ED">
        <w:tblPrEx>
          <w:tblCellMar>
            <w:top w:w="57" w:type="dxa"/>
            <w:bottom w:w="57" w:type="dxa"/>
          </w:tblCellMar>
        </w:tblPrEx>
        <w:tc>
          <w:tcPr>
            <w:tcW w:w="1870" w:type="dxa"/>
            <w:vMerge/>
            <w:shd w:val="clear" w:color="auto" w:fill="B5DACE" w:themeFill="accent5" w:themeFillTint="40"/>
            <w:vAlign w:val="center"/>
          </w:tcPr>
          <w:p w14:paraId="3703ECE0" w14:textId="77777777" w:rsidR="006260E7" w:rsidRPr="000179AE" w:rsidRDefault="006260E7" w:rsidP="00D25400">
            <w:pPr>
              <w:pStyle w:val="TableBody"/>
              <w:keepLines/>
              <w:ind w:left="284" w:right="-2"/>
              <w:jc w:val="center"/>
              <w:rPr>
                <w:rFonts w:ascii="Tahoma" w:hAnsi="Tahoma" w:cs="Tahoma"/>
                <w:noProof/>
                <w:color w:val="262626" w:themeColor="text1" w:themeTint="D9"/>
              </w:rPr>
            </w:pPr>
          </w:p>
        </w:tc>
        <w:tc>
          <w:tcPr>
            <w:tcW w:w="6316" w:type="dxa"/>
            <w:shd w:val="clear" w:color="auto" w:fill="B5DACE" w:themeFill="accent5" w:themeFillTint="40"/>
          </w:tcPr>
          <w:p w14:paraId="2CA32771" w14:textId="6F6CED22" w:rsidR="006260E7" w:rsidRPr="001551CC" w:rsidRDefault="006260E7" w:rsidP="00D25400">
            <w:pPr>
              <w:pStyle w:val="ListBullet"/>
              <w:keepLines/>
              <w:spacing w:before="0"/>
              <w:ind w:left="357" w:hanging="357"/>
              <w:contextualSpacing w:val="0"/>
            </w:pPr>
            <w:r w:rsidRPr="00C82D1A">
              <w:t xml:space="preserve">Improve customer access to payment arrangements </w:t>
            </w:r>
            <w:r w:rsidR="005147A3">
              <w:t>from their retailer</w:t>
            </w:r>
            <w:r w:rsidRPr="00C82D1A">
              <w:t>.</w:t>
            </w:r>
          </w:p>
        </w:tc>
        <w:tc>
          <w:tcPr>
            <w:tcW w:w="1625" w:type="dxa"/>
            <w:shd w:val="clear" w:color="auto" w:fill="B5DACE" w:themeFill="accent5" w:themeFillTint="40"/>
          </w:tcPr>
          <w:p w14:paraId="0A2CDA45" w14:textId="77777777" w:rsidR="006260E7" w:rsidRPr="00C82D1A" w:rsidRDefault="006260E7" w:rsidP="002734AA">
            <w:pPr>
              <w:pStyle w:val="ListBullet"/>
              <w:keepLines/>
              <w:numPr>
                <w:ilvl w:val="0"/>
                <w:numId w:val="0"/>
              </w:numPr>
              <w:spacing w:before="0" w:line="240" w:lineRule="auto"/>
              <w:rPr>
                <w:b/>
                <w:bCs/>
                <w:color w:val="CE0058" w:themeColor="accent2"/>
              </w:rPr>
            </w:pPr>
          </w:p>
        </w:tc>
      </w:tr>
    </w:tbl>
    <w:p w14:paraId="485F7951" w14:textId="77777777" w:rsidR="00C43F4C" w:rsidRDefault="00C43F4C" w:rsidP="003A1B23">
      <w:pPr>
        <w:pStyle w:val="Heading2"/>
        <w:spacing w:before="360"/>
      </w:pPr>
      <w:bookmarkStart w:id="140" w:name="_Toc104850133"/>
      <w:bookmarkStart w:id="141" w:name="_Toc100135106"/>
      <w:bookmarkStart w:id="142" w:name="_Ref100144740"/>
      <w:bookmarkStart w:id="143" w:name="_Toc100145134"/>
      <w:r w:rsidRPr="004B2F44">
        <w:t>Information on future energy use and how this cost could be lowered</w:t>
      </w:r>
      <w:bookmarkEnd w:id="140"/>
    </w:p>
    <w:p w14:paraId="11BDF378" w14:textId="77777777" w:rsidR="00C43F4C" w:rsidRDefault="00C43F4C" w:rsidP="00D25400">
      <w:pPr>
        <w:keepNext/>
        <w:keepLines/>
      </w:pPr>
      <w:r>
        <w:t xml:space="preserve">While we have found that retailers focus on helping customers establish and maintain payment arrangements with customers, the framework also requires retailers to provide customers with advice to </w:t>
      </w:r>
      <w:r w:rsidRPr="00127380">
        <w:t xml:space="preserve">lower their energy costs and usage. </w:t>
      </w:r>
      <w:r>
        <w:t xml:space="preserve">Specifically: </w:t>
      </w:r>
    </w:p>
    <w:p w14:paraId="3F31EA4E" w14:textId="34499A82" w:rsidR="00C43F4C" w:rsidRDefault="00C43F4C" w:rsidP="00D25400">
      <w:pPr>
        <w:pStyle w:val="Quote"/>
        <w:keepNext/>
        <w:keepLines/>
      </w:pPr>
      <w:r>
        <w:t xml:space="preserve">(c) specific advice about the likely cost of a </w:t>
      </w:r>
      <w:r>
        <w:rPr>
          <w:i/>
          <w:iCs w:val="0"/>
        </w:rPr>
        <w:t xml:space="preserve">residential customer’s </w:t>
      </w:r>
      <w:r>
        <w:t xml:space="preserve">future </w:t>
      </w:r>
      <w:r>
        <w:rPr>
          <w:i/>
          <w:iCs w:val="0"/>
        </w:rPr>
        <w:t xml:space="preserve">energy </w:t>
      </w:r>
      <w:r>
        <w:t>use and how this cost may be lowered;</w:t>
      </w:r>
    </w:p>
    <w:p w14:paraId="78F69683" w14:textId="77777777" w:rsidR="00C43F4C" w:rsidRDefault="00C43F4C" w:rsidP="00D25400">
      <w:pPr>
        <w:pStyle w:val="Quote"/>
        <w:keepNext/>
        <w:keepLines/>
      </w:pPr>
      <w:r>
        <w:t xml:space="preserve">(d) specific advice about any government and non-government assistance (including </w:t>
      </w:r>
      <w:r w:rsidRPr="00034D8E">
        <w:rPr>
          <w:i/>
          <w:iCs w:val="0"/>
        </w:rPr>
        <w:t>Utility Relief Grants</w:t>
      </w:r>
      <w:r>
        <w:t xml:space="preserve"> and </w:t>
      </w:r>
      <w:r w:rsidRPr="00034D8E">
        <w:rPr>
          <w:i/>
          <w:iCs w:val="0"/>
        </w:rPr>
        <w:t>energy</w:t>
      </w:r>
      <w:r>
        <w:t xml:space="preserve"> concessions) available to help a </w:t>
      </w:r>
      <w:r w:rsidRPr="00034D8E">
        <w:rPr>
          <w:i/>
          <w:iCs w:val="0"/>
        </w:rPr>
        <w:t>residential customer</w:t>
      </w:r>
      <w:r>
        <w:t xml:space="preserve"> meet their </w:t>
      </w:r>
      <w:r w:rsidRPr="00034D8E">
        <w:rPr>
          <w:i/>
          <w:iCs w:val="0"/>
        </w:rPr>
        <w:t>energy</w:t>
      </w:r>
      <w:r>
        <w:t xml:space="preserve"> costs;</w:t>
      </w:r>
      <w:r>
        <w:rPr>
          <w:rStyle w:val="FootnoteReference"/>
        </w:rPr>
        <w:footnoteReference w:id="83"/>
      </w:r>
    </w:p>
    <w:p w14:paraId="26F91A2D" w14:textId="7ACD554B" w:rsidR="00C43F4C" w:rsidRDefault="00C43F4C" w:rsidP="00E35F2B">
      <w:pPr>
        <w:keepLines/>
      </w:pPr>
      <w:r>
        <w:t xml:space="preserve">Under the framework, this type of advice </w:t>
      </w:r>
      <w:r w:rsidR="007F4B66">
        <w:t xml:space="preserve">must </w:t>
      </w:r>
      <w:r>
        <w:t>be offered as a minimum to all customers experiencing payment difficulty, whether they can or cannot pay for their ongoing usage. This assistance was intended to provide customers with useful information they could act on to reduce their ongoing energy use, and to prevent the further build-up of energy arrears over time.</w:t>
      </w:r>
    </w:p>
    <w:p w14:paraId="3D6DEA1E" w14:textId="77777777" w:rsidR="00C43F4C" w:rsidRDefault="00C43F4C" w:rsidP="00C43F4C">
      <w:pPr>
        <w:pStyle w:val="Heading3"/>
      </w:pPr>
      <w:r>
        <w:t xml:space="preserve">Customers in payment difficulty are more likely to use more energy </w:t>
      </w:r>
    </w:p>
    <w:p w14:paraId="3CBB5C76" w14:textId="77777777" w:rsidR="00C43F4C" w:rsidRDefault="00C43F4C" w:rsidP="00C43F4C">
      <w:r>
        <w:t>Support for customers to reduce their energy costs remains extremely important for those who are in payment difficulty.</w:t>
      </w:r>
    </w:p>
    <w:p w14:paraId="7AD6F35B" w14:textId="0D63590C" w:rsidR="00C43F4C" w:rsidRDefault="00C43F4C" w:rsidP="00C43F4C">
      <w:r>
        <w:t xml:space="preserve">Based on our analysis of around </w:t>
      </w:r>
      <w:r w:rsidR="00464802">
        <w:t>285</w:t>
      </w:r>
      <w:r>
        <w:t xml:space="preserve">,000 Victorian customer electricity bills, customers receiving </w:t>
      </w:r>
      <w:r w:rsidR="00CD26ED">
        <w:t xml:space="preserve">tailored </w:t>
      </w:r>
      <w:r>
        <w:t xml:space="preserve">assistance consumed up to </w:t>
      </w:r>
      <w:r w:rsidR="00E47A35">
        <w:t xml:space="preserve">47 </w:t>
      </w:r>
      <w:r>
        <w:t xml:space="preserve">per cent more electricity than those who are not. </w:t>
      </w:r>
      <w:r w:rsidR="00021850">
        <w:t xml:space="preserve">It also appears that customers receiving assistance in regional Victoria appear to use more electricity </w:t>
      </w:r>
      <w:r w:rsidR="00021850">
        <w:lastRenderedPageBreak/>
        <w:t>than in metropolitan Melbourne.</w:t>
      </w:r>
      <w:r w:rsidR="00E82A9A">
        <w:rPr>
          <w:rStyle w:val="FootnoteReference"/>
        </w:rPr>
        <w:footnoteReference w:id="84"/>
      </w:r>
      <w:r w:rsidR="00021850">
        <w:t xml:space="preserve"> </w:t>
      </w:r>
      <w:r>
        <w:t>It is unclear why this may be the case; customers experiencing payment difficulties may spend more time at home during the day, have larger families, less energy efficient housing and/or appliances, or may use energy less efficiently.</w:t>
      </w:r>
    </w:p>
    <w:p w14:paraId="2342D7C1" w14:textId="77777777" w:rsidR="00C43F4C" w:rsidRDefault="00C43F4C" w:rsidP="00C43F4C">
      <w:r>
        <w:t>There may be a continued opportunity to help customers reduce their energy use to lower future costs and the possible build-up of arrears. We recognise this is a challenging issue, and one which a range of other government and non-government programs may be better placed to assist. However, retailers can perform an important role in informing customers about these programs or provide practical assistance to help reduce energy costs. Any support that could help customers reduce their future energy usage could help them manage future bills and prevent the build-up of arrears.</w:t>
      </w:r>
    </w:p>
    <w:p w14:paraId="565BDDF4" w14:textId="77777777" w:rsidR="00C43F4C" w:rsidRDefault="00C43F4C" w:rsidP="00C43F4C">
      <w:pPr>
        <w:pStyle w:val="Heading3"/>
      </w:pPr>
      <w:r>
        <w:t xml:space="preserve">Customers are often provided general advice to help lower their energy use and costs </w:t>
      </w:r>
    </w:p>
    <w:p w14:paraId="1D5EC77D" w14:textId="77777777" w:rsidR="00C43F4C" w:rsidRDefault="00C43F4C" w:rsidP="00C43F4C">
      <w:bookmarkStart w:id="144" w:name="_Hlk101768139"/>
      <w:r>
        <w:t xml:space="preserve">We found that retailers often provide general information to customers about ways they can reduce their energy costs through </w:t>
      </w:r>
      <w:r w:rsidRPr="00F94B52">
        <w:t>pamphlets</w:t>
      </w:r>
      <w:r>
        <w:t xml:space="preserve"> relating to available assistance, email communications, or </w:t>
      </w:r>
      <w:r w:rsidRPr="00F94B52">
        <w:t>directing</w:t>
      </w:r>
      <w:r>
        <w:t xml:space="preserve"> customers to information provided on their websites. </w:t>
      </w:r>
    </w:p>
    <w:p w14:paraId="5817C4D3" w14:textId="77777777" w:rsidR="00C43F4C" w:rsidRPr="00DA45F8" w:rsidRDefault="00C43F4C" w:rsidP="005C7184">
      <w:pPr>
        <w:keepNext/>
        <w:keepLines/>
      </w:pPr>
      <w:r w:rsidRPr="00DA45F8">
        <w:t>Based on a 2020 review of retailer websites, we found that most retailers had information on:</w:t>
      </w:r>
    </w:p>
    <w:p w14:paraId="22E6B842" w14:textId="77777777" w:rsidR="00C43F4C" w:rsidRPr="00F94B52" w:rsidRDefault="00C43F4C" w:rsidP="005C7184">
      <w:pPr>
        <w:pStyle w:val="ListParagraph"/>
        <w:keepNext/>
        <w:keepLines/>
        <w:numPr>
          <w:ilvl w:val="0"/>
          <w:numId w:val="10"/>
        </w:numPr>
      </w:pPr>
      <w:r w:rsidRPr="00F94B52">
        <w:t>how to access concessions</w:t>
      </w:r>
    </w:p>
    <w:p w14:paraId="08377B25" w14:textId="77777777" w:rsidR="00C43F4C" w:rsidRPr="00F94B52" w:rsidRDefault="00C43F4C" w:rsidP="005C7184">
      <w:pPr>
        <w:pStyle w:val="ListParagraph"/>
        <w:keepNext/>
        <w:keepLines/>
        <w:numPr>
          <w:ilvl w:val="0"/>
          <w:numId w:val="10"/>
        </w:numPr>
      </w:pPr>
      <w:r w:rsidRPr="00F94B52">
        <w:t>how to locate a financial counsellor</w:t>
      </w:r>
    </w:p>
    <w:p w14:paraId="537BF2A3" w14:textId="77777777" w:rsidR="00C43F4C" w:rsidRPr="00F94B52" w:rsidRDefault="00C43F4C" w:rsidP="005C7184">
      <w:pPr>
        <w:pStyle w:val="ListParagraph"/>
        <w:keepNext/>
        <w:keepLines/>
        <w:numPr>
          <w:ilvl w:val="0"/>
          <w:numId w:val="10"/>
        </w:numPr>
      </w:pPr>
      <w:r w:rsidRPr="00F94B52">
        <w:t>specific community support organisations</w:t>
      </w:r>
    </w:p>
    <w:p w14:paraId="551839E5" w14:textId="77777777" w:rsidR="00C43F4C" w:rsidRPr="00F94B52" w:rsidRDefault="00C43F4C" w:rsidP="005C7184">
      <w:pPr>
        <w:pStyle w:val="ListParagraph"/>
        <w:keepNext/>
        <w:keepLines/>
        <w:numPr>
          <w:ilvl w:val="0"/>
          <w:numId w:val="10"/>
        </w:numPr>
      </w:pPr>
      <w:r w:rsidRPr="00F94B52">
        <w:t>the best offer message on a customer’s bill</w:t>
      </w:r>
    </w:p>
    <w:p w14:paraId="1D71E880" w14:textId="77777777" w:rsidR="00C43F4C" w:rsidRPr="00F94B52" w:rsidRDefault="00C43F4C" w:rsidP="005C7184">
      <w:pPr>
        <w:pStyle w:val="ListParagraph"/>
        <w:keepNext/>
        <w:keepLines/>
        <w:numPr>
          <w:ilvl w:val="0"/>
          <w:numId w:val="10"/>
        </w:numPr>
      </w:pPr>
      <w:r w:rsidRPr="00F94B52">
        <w:t>generic energy saving and efficiency tips.</w:t>
      </w:r>
    </w:p>
    <w:bookmarkEnd w:id="144"/>
    <w:p w14:paraId="35F135F7" w14:textId="07732032" w:rsidR="00C43F4C" w:rsidRPr="00177354" w:rsidRDefault="00C43F4C" w:rsidP="007F77A1">
      <w:pPr>
        <w:pStyle w:val="Pull-outHeading"/>
      </w:pPr>
      <w:r>
        <w:t>Call recording</w:t>
      </w:r>
      <w:r w:rsidR="00CF6C1E">
        <w:t>s</w:t>
      </w:r>
      <w:r>
        <w:t xml:space="preserve"> case study</w:t>
      </w:r>
      <w:r w:rsidR="00230B85">
        <w:t xml:space="preserve"> </w:t>
      </w:r>
      <w:r>
        <w:fldChar w:fldCharType="begin"/>
      </w:r>
      <w:r>
        <w:instrText xml:space="preserve"> SEQ Call_recording_case_study \* ARABIC </w:instrText>
      </w:r>
      <w:r>
        <w:fldChar w:fldCharType="separate"/>
      </w:r>
      <w:r w:rsidR="00357DD7">
        <w:rPr>
          <w:noProof/>
        </w:rPr>
        <w:t>4</w:t>
      </w:r>
      <w:r>
        <w:fldChar w:fldCharType="end"/>
      </w:r>
      <w:r w:rsidRPr="00177354">
        <w:t>: customers receiving information and advice on how to lower energy costs</w:t>
      </w:r>
    </w:p>
    <w:p w14:paraId="01B018CE" w14:textId="46D06647" w:rsidR="00C43F4C" w:rsidRPr="00177354" w:rsidRDefault="00C43F4C" w:rsidP="00C43F4C">
      <w:pPr>
        <w:pStyle w:val="Pull-outHeading"/>
      </w:pPr>
      <w:r>
        <w:t>Customer journey</w:t>
      </w:r>
      <w:r w:rsidRPr="00177354">
        <w:t xml:space="preserve"> 2</w:t>
      </w:r>
      <w:r w:rsidR="0021024A">
        <w:t>: information on energy use</w:t>
      </w:r>
    </w:p>
    <w:p w14:paraId="5BB442AB" w14:textId="77777777" w:rsidR="00C43F4C" w:rsidRDefault="00C43F4C" w:rsidP="00C43F4C">
      <w:pPr>
        <w:pStyle w:val="Pull-outHeading"/>
        <w:rPr>
          <w:b w:val="0"/>
          <w:bCs w:val="0"/>
        </w:rPr>
      </w:pPr>
      <w:r>
        <w:rPr>
          <w:b w:val="0"/>
          <w:bCs w:val="0"/>
        </w:rPr>
        <w:t>T</w:t>
      </w:r>
      <w:r w:rsidRPr="007F65FA">
        <w:rPr>
          <w:b w:val="0"/>
          <w:bCs w:val="0"/>
        </w:rPr>
        <w:t>h</w:t>
      </w:r>
      <w:r>
        <w:rPr>
          <w:b w:val="0"/>
          <w:bCs w:val="0"/>
        </w:rPr>
        <w:t>is</w:t>
      </w:r>
      <w:r w:rsidRPr="007F65FA">
        <w:rPr>
          <w:b w:val="0"/>
          <w:bCs w:val="0"/>
        </w:rPr>
        <w:t xml:space="preserve"> customer </w:t>
      </w:r>
      <w:r>
        <w:rPr>
          <w:b w:val="0"/>
          <w:bCs w:val="0"/>
        </w:rPr>
        <w:t>was experiencing payment difficulty</w:t>
      </w:r>
      <w:r w:rsidRPr="007F65FA">
        <w:rPr>
          <w:b w:val="0"/>
          <w:bCs w:val="0"/>
        </w:rPr>
        <w:t xml:space="preserve"> and </w:t>
      </w:r>
      <w:r>
        <w:rPr>
          <w:b w:val="0"/>
          <w:bCs w:val="0"/>
        </w:rPr>
        <w:t xml:space="preserve">living in low quality housing, resulting in reduced energy efficiency and higher energy use and costs. </w:t>
      </w:r>
      <w:r w:rsidRPr="007F65FA">
        <w:rPr>
          <w:b w:val="0"/>
          <w:bCs w:val="0"/>
        </w:rPr>
        <w:t>During the first and second interactions with the retailer</w:t>
      </w:r>
      <w:r>
        <w:rPr>
          <w:b w:val="0"/>
          <w:bCs w:val="0"/>
        </w:rPr>
        <w:t xml:space="preserve"> within the study timeframe</w:t>
      </w:r>
      <w:r w:rsidRPr="007F65FA">
        <w:rPr>
          <w:b w:val="0"/>
          <w:bCs w:val="0"/>
        </w:rPr>
        <w:t xml:space="preserve">, the customer was provided with information on their consumption levels over time. This was coupled with advice on how to </w:t>
      </w:r>
      <w:r w:rsidRPr="007F65FA">
        <w:rPr>
          <w:b w:val="0"/>
          <w:bCs w:val="0"/>
        </w:rPr>
        <w:lastRenderedPageBreak/>
        <w:t>lower energy use to lower costs. All interactions included discussions of payment plans</w:t>
      </w:r>
      <w:r>
        <w:rPr>
          <w:b w:val="0"/>
          <w:bCs w:val="0"/>
        </w:rPr>
        <w:t>,</w:t>
      </w:r>
      <w:r w:rsidRPr="007F65FA">
        <w:rPr>
          <w:b w:val="0"/>
          <w:bCs w:val="0"/>
        </w:rPr>
        <w:t xml:space="preserve"> and some included advice on government assistance. </w:t>
      </w:r>
    </w:p>
    <w:p w14:paraId="2D6E7DEE" w14:textId="031E0903" w:rsidR="00C43F4C" w:rsidRDefault="00C43F4C" w:rsidP="00C43F4C">
      <w:pPr>
        <w:pStyle w:val="Pull-outHeading"/>
        <w:rPr>
          <w:b w:val="0"/>
          <w:bCs w:val="0"/>
        </w:rPr>
      </w:pPr>
      <w:r w:rsidRPr="007F65FA">
        <w:rPr>
          <w:b w:val="0"/>
          <w:bCs w:val="0"/>
        </w:rPr>
        <w:t>By the end of the study, th</w:t>
      </w:r>
      <w:r>
        <w:rPr>
          <w:b w:val="0"/>
          <w:bCs w:val="0"/>
        </w:rPr>
        <w:t xml:space="preserve">is </w:t>
      </w:r>
      <w:r w:rsidRPr="007F65FA">
        <w:rPr>
          <w:b w:val="0"/>
          <w:bCs w:val="0"/>
        </w:rPr>
        <w:t xml:space="preserve">customer had a significant decrease in </w:t>
      </w:r>
      <w:r w:rsidR="0015558C">
        <w:rPr>
          <w:b w:val="0"/>
          <w:bCs w:val="0"/>
        </w:rPr>
        <w:t>arrears</w:t>
      </w:r>
      <w:r w:rsidRPr="007F65FA">
        <w:rPr>
          <w:b w:val="0"/>
          <w:bCs w:val="0"/>
        </w:rPr>
        <w:t xml:space="preserve">. It is unclear whether this is due to advice on lowering energy usage, the payment plans, government assistance, or a combination of all three. </w:t>
      </w:r>
      <w:r>
        <w:rPr>
          <w:b w:val="0"/>
          <w:bCs w:val="0"/>
        </w:rPr>
        <w:t>T</w:t>
      </w:r>
      <w:r w:rsidRPr="007F65FA">
        <w:rPr>
          <w:b w:val="0"/>
          <w:bCs w:val="0"/>
        </w:rPr>
        <w:t xml:space="preserve">he customer </w:t>
      </w:r>
      <w:r>
        <w:rPr>
          <w:b w:val="0"/>
          <w:bCs w:val="0"/>
        </w:rPr>
        <w:t xml:space="preserve">also expressed a high degree of satisfaction with the support provided. </w:t>
      </w:r>
    </w:p>
    <w:p w14:paraId="02E1DBD9" w14:textId="251028C3" w:rsidR="00C43F4C" w:rsidRDefault="00C43F4C" w:rsidP="00C43F4C">
      <w:pPr>
        <w:pStyle w:val="Pull-outHeading"/>
      </w:pPr>
      <w:r>
        <w:t xml:space="preserve">Customer journey 4: </w:t>
      </w:r>
      <w:r w:rsidR="0021024A">
        <w:t>a</w:t>
      </w:r>
      <w:r>
        <w:t>dvice on energy use</w:t>
      </w:r>
      <w:r w:rsidR="001D7BDB">
        <w:t xml:space="preserve"> </w:t>
      </w:r>
    </w:p>
    <w:p w14:paraId="16AD2C15" w14:textId="77777777" w:rsidR="00E01594" w:rsidRDefault="00C43F4C" w:rsidP="00C43F4C">
      <w:pPr>
        <w:pStyle w:val="Pull-out2"/>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accent3" w:themeFillTint="66"/>
      </w:pPr>
      <w:r>
        <w:t xml:space="preserve">This issue is evident with customer journey 4 from the call recordings study. This customer had accrued a large </w:t>
      </w:r>
      <w:r w:rsidR="0015558C">
        <w:t>arrears</w:t>
      </w:r>
      <w:r>
        <w:t xml:space="preserve"> towards the end of the study period. </w:t>
      </w:r>
      <w:r w:rsidR="00901103">
        <w:t>T</w:t>
      </w:r>
      <w:r>
        <w:t xml:space="preserve">hey were placed on a seemingly appropriate payment plan, </w:t>
      </w:r>
      <w:r w:rsidR="00901103">
        <w:t xml:space="preserve">and </w:t>
      </w:r>
      <w:r w:rsidR="001D7BDB">
        <w:t xml:space="preserve">their improved circumstances meant they could increase their payments to cover their ongoing usage and begin </w:t>
      </w:r>
      <w:r>
        <w:t>to pay off arrears</w:t>
      </w:r>
      <w:r w:rsidR="001D7BDB">
        <w:t xml:space="preserve">. </w:t>
      </w:r>
    </w:p>
    <w:p w14:paraId="2DBBB2C7" w14:textId="677BE280" w:rsidR="00C43F4C" w:rsidRPr="00B3729E" w:rsidRDefault="001D7BDB" w:rsidP="00C43F4C">
      <w:pPr>
        <w:pStyle w:val="Pull-out2"/>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accent3" w:themeFillTint="66"/>
      </w:pPr>
      <w:r>
        <w:t>T</w:t>
      </w:r>
      <w:r w:rsidR="00C43F4C">
        <w:t>he customer was</w:t>
      </w:r>
      <w:r>
        <w:t xml:space="preserve"> also</w:t>
      </w:r>
      <w:r w:rsidR="00C43F4C">
        <w:t xml:space="preserve"> provided with comprehensive energy-saving tips by a knowledgeable operator</w:t>
      </w:r>
      <w:r>
        <w:t xml:space="preserve"> to assist them to lower their ongoing consumption</w:t>
      </w:r>
      <w:r w:rsidR="00C43F4C">
        <w:t xml:space="preserve">. One of the suggestions was home insulation. However, since the customer was a renter, they expressed that this tip was not practical for them. </w:t>
      </w:r>
    </w:p>
    <w:p w14:paraId="14C656D0" w14:textId="77F87703" w:rsidR="00C43F4C" w:rsidRDefault="00C43F4C" w:rsidP="00C43F4C">
      <w:pPr>
        <w:pStyle w:val="Pull-out2"/>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accent3" w:themeFillTint="66"/>
      </w:pPr>
      <w:r w:rsidRPr="003707BA">
        <w:t xml:space="preserve">Both cases focus on lowering energy usage </w:t>
      </w:r>
      <w:r w:rsidR="00190F29" w:rsidRPr="003707BA">
        <w:t>to</w:t>
      </w:r>
      <w:r w:rsidRPr="003707BA">
        <w:t xml:space="preserve"> lower energy costs. While it can be inferred that advice in this area can have positive implications for customers, there are limits to the </w:t>
      </w:r>
      <w:r w:rsidRPr="002620EC">
        <w:t>usefulness of this option</w:t>
      </w:r>
      <w:r w:rsidR="00751EC6" w:rsidRPr="006A3814">
        <w:t xml:space="preserve"> </w:t>
      </w:r>
      <w:r w:rsidR="00751EC6" w:rsidRPr="007F77A1">
        <w:t xml:space="preserve">particularly for people </w:t>
      </w:r>
      <w:r w:rsidR="002A5E66" w:rsidRPr="007F77A1">
        <w:t xml:space="preserve">who may be renting and </w:t>
      </w:r>
      <w:r w:rsidR="00FF094B" w:rsidRPr="007F77A1">
        <w:t xml:space="preserve">may live in poorly </w:t>
      </w:r>
      <w:r w:rsidR="00BC0ACB" w:rsidRPr="007F77A1">
        <w:t>insulated properties.</w:t>
      </w:r>
    </w:p>
    <w:p w14:paraId="79D6CC98" w14:textId="77777777" w:rsidR="00CF6C1E" w:rsidRDefault="00CF6C1E" w:rsidP="00CF6C1E">
      <w:pPr>
        <w:pStyle w:val="Caption"/>
      </w:pPr>
      <w:r w:rsidRPr="004A1436">
        <w:t>Source:</w:t>
      </w:r>
      <w:r>
        <w:t xml:space="preserve"> </w:t>
      </w:r>
      <w:r w:rsidRPr="004A1436">
        <w:t xml:space="preserve">ORIMA Research, </w:t>
      </w:r>
      <w:r>
        <w:t>‘</w:t>
      </w:r>
      <w:r w:rsidRPr="004A1436">
        <w:t>Call recordings study</w:t>
      </w:r>
      <w:r>
        <w:t>: c</w:t>
      </w:r>
      <w:r w:rsidRPr="006F437F">
        <w:t xml:space="preserve">ase </w:t>
      </w:r>
      <w:r>
        <w:t>s</w:t>
      </w:r>
      <w:r w:rsidRPr="006F437F">
        <w:t xml:space="preserve">tudies of </w:t>
      </w:r>
      <w:r>
        <w:t>c</w:t>
      </w:r>
      <w:r w:rsidRPr="006F437F">
        <w:t xml:space="preserve">ustomer </w:t>
      </w:r>
      <w:r>
        <w:t>j</w:t>
      </w:r>
      <w:r w:rsidRPr="006F437F">
        <w:t>ourneys</w:t>
      </w:r>
      <w:r w:rsidRPr="004A1436">
        <w:t>’, May 2022</w:t>
      </w:r>
      <w:r>
        <w:t xml:space="preserve">. </w:t>
      </w:r>
    </w:p>
    <w:p w14:paraId="17FD1DDD" w14:textId="77777777" w:rsidR="00C43F4C" w:rsidRDefault="00C43F4C" w:rsidP="00C43F4C">
      <w:pPr>
        <w:pStyle w:val="Heading3"/>
      </w:pPr>
      <w:r>
        <w:t>Customers benefit from proactive suggestions of available grants and concessions when on a call with a retailer</w:t>
      </w:r>
    </w:p>
    <w:p w14:paraId="17F95ADC" w14:textId="430EE023" w:rsidR="00DA2AE7" w:rsidRDefault="00C43F4C" w:rsidP="00DA2AE7">
      <w:pPr>
        <w:spacing w:after="250"/>
      </w:pPr>
      <w:r>
        <w:t>As part of tailored assistance to help customers manage their energy costs and arrears, retailers are required to provide customers with information about government grants concessions and utility relief grants if they are eligible (</w:t>
      </w:r>
      <w:r>
        <w:fldChar w:fldCharType="begin"/>
      </w:r>
      <w:r>
        <w:instrText xml:space="preserve"> REF _Ref100095909 \h </w:instrText>
      </w:r>
      <w:r>
        <w:fldChar w:fldCharType="separate"/>
      </w:r>
      <w:r w:rsidR="00357DD7">
        <w:t xml:space="preserve">Figure </w:t>
      </w:r>
      <w:r w:rsidR="00357DD7">
        <w:rPr>
          <w:noProof/>
        </w:rPr>
        <w:t>24</w:t>
      </w:r>
      <w:r>
        <w:fldChar w:fldCharType="end"/>
      </w:r>
      <w:r w:rsidR="00AC59D8">
        <w:t>)</w:t>
      </w:r>
      <w:r>
        <w:t xml:space="preserve">. </w:t>
      </w:r>
      <w:r w:rsidR="00DA2AE7">
        <w:t xml:space="preserve">We consider it in the retailer’s interest to </w:t>
      </w:r>
      <w:r w:rsidR="00DA2AE7" w:rsidRPr="000F7B66">
        <w:t xml:space="preserve">check </w:t>
      </w:r>
      <w:r w:rsidR="00DA2AE7">
        <w:t>the</w:t>
      </w:r>
      <w:r w:rsidR="00DA2AE7" w:rsidRPr="000F7B66">
        <w:t xml:space="preserve"> concession status </w:t>
      </w:r>
      <w:r w:rsidR="00DA2AE7">
        <w:t xml:space="preserve">of customers when they first access </w:t>
      </w:r>
      <w:r w:rsidR="00DA2AE7" w:rsidRPr="000F7B66">
        <w:t>tailored assistance</w:t>
      </w:r>
      <w:r w:rsidR="00DA2AE7">
        <w:t>.</w:t>
      </w:r>
      <w:r w:rsidR="00DA2AE7" w:rsidRPr="000F7B66">
        <w:t xml:space="preserve"> </w:t>
      </w:r>
      <w:r w:rsidR="00DA2AE7">
        <w:t>We</w:t>
      </w:r>
      <w:r w:rsidR="00DA2AE7" w:rsidRPr="000F7B66">
        <w:t xml:space="preserve"> </w:t>
      </w:r>
      <w:r w:rsidR="00DA2AE7">
        <w:t xml:space="preserve">note that </w:t>
      </w:r>
      <w:r w:rsidR="00DA2AE7" w:rsidRPr="000F7B66">
        <w:t>there is no requirement to regularly check this going forward.</w:t>
      </w:r>
    </w:p>
    <w:p w14:paraId="237D4886" w14:textId="2B8714F7" w:rsidR="00C43F4C" w:rsidRDefault="00764383" w:rsidP="003A1B23">
      <w:pPr>
        <w:pStyle w:val="Figureheading"/>
        <w:keepNext/>
      </w:pPr>
      <w:bookmarkStart w:id="145" w:name="_Ref100095909"/>
      <w:bookmarkStart w:id="146" w:name="_Toc100135082"/>
      <w:bookmarkStart w:id="147" w:name="_Toc100098150"/>
      <w:bookmarkStart w:id="148" w:name="_Toc100145079"/>
      <w:bookmarkStart w:id="149" w:name="_Toc102095474"/>
      <w:bookmarkStart w:id="150" w:name="_Toc103943794"/>
      <w:r>
        <w:lastRenderedPageBreak/>
        <w:t xml:space="preserve">Figure </w:t>
      </w:r>
      <w:r>
        <w:fldChar w:fldCharType="begin"/>
      </w:r>
      <w:r>
        <w:instrText>SEQ Figure \* ARABIC</w:instrText>
      </w:r>
      <w:r>
        <w:fldChar w:fldCharType="separate"/>
      </w:r>
      <w:r w:rsidR="00357DD7">
        <w:rPr>
          <w:noProof/>
        </w:rPr>
        <w:t>24</w:t>
      </w:r>
      <w:r>
        <w:fldChar w:fldCharType="end"/>
      </w:r>
      <w:bookmarkEnd w:id="145"/>
      <w:r>
        <w:tab/>
      </w:r>
      <w:r w:rsidR="00C43F4C">
        <w:t>Supports available for eligible customers in Victoria</w:t>
      </w:r>
      <w:bookmarkEnd w:id="146"/>
      <w:bookmarkEnd w:id="147"/>
      <w:bookmarkEnd w:id="148"/>
      <w:bookmarkEnd w:id="149"/>
      <w:bookmarkEnd w:id="150"/>
    </w:p>
    <w:tbl>
      <w:tblPr>
        <w:tblStyle w:val="TableGrid"/>
        <w:tblW w:w="0" w:type="auto"/>
        <w:tblLook w:val="04A0" w:firstRow="1" w:lastRow="0" w:firstColumn="1" w:lastColumn="0" w:noHBand="0" w:noVBand="1"/>
      </w:tblPr>
      <w:tblGrid>
        <w:gridCol w:w="3212"/>
        <w:gridCol w:w="3213"/>
        <w:gridCol w:w="3213"/>
      </w:tblGrid>
      <w:tr w:rsidR="00C43F4C" w14:paraId="03394000" w14:textId="77777777" w:rsidTr="00DC3F20">
        <w:trPr>
          <w:cnfStyle w:val="100000000000" w:firstRow="1" w:lastRow="0" w:firstColumn="0" w:lastColumn="0" w:oddVBand="0" w:evenVBand="0" w:oddHBand="0" w:evenHBand="0" w:firstRowFirstColumn="0" w:firstRowLastColumn="0" w:lastRowFirstColumn="0" w:lastRowLastColumn="0"/>
        </w:trPr>
        <w:tc>
          <w:tcPr>
            <w:tcW w:w="3212" w:type="dxa"/>
          </w:tcPr>
          <w:p w14:paraId="18540F07" w14:textId="77777777" w:rsidR="00C43F4C" w:rsidRDefault="00C43F4C" w:rsidP="003A1B23">
            <w:pPr>
              <w:pStyle w:val="TableBody"/>
              <w:keepNext/>
            </w:pPr>
            <w:r w:rsidRPr="004B3748">
              <w:t xml:space="preserve">Annual electricity concessions </w:t>
            </w:r>
            <w:r>
              <w:br/>
            </w:r>
            <w:r w:rsidRPr="004B3748">
              <w:rPr>
                <w:b w:val="0"/>
                <w:bCs/>
              </w:rPr>
              <w:t>(applied all year)</w:t>
            </w:r>
          </w:p>
        </w:tc>
        <w:tc>
          <w:tcPr>
            <w:tcW w:w="3213" w:type="dxa"/>
            <w:shd w:val="clear" w:color="auto" w:fill="ED8B00" w:themeFill="accent4"/>
          </w:tcPr>
          <w:p w14:paraId="6BD14AEB" w14:textId="77777777" w:rsidR="00C43F4C" w:rsidRPr="00024D85" w:rsidRDefault="00C43F4C" w:rsidP="003A1B23">
            <w:pPr>
              <w:pStyle w:val="TableBody"/>
              <w:keepNext/>
              <w:rPr>
                <w:b w:val="0"/>
                <w:bCs/>
              </w:rPr>
            </w:pPr>
            <w:r w:rsidRPr="00E30CD5">
              <w:t xml:space="preserve">Winter gas concession </w:t>
            </w:r>
            <w:r>
              <w:rPr>
                <w:b w:val="0"/>
                <w:bCs/>
              </w:rPr>
              <w:br/>
            </w:r>
            <w:r w:rsidRPr="00E30CD5">
              <w:rPr>
                <w:b w:val="0"/>
                <w:bCs/>
              </w:rPr>
              <w:t>(applied between 1 May to 31 October)</w:t>
            </w:r>
          </w:p>
        </w:tc>
        <w:tc>
          <w:tcPr>
            <w:tcW w:w="3213" w:type="dxa"/>
            <w:shd w:val="clear" w:color="auto" w:fill="CE0058" w:themeFill="accent2"/>
          </w:tcPr>
          <w:p w14:paraId="57340F3B" w14:textId="77777777" w:rsidR="00C43F4C" w:rsidRPr="0043139C" w:rsidRDefault="00C43F4C" w:rsidP="003A1B23">
            <w:pPr>
              <w:pStyle w:val="TableBody"/>
              <w:keepNext/>
            </w:pPr>
            <w:r w:rsidRPr="0043139C">
              <w:t>Utility relief grants</w:t>
            </w:r>
            <w:r>
              <w:br/>
            </w:r>
            <w:r w:rsidRPr="00BD625C">
              <w:rPr>
                <w:b w:val="0"/>
                <w:bCs/>
              </w:rPr>
              <w:t>(for eligible households every two years)</w:t>
            </w:r>
          </w:p>
        </w:tc>
      </w:tr>
      <w:tr w:rsidR="00C43F4C" w14:paraId="133CD4AD" w14:textId="77777777" w:rsidTr="00DC3F20">
        <w:trPr>
          <w:cnfStyle w:val="000000100000" w:firstRow="0" w:lastRow="0" w:firstColumn="0" w:lastColumn="0" w:oddVBand="0" w:evenVBand="0" w:oddHBand="1" w:evenHBand="0" w:firstRowFirstColumn="0" w:firstRowLastColumn="0" w:lastRowFirstColumn="0" w:lastRowLastColumn="0"/>
        </w:trPr>
        <w:tc>
          <w:tcPr>
            <w:tcW w:w="3212" w:type="dxa"/>
          </w:tcPr>
          <w:p w14:paraId="4658F340" w14:textId="77777777" w:rsidR="00C43F4C" w:rsidRDefault="00C43F4C" w:rsidP="003A1B23">
            <w:pPr>
              <w:pStyle w:val="TableBody"/>
              <w:keepNext/>
            </w:pPr>
            <w:r>
              <w:t>Provides a 17.5 per cent reduction on an electricity bill.</w:t>
            </w:r>
          </w:p>
        </w:tc>
        <w:tc>
          <w:tcPr>
            <w:tcW w:w="3213" w:type="dxa"/>
            <w:shd w:val="clear" w:color="auto" w:fill="FFE8C8" w:themeFill="accent4" w:themeFillTint="33"/>
          </w:tcPr>
          <w:p w14:paraId="5D78C162" w14:textId="77777777" w:rsidR="00C43F4C" w:rsidRDefault="00C43F4C" w:rsidP="003A1B23">
            <w:pPr>
              <w:pStyle w:val="TableBody"/>
              <w:keepNext/>
            </w:pPr>
            <w:r>
              <w:t>Provides a 17.5 per cent reduction on a gas bill for the relevant period.</w:t>
            </w:r>
          </w:p>
        </w:tc>
        <w:tc>
          <w:tcPr>
            <w:tcW w:w="3213" w:type="dxa"/>
            <w:shd w:val="clear" w:color="auto" w:fill="FFC2DB" w:themeFill="accent2" w:themeFillTint="33"/>
          </w:tcPr>
          <w:p w14:paraId="7C9FA2FE" w14:textId="77777777" w:rsidR="00C43F4C" w:rsidRDefault="00C43F4C" w:rsidP="003A1B23">
            <w:pPr>
              <w:pStyle w:val="TableBody"/>
              <w:keepNext/>
            </w:pPr>
            <w:r>
              <w:t>Provides up to $650 for electricity and gas separately, or $1,300 if a household has only a single source of energy.</w:t>
            </w:r>
          </w:p>
        </w:tc>
      </w:tr>
    </w:tbl>
    <w:p w14:paraId="62C05A7A" w14:textId="2EA11BED" w:rsidR="00C43F4C" w:rsidRDefault="00C43F4C" w:rsidP="00C43F4C">
      <w:pPr>
        <w:spacing w:after="250"/>
      </w:pPr>
      <w:r>
        <w:t>Since the introduction of the framework, the number of customers receiving energy concessions has remained stable – almost 1 million households in 2020–21. Around</w:t>
      </w:r>
      <w:r w:rsidRPr="00F2485F">
        <w:t xml:space="preserve"> 44 </w:t>
      </w:r>
      <w:r>
        <w:t xml:space="preserve">per cent of electricity customers </w:t>
      </w:r>
      <w:r w:rsidRPr="00F2485F">
        <w:t>receiving tailored assistance</w:t>
      </w:r>
      <w:r>
        <w:t xml:space="preserve"> who can pay for their ongoing energy use </w:t>
      </w:r>
      <w:r w:rsidRPr="00F2485F">
        <w:t>are also receiving an energy concession.</w:t>
      </w:r>
      <w:r>
        <w:t xml:space="preserve"> For </w:t>
      </w:r>
      <w:r w:rsidR="00F13180">
        <w:t>electricity</w:t>
      </w:r>
      <w:r>
        <w:t xml:space="preserve"> customers who cannot pay for their ongoing energy use, 65 per cent also receive energy concessions (</w:t>
      </w:r>
      <w:r>
        <w:fldChar w:fldCharType="begin"/>
      </w:r>
      <w:r>
        <w:instrText xml:space="preserve"> REF _Ref100045811 \h </w:instrText>
      </w:r>
      <w:r>
        <w:fldChar w:fldCharType="separate"/>
      </w:r>
      <w:r w:rsidR="00357DD7">
        <w:t xml:space="preserve">Figure </w:t>
      </w:r>
      <w:r w:rsidR="00357DD7">
        <w:rPr>
          <w:noProof/>
        </w:rPr>
        <w:t>25</w:t>
      </w:r>
      <w:r>
        <w:fldChar w:fldCharType="end"/>
      </w:r>
      <w:r>
        <w:t>). This has been a consistent trend since the beginning of the framework</w:t>
      </w:r>
      <w:r w:rsidR="0048108A">
        <w:t xml:space="preserve"> </w:t>
      </w:r>
      <w:r>
        <w:t>and is similar for gas customers.</w:t>
      </w:r>
    </w:p>
    <w:p w14:paraId="085BF4FB" w14:textId="62FBCA6D" w:rsidR="00C43F4C" w:rsidRPr="00A107F9" w:rsidRDefault="00C43F4C" w:rsidP="005422E8">
      <w:pPr>
        <w:pStyle w:val="Figure-Table-BoxHeading"/>
        <w:keepNext/>
        <w:keepLines/>
        <w:numPr>
          <w:ilvl w:val="0"/>
          <w:numId w:val="0"/>
        </w:numPr>
      </w:pPr>
      <w:bookmarkStart w:id="151" w:name="_Ref100045811"/>
      <w:bookmarkStart w:id="152" w:name="_Ref100043082"/>
      <w:bookmarkStart w:id="153" w:name="_Toc100134490"/>
      <w:bookmarkStart w:id="154" w:name="_Toc100137052"/>
      <w:bookmarkStart w:id="155" w:name="_Ref102088185"/>
      <w:bookmarkStart w:id="156" w:name="_Toc102095476"/>
      <w:bookmarkStart w:id="157" w:name="_Toc103943795"/>
      <w:r>
        <w:t xml:space="preserve">Figure </w:t>
      </w:r>
      <w:r>
        <w:fldChar w:fldCharType="begin"/>
      </w:r>
      <w:r>
        <w:instrText>SEQ Figure \* ARABIC</w:instrText>
      </w:r>
      <w:r>
        <w:fldChar w:fldCharType="separate"/>
      </w:r>
      <w:r w:rsidR="00357DD7">
        <w:rPr>
          <w:noProof/>
        </w:rPr>
        <w:t>25</w:t>
      </w:r>
      <w:r>
        <w:fldChar w:fldCharType="end"/>
      </w:r>
      <w:bookmarkEnd w:id="151"/>
      <w:r>
        <w:tab/>
        <w:t>Proportion of tailored assistance customers that received a</w:t>
      </w:r>
      <w:r w:rsidRPr="00A107F9">
        <w:t>nnual concessions for electricity</w:t>
      </w:r>
      <w:bookmarkEnd w:id="152"/>
      <w:bookmarkEnd w:id="153"/>
      <w:bookmarkEnd w:id="154"/>
      <w:r>
        <w:t xml:space="preserve">, </w:t>
      </w:r>
      <w:r w:rsidR="00990EA7">
        <w:t>2019 to 2021 (</w:t>
      </w:r>
      <w:r>
        <w:t>by quarter</w:t>
      </w:r>
      <w:bookmarkEnd w:id="155"/>
      <w:bookmarkEnd w:id="156"/>
      <w:bookmarkEnd w:id="157"/>
      <w:r w:rsidR="00990EA7">
        <w:t>)</w:t>
      </w:r>
    </w:p>
    <w:p w14:paraId="4AD201EC" w14:textId="4B98CF72" w:rsidR="00C43F4C" w:rsidRDefault="00C43F4C" w:rsidP="00DA2AE7">
      <w:r w:rsidRPr="00132E9E">
        <w:t xml:space="preserve"> </w:t>
      </w:r>
      <w:r w:rsidRPr="00132E9E">
        <w:rPr>
          <w:noProof/>
        </w:rPr>
        <w:drawing>
          <wp:inline distT="0" distB="0" distL="0" distR="0" wp14:anchorId="4A7D43B3" wp14:editId="53AA7011">
            <wp:extent cx="6120000" cy="2213755"/>
            <wp:effectExtent l="0" t="0" r="0" b="0"/>
            <wp:docPr id="99993" name="Picture 99993" descr="Bar chart showing the proportion of tailored assistance customers that received annual concessions for electricity, by quarter in 2019, 2020, and 2021. The graph compares customers who can and cannot pay for ongoing usage. &#10;The proportion of customers who cannot pay for ongoing usage has remained consistent throughout all quarters, but the proportion of customers who can pay for ongoing usage has in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3" name="Picture 99993" descr="Bar chart showing the proportion of tailored assistance customers that received annual concessions for electricity, by quarter in 2019, 2020, and 2021. The graph compares customers who can and cannot pay for ongoing usage. &#10;The proportion of customers who cannot pay for ongoing usage has remained consistent throughout all quarters, but the proportion of customers who can pay for ongoing usage has increased slightly."/>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20000" cy="2213755"/>
                    </a:xfrm>
                    <a:prstGeom prst="rect">
                      <a:avLst/>
                    </a:prstGeom>
                    <a:noFill/>
                    <a:ln>
                      <a:noFill/>
                    </a:ln>
                  </pic:spPr>
                </pic:pic>
              </a:graphicData>
            </a:graphic>
          </wp:inline>
        </w:drawing>
      </w:r>
    </w:p>
    <w:p w14:paraId="2F9B5447" w14:textId="01C65668" w:rsidR="00DB406E" w:rsidRPr="00304DF7" w:rsidRDefault="00B73860" w:rsidP="00DB406E">
      <w:r>
        <w:t xml:space="preserve">Only 2 per cent of calls from the call recordings study </w:t>
      </w:r>
      <w:r w:rsidR="00B403A0">
        <w:t>had e</w:t>
      </w:r>
      <w:r w:rsidR="00DB406E">
        <w:t xml:space="preserve">nquiries about concessions </w:t>
      </w:r>
      <w:r w:rsidR="00B403A0">
        <w:t xml:space="preserve">as </w:t>
      </w:r>
      <w:r w:rsidR="00DB406E">
        <w:t xml:space="preserve">the </w:t>
      </w:r>
      <w:r>
        <w:t>reason</w:t>
      </w:r>
      <w:r w:rsidR="00DB406E">
        <w:t xml:space="preserve"> for initiating calls.</w:t>
      </w:r>
      <w:r w:rsidR="00DB406E">
        <w:rPr>
          <w:rStyle w:val="FootnoteReference"/>
        </w:rPr>
        <w:footnoteReference w:id="85"/>
      </w:r>
      <w:r w:rsidR="006606B0">
        <w:t xml:space="preserve"> </w:t>
      </w:r>
      <w:r>
        <w:t>C</w:t>
      </w:r>
      <w:r w:rsidR="00DA2AE7" w:rsidRPr="00DA2AE7">
        <w:t xml:space="preserve">all recordings show that 89 per cent of customers in the study </w:t>
      </w:r>
      <w:r w:rsidR="00DC357C">
        <w:t>were</w:t>
      </w:r>
      <w:r w:rsidR="00DA2AE7" w:rsidRPr="00DA2AE7">
        <w:t xml:space="preserve"> checked for concession eligibility at least once over the two-year period of calls with their retailer</w:t>
      </w:r>
      <w:r w:rsidR="006606B0">
        <w:t xml:space="preserve">. </w:t>
      </w:r>
      <w:r w:rsidR="006606B0">
        <w:lastRenderedPageBreak/>
        <w:t xml:space="preserve">Despite this, </w:t>
      </w:r>
      <w:r w:rsidR="00DB406E">
        <w:t>a</w:t>
      </w:r>
      <w:r w:rsidR="00DC357C">
        <w:t>dvice about energy concessions only occurred on 39 per cent of individual calls with customers where assistance was offered.</w:t>
      </w:r>
      <w:r w:rsidR="00DB406E">
        <w:rPr>
          <w:rStyle w:val="FootnoteReference"/>
        </w:rPr>
        <w:footnoteReference w:id="86"/>
      </w:r>
      <w:r w:rsidR="00DB406E">
        <w:t xml:space="preserve"> </w:t>
      </w:r>
      <w:r w:rsidR="00DA6258">
        <w:t>When concessions were discussed, this was more often prompted by the operators than the customers.</w:t>
      </w:r>
      <w:r w:rsidR="00DA6258">
        <w:rPr>
          <w:rStyle w:val="FootnoteReference"/>
        </w:rPr>
        <w:footnoteReference w:id="87"/>
      </w:r>
    </w:p>
    <w:p w14:paraId="2E797EF1" w14:textId="73CCCF7D" w:rsidR="00C43F4C" w:rsidRDefault="00C43F4C" w:rsidP="00C43F4C">
      <w:r w:rsidRPr="00304DF7">
        <w:t>Some retailers</w:t>
      </w:r>
      <w:r w:rsidR="0019709B">
        <w:t>, such as Red Energy,</w:t>
      </w:r>
      <w:r w:rsidRPr="00304DF7">
        <w:t xml:space="preserve"> </w:t>
      </w:r>
      <w:r w:rsidR="009F418A">
        <w:t>have</w:t>
      </w:r>
      <w:r w:rsidRPr="00304DF7">
        <w:t xml:space="preserve"> methods to </w:t>
      </w:r>
      <w:r w:rsidR="009F418A">
        <w:t>automatically update</w:t>
      </w:r>
      <w:r w:rsidRPr="00304DF7">
        <w:t xml:space="preserve"> concessions</w:t>
      </w:r>
      <w:r>
        <w:t>,</w:t>
      </w:r>
      <w:r w:rsidRPr="00304DF7">
        <w:t xml:space="preserve"> </w:t>
      </w:r>
      <w:r w:rsidR="00470588">
        <w:t xml:space="preserve">which helps to </w:t>
      </w:r>
      <w:r>
        <w:t xml:space="preserve">actively </w:t>
      </w:r>
      <w:r w:rsidR="00470588">
        <w:t xml:space="preserve">support </w:t>
      </w:r>
      <w:r w:rsidRPr="00304DF7">
        <w:t>customers.</w:t>
      </w:r>
      <w:r w:rsidR="00470588">
        <w:rPr>
          <w:rStyle w:val="FootnoteReference"/>
        </w:rPr>
        <w:footnoteReference w:id="88"/>
      </w:r>
      <w:r w:rsidRPr="00304DF7">
        <w:t xml:space="preserve"> </w:t>
      </w:r>
      <w:r w:rsidR="00961CFD">
        <w:t>However, d</w:t>
      </w:r>
      <w:r>
        <w:t xml:space="preserve">espite the framework, </w:t>
      </w:r>
      <w:r w:rsidR="006311F4">
        <w:t xml:space="preserve">some community stakeholders have found that </w:t>
      </w:r>
      <w:r>
        <w:t>the low application of energy concessions to a customer’s account was an example of poor customer outcomes.</w:t>
      </w:r>
      <w:r w:rsidR="009E6C1F">
        <w:rPr>
          <w:rStyle w:val="FootnoteReference"/>
        </w:rPr>
        <w:footnoteReference w:id="89"/>
      </w:r>
      <w:r>
        <w:t xml:space="preserve"> The Consumer Policy Research Centre suggests that customers may be missing out on concessions due to low awareness that their details need to be updated regularly.</w:t>
      </w:r>
      <w:r>
        <w:rPr>
          <w:rStyle w:val="FootnoteReference"/>
        </w:rPr>
        <w:footnoteReference w:id="90"/>
      </w:r>
      <w:r>
        <w:t xml:space="preserve"> Some submissions from the community sector note that in their experience </w:t>
      </w:r>
      <w:r w:rsidR="00861AEE">
        <w:t xml:space="preserve">of </w:t>
      </w:r>
      <w:r>
        <w:t>support</w:t>
      </w:r>
      <w:r w:rsidR="00861AEE">
        <w:t>ing</w:t>
      </w:r>
      <w:r>
        <w:t xml:space="preserve"> clients in seeking payment assistance, they have </w:t>
      </w:r>
      <w:r w:rsidR="00861AEE">
        <w:t xml:space="preserve">identified </w:t>
      </w:r>
      <w:r>
        <w:t xml:space="preserve">clients who have been eligible for concessions but were </w:t>
      </w:r>
      <w:r w:rsidR="00861AEE">
        <w:t>not being applied to their energy account</w:t>
      </w:r>
      <w:r>
        <w:t>.</w:t>
      </w:r>
      <w:r>
        <w:rPr>
          <w:rStyle w:val="FootnoteReference"/>
        </w:rPr>
        <w:footnoteReference w:id="91"/>
      </w:r>
      <w:r>
        <w:t xml:space="preserve"> </w:t>
      </w:r>
    </w:p>
    <w:p w14:paraId="0607B3BA" w14:textId="593F2B63" w:rsidR="00C43F4C" w:rsidRDefault="00C43F4C" w:rsidP="00C43F4C">
      <w:r w:rsidRPr="00830327">
        <w:t xml:space="preserve">Submissions </w:t>
      </w:r>
      <w:r>
        <w:t xml:space="preserve">to our review </w:t>
      </w:r>
      <w:r w:rsidRPr="00830327">
        <w:t xml:space="preserve">identified challenges for some customers experiencing, or at risk of experiencing, vulnerability in contacting their retailer regarding their concessions. </w:t>
      </w:r>
      <w:r>
        <w:t xml:space="preserve">These challenges included </w:t>
      </w:r>
      <w:r w:rsidRPr="00830327">
        <w:t xml:space="preserve">literacy issues, limited knowledge of English, and difficulty reading and interpreting bills. </w:t>
      </w:r>
    </w:p>
    <w:p w14:paraId="7086A7AE" w14:textId="63DF7573" w:rsidR="00C43F4C" w:rsidRDefault="00C43F4C" w:rsidP="00C43F4C">
      <w:pPr>
        <w:spacing w:after="250"/>
      </w:pPr>
      <w:r>
        <w:t xml:space="preserve">Some of these customers may simply not be eligible for concessions. Stakeholders also observed during the pandemic, energy </w:t>
      </w:r>
      <w:r w:rsidRPr="00F4013E">
        <w:t xml:space="preserve">customers experiencing </w:t>
      </w:r>
      <w:r>
        <w:t>payment difficulty</w:t>
      </w:r>
      <w:r w:rsidRPr="00F4013E">
        <w:t xml:space="preserve"> </w:t>
      </w:r>
      <w:r>
        <w:t>for the first time</w:t>
      </w:r>
      <w:r w:rsidR="00270BAF">
        <w:t>. These customers m</w:t>
      </w:r>
      <w:r>
        <w:t>ay</w:t>
      </w:r>
      <w:r w:rsidRPr="00F4013E">
        <w:t xml:space="preserve"> not</w:t>
      </w:r>
      <w:r>
        <w:t xml:space="preserve"> be</w:t>
      </w:r>
      <w:r w:rsidRPr="00F4013E">
        <w:t xml:space="preserve"> eligible for other forms of government assistance, such as Centrelink, concessions, or grants.</w:t>
      </w:r>
    </w:p>
    <w:p w14:paraId="378E5A64" w14:textId="6BF10E63" w:rsidR="00131E7A" w:rsidRDefault="006A1849" w:rsidP="003A1B23">
      <w:pPr>
        <w:pStyle w:val="Pull-outHeading"/>
        <w:keepNext/>
        <w:keepLines/>
        <w:rPr>
          <w:b w:val="0"/>
          <w:bCs w:val="0"/>
        </w:rPr>
      </w:pPr>
      <w:bookmarkStart w:id="158" w:name="_Toc102086126"/>
      <w:r>
        <w:lastRenderedPageBreak/>
        <w:t>Call recording</w:t>
      </w:r>
      <w:r w:rsidR="00CF6C1E">
        <w:t>s</w:t>
      </w:r>
      <w:r>
        <w:t xml:space="preserve"> </w:t>
      </w:r>
      <w:r w:rsidR="00444E4E">
        <w:t xml:space="preserve">case </w:t>
      </w:r>
      <w:r>
        <w:t>study</w:t>
      </w:r>
      <w:r w:rsidR="00444E4E">
        <w:t xml:space="preserve"> </w:t>
      </w:r>
      <w:r w:rsidR="00444E4E">
        <w:fldChar w:fldCharType="begin"/>
      </w:r>
      <w:r w:rsidR="00444E4E">
        <w:instrText xml:space="preserve"> SEQ Call_recording_case_study \* ARABIC </w:instrText>
      </w:r>
      <w:r w:rsidR="00444E4E">
        <w:fldChar w:fldCharType="separate"/>
      </w:r>
      <w:r w:rsidR="00357DD7">
        <w:rPr>
          <w:noProof/>
        </w:rPr>
        <w:t>5</w:t>
      </w:r>
      <w:r w:rsidR="00444E4E">
        <w:fldChar w:fldCharType="end"/>
      </w:r>
      <w:r w:rsidR="00C43F4C" w:rsidRPr="00A76C3A">
        <w:fldChar w:fldCharType="begin"/>
      </w:r>
      <w:r w:rsidR="00C43F4C" w:rsidRPr="00A76C3A">
        <w:instrText xml:space="preserve"> SEQ Customer_case_study \* ARABIC </w:instrText>
      </w:r>
      <w:r w:rsidR="00C43F4C" w:rsidRPr="00A76C3A">
        <w:rPr>
          <w:b w:val="0"/>
          <w:bCs w:val="0"/>
        </w:rPr>
        <w:fldChar w:fldCharType="separate"/>
      </w:r>
      <w:r w:rsidR="00357DD7">
        <w:rPr>
          <w:noProof/>
        </w:rPr>
        <w:t>1</w:t>
      </w:r>
      <w:r w:rsidR="00C43F4C" w:rsidRPr="00A76C3A">
        <w:rPr>
          <w:b w:val="0"/>
          <w:bCs w:val="0"/>
        </w:rPr>
        <w:fldChar w:fldCharType="end"/>
      </w:r>
      <w:r w:rsidR="00C43F4C" w:rsidRPr="00A76C3A">
        <w:t>: the importance of proactive engagement by retailers</w:t>
      </w:r>
      <w:bookmarkEnd w:id="158"/>
      <w:r w:rsidR="00131E7A" w:rsidRPr="00131E7A">
        <w:rPr>
          <w:b w:val="0"/>
          <w:bCs w:val="0"/>
        </w:rPr>
        <w:t xml:space="preserve"> </w:t>
      </w:r>
    </w:p>
    <w:p w14:paraId="78DBB87E" w14:textId="2918CD72" w:rsidR="00C43F4C" w:rsidRPr="00A76C3A" w:rsidRDefault="00131E7A" w:rsidP="003A1B23">
      <w:pPr>
        <w:pStyle w:val="Pull-out"/>
        <w:keepNext/>
        <w:keepLines/>
        <w:rPr>
          <w:b/>
          <w:bCs/>
        </w:rPr>
      </w:pPr>
      <w:r w:rsidRPr="00A76C3A">
        <w:rPr>
          <w:b/>
          <w:bCs/>
        </w:rPr>
        <w:t xml:space="preserve">Customer </w:t>
      </w:r>
      <w:r>
        <w:rPr>
          <w:b/>
          <w:bCs/>
        </w:rPr>
        <w:t>journey 1</w:t>
      </w:r>
    </w:p>
    <w:p w14:paraId="2041A466" w14:textId="4317DDED" w:rsidR="00C43F4C" w:rsidRDefault="00C43F4C" w:rsidP="003A1B23">
      <w:pPr>
        <w:pStyle w:val="Pull-out"/>
        <w:keepNext/>
        <w:keepLines/>
      </w:pPr>
      <w:r>
        <w:t>This customer was regularly engaging with their retailer to amend or enter payment plans due to payment difficulty result</w:t>
      </w:r>
      <w:r w:rsidR="009B722D">
        <w:t>ing</w:t>
      </w:r>
      <w:r>
        <w:t xml:space="preserve"> from the death of a loved one, illness, and ongoing financial strain caused by job loss.</w:t>
      </w:r>
      <w:r w:rsidR="000B5BBA">
        <w:t xml:space="preserve"> Twelve calls were made over two years between July 2019 and July 2021.</w:t>
      </w:r>
    </w:p>
    <w:p w14:paraId="114CA2D1" w14:textId="3CF29E6E" w:rsidR="00C43F4C" w:rsidRDefault="000B5BBA" w:rsidP="003A1B23">
      <w:pPr>
        <w:pStyle w:val="Pull-out"/>
        <w:keepNext/>
        <w:keepLines/>
      </w:pPr>
      <w:r>
        <w:t>In t</w:t>
      </w:r>
      <w:r w:rsidR="00C43F4C">
        <w:t xml:space="preserve">he final interaction </w:t>
      </w:r>
      <w:r w:rsidR="00365EF3">
        <w:t>in July 2021</w:t>
      </w:r>
      <w:r>
        <w:t>,</w:t>
      </w:r>
      <w:r w:rsidR="00365EF3">
        <w:t xml:space="preserve"> </w:t>
      </w:r>
      <w:r>
        <w:t>the retailer operator provided advice on government assistance available, including utility relief grants and concessions. The</w:t>
      </w:r>
      <w:r w:rsidR="00365EF3">
        <w:t xml:space="preserve"> </w:t>
      </w:r>
      <w:r w:rsidR="00C43F4C">
        <w:t xml:space="preserve">customer was ultimately offered a debt waiver, leading to a considerable decrease in the customer’s arrears. </w:t>
      </w:r>
    </w:p>
    <w:p w14:paraId="0A3B5CFB" w14:textId="16671251" w:rsidR="00C43F4C" w:rsidRDefault="000B5BBA" w:rsidP="003A1B23">
      <w:pPr>
        <w:pStyle w:val="Pull-out"/>
        <w:keepNext/>
        <w:keepLines/>
      </w:pPr>
      <w:r>
        <w:t>However</w:t>
      </w:r>
      <w:r w:rsidR="00C43F4C">
        <w:t xml:space="preserve">, the customer was not proactively offered other forms of assistance beyond payment plans in the first four </w:t>
      </w:r>
      <w:r w:rsidR="00071E12">
        <w:t xml:space="preserve">phone call </w:t>
      </w:r>
      <w:r w:rsidR="00C43F4C">
        <w:t xml:space="preserve">interactions </w:t>
      </w:r>
      <w:r w:rsidR="00071E12">
        <w:t xml:space="preserve">between </w:t>
      </w:r>
      <w:r w:rsidR="00C43F4C">
        <w:t>2019</w:t>
      </w:r>
      <w:r w:rsidR="00071E12">
        <w:t xml:space="preserve"> and 2020</w:t>
      </w:r>
      <w:r w:rsidR="00C43F4C">
        <w:t xml:space="preserve">. </w:t>
      </w:r>
      <w:r w:rsidR="00FC6109">
        <w:t xml:space="preserve">Although it is unclear whether the customer was eligible for government assistance at the time, a more proactive discussion of access to government </w:t>
      </w:r>
      <w:r w:rsidR="00C43F4C">
        <w:t xml:space="preserve">grants and concessions </w:t>
      </w:r>
      <w:r w:rsidR="00FC6109">
        <w:t>could have assisted the customer earlier.</w:t>
      </w:r>
    </w:p>
    <w:p w14:paraId="62E9273B" w14:textId="77777777" w:rsidR="00CF6C1E" w:rsidRDefault="00CF6C1E" w:rsidP="00CF6C1E">
      <w:pPr>
        <w:pStyle w:val="Caption"/>
      </w:pPr>
      <w:r w:rsidRPr="004A1436">
        <w:t>Source:</w:t>
      </w:r>
      <w:r>
        <w:t xml:space="preserve"> </w:t>
      </w:r>
      <w:r w:rsidRPr="004A1436">
        <w:t xml:space="preserve">ORIMA Research, </w:t>
      </w:r>
      <w:r>
        <w:t>‘</w:t>
      </w:r>
      <w:r w:rsidRPr="004A1436">
        <w:t>Call recordings study</w:t>
      </w:r>
      <w:r>
        <w:t>: c</w:t>
      </w:r>
      <w:r w:rsidRPr="006F437F">
        <w:t xml:space="preserve">ase </w:t>
      </w:r>
      <w:r>
        <w:t>s</w:t>
      </w:r>
      <w:r w:rsidRPr="006F437F">
        <w:t xml:space="preserve">tudies of </w:t>
      </w:r>
      <w:r>
        <w:t>c</w:t>
      </w:r>
      <w:r w:rsidRPr="006F437F">
        <w:t xml:space="preserve">ustomer </w:t>
      </w:r>
      <w:r>
        <w:t>j</w:t>
      </w:r>
      <w:r w:rsidRPr="006F437F">
        <w:t>ourneys</w:t>
      </w:r>
      <w:r w:rsidRPr="004A1436">
        <w:t>’, May 2022</w:t>
      </w:r>
      <w:r>
        <w:t xml:space="preserve">. </w:t>
      </w:r>
    </w:p>
    <w:p w14:paraId="744A4BC3" w14:textId="4799ABD2" w:rsidR="00C43F4C" w:rsidRPr="009C1D2F" w:rsidRDefault="00C43F4C" w:rsidP="00C43F4C">
      <w:pPr>
        <w:pStyle w:val="Heading3"/>
      </w:pPr>
      <w:bookmarkStart w:id="159" w:name="_Ref103173397"/>
      <w:r w:rsidRPr="009C1D2F">
        <w:t xml:space="preserve">Improving </w:t>
      </w:r>
      <w:r w:rsidR="00E2143E">
        <w:t>the operation</w:t>
      </w:r>
      <w:r w:rsidRPr="009C1D2F">
        <w:t xml:space="preserve"> of the framework: reducing energy use and cost</w:t>
      </w:r>
      <w:bookmarkEnd w:id="159"/>
      <w:r w:rsidRPr="009C1D2F">
        <w:t xml:space="preserve"> </w:t>
      </w:r>
    </w:p>
    <w:p w14:paraId="77AF7D4E" w14:textId="77777777" w:rsidR="004501D8" w:rsidRDefault="00C43F4C" w:rsidP="004501D8">
      <w:r w:rsidRPr="0096555D">
        <w:t xml:space="preserve">Supporting customers with ways to reduce their energy use and cost can help </w:t>
      </w:r>
      <w:r w:rsidRPr="002D70D6">
        <w:t>them</w:t>
      </w:r>
      <w:r w:rsidRPr="0096555D">
        <w:t xml:space="preserve"> manage their ongoing energy bills</w:t>
      </w:r>
      <w:r>
        <w:t>,</w:t>
      </w:r>
      <w:r w:rsidRPr="0096555D">
        <w:t xml:space="preserve"> and potentially reduce the risk of unmanageable increases to their arrears over time. While retailers do provide general advice to customers to help lower their energy costs, there </w:t>
      </w:r>
      <w:r>
        <w:t xml:space="preserve">may be opportunities </w:t>
      </w:r>
      <w:r w:rsidRPr="0096555D">
        <w:t xml:space="preserve">to </w:t>
      </w:r>
      <w:r>
        <w:t xml:space="preserve">tailor that advice when understanding a customer’s circumstances. </w:t>
      </w:r>
    </w:p>
    <w:p w14:paraId="582ACB5D" w14:textId="10427DE0" w:rsidR="00C43F4C" w:rsidRDefault="00C43F4C" w:rsidP="001900CC">
      <w:r>
        <w:t xml:space="preserve">For example, a customer renting a home </w:t>
      </w:r>
      <w:r w:rsidRPr="002D70D6">
        <w:t>is</w:t>
      </w:r>
      <w:r>
        <w:t xml:space="preserve"> likely to have different energy efficiency options compared to a homeowner.</w:t>
      </w:r>
      <w:r w:rsidR="004501D8">
        <w:t xml:space="preserve"> </w:t>
      </w:r>
      <w:r w:rsidR="001900CC">
        <w:t xml:space="preserve">There may also be opportunities to help link customers with existing government and non-government energy efficiency programs and schemes. Retailers could also consider </w:t>
      </w:r>
      <w:r w:rsidR="004501D8">
        <w:t xml:space="preserve">more automated or proactive ways to help customers </w:t>
      </w:r>
      <w:r>
        <w:t>with their energy concessions.</w:t>
      </w:r>
    </w:p>
    <w:tbl>
      <w:tblPr>
        <w:tblStyle w:val="TwoColumnImage"/>
        <w:tblW w:w="9811" w:type="dxa"/>
        <w:tblBorders>
          <w:top w:val="single" w:sz="24" w:space="0" w:color="6CB59D" w:themeColor="accent5" w:themeTint="80"/>
          <w:left w:val="single" w:sz="24" w:space="0" w:color="6CB59D" w:themeColor="accent5" w:themeTint="80"/>
          <w:bottom w:val="single" w:sz="24" w:space="0" w:color="6CB59D" w:themeColor="accent5" w:themeTint="80"/>
          <w:right w:val="single" w:sz="24" w:space="0" w:color="6CB59D" w:themeColor="accent5" w:themeTint="80"/>
        </w:tblBorders>
        <w:shd w:val="clear" w:color="auto" w:fill="B5DACE" w:themeFill="accent5" w:themeFillTint="40"/>
        <w:tblCellMar>
          <w:top w:w="113" w:type="dxa"/>
          <w:bottom w:w="113" w:type="dxa"/>
        </w:tblCellMar>
        <w:tblLook w:val="04A0" w:firstRow="1" w:lastRow="0" w:firstColumn="1" w:lastColumn="0" w:noHBand="0" w:noVBand="1"/>
      </w:tblPr>
      <w:tblGrid>
        <w:gridCol w:w="1873"/>
        <w:gridCol w:w="6521"/>
        <w:gridCol w:w="1417"/>
      </w:tblGrid>
      <w:tr w:rsidR="006F1802" w:rsidRPr="006F1802" w14:paraId="42946352" w14:textId="77777777" w:rsidTr="006F1802">
        <w:tc>
          <w:tcPr>
            <w:tcW w:w="9811" w:type="dxa"/>
            <w:gridSpan w:val="3"/>
            <w:tcBorders>
              <w:bottom w:val="nil"/>
            </w:tcBorders>
            <w:shd w:val="clear" w:color="auto" w:fill="B5DACE" w:themeFill="accent5" w:themeFillTint="40"/>
          </w:tcPr>
          <w:p w14:paraId="1A9AE01C" w14:textId="74E1AF32" w:rsidR="006F1802" w:rsidRPr="006F1802" w:rsidRDefault="005147A3" w:rsidP="005C7184">
            <w:pPr>
              <w:pStyle w:val="TableBody"/>
              <w:keepNext/>
              <w:keepLines/>
              <w:ind w:left="142" w:right="121"/>
              <w:rPr>
                <w:rFonts w:ascii="Tahoma" w:hAnsi="Tahoma" w:cs="Tahoma"/>
                <w:color w:val="262626" w:themeColor="text1" w:themeTint="D9"/>
                <w:sz w:val="26"/>
                <w:szCs w:val="26"/>
              </w:rPr>
            </w:pPr>
            <w:r>
              <w:rPr>
                <w:rFonts w:ascii="Tahoma" w:hAnsi="Tahoma" w:cs="Tahoma"/>
                <w:b/>
                <w:bCs/>
                <w:color w:val="262626" w:themeColor="text1" w:themeTint="D9"/>
                <w:sz w:val="26"/>
                <w:szCs w:val="26"/>
              </w:rPr>
              <w:lastRenderedPageBreak/>
              <w:t>Improving the operation of the framework</w:t>
            </w:r>
          </w:p>
        </w:tc>
      </w:tr>
      <w:tr w:rsidR="00C600CF" w:rsidRPr="000179AE" w14:paraId="19739C5F" w14:textId="77777777" w:rsidTr="006F1802">
        <w:tblPrEx>
          <w:tblCellMar>
            <w:top w:w="57" w:type="dxa"/>
            <w:bottom w:w="57" w:type="dxa"/>
          </w:tblCellMar>
        </w:tblPrEx>
        <w:tc>
          <w:tcPr>
            <w:tcW w:w="9811" w:type="dxa"/>
            <w:gridSpan w:val="3"/>
            <w:shd w:val="clear" w:color="auto" w:fill="B5DACE" w:themeFill="accent5" w:themeFillTint="40"/>
          </w:tcPr>
          <w:p w14:paraId="02412D4D" w14:textId="77777777" w:rsidR="00C600CF" w:rsidRPr="000179AE" w:rsidRDefault="00C600CF" w:rsidP="005C7184">
            <w:pPr>
              <w:pStyle w:val="TableBody"/>
              <w:keepNext/>
              <w:keepLines/>
              <w:spacing w:before="80" w:after="80"/>
              <w:ind w:left="142" w:right="119"/>
              <w:rPr>
                <w:rFonts w:ascii="Tahoma" w:hAnsi="Tahoma" w:cs="Tahoma"/>
                <w:b/>
                <w:bCs/>
                <w:color w:val="262626" w:themeColor="text1" w:themeTint="D9"/>
              </w:rPr>
            </w:pPr>
            <w:r>
              <w:rPr>
                <w:rFonts w:ascii="Tahoma" w:hAnsi="Tahoma" w:cs="Tahoma"/>
                <w:b/>
                <w:bCs/>
                <w:color w:val="262626" w:themeColor="text1" w:themeTint="D9"/>
              </w:rPr>
              <w:t>Customer outcomes vary significantly between and within retailers</w:t>
            </w:r>
          </w:p>
        </w:tc>
      </w:tr>
      <w:tr w:rsidR="00C600CF" w:rsidRPr="000179AE" w14:paraId="43E4A3F8" w14:textId="77777777" w:rsidTr="006F1802">
        <w:tblPrEx>
          <w:tblCellMar>
            <w:top w:w="57" w:type="dxa"/>
            <w:bottom w:w="57" w:type="dxa"/>
          </w:tblCellMar>
        </w:tblPrEx>
        <w:tc>
          <w:tcPr>
            <w:tcW w:w="1873" w:type="dxa"/>
            <w:vMerge w:val="restart"/>
            <w:shd w:val="clear" w:color="auto" w:fill="B5DACE" w:themeFill="accent5" w:themeFillTint="40"/>
            <w:vAlign w:val="center"/>
          </w:tcPr>
          <w:p w14:paraId="0D92AC29" w14:textId="111777F8" w:rsidR="00C600CF" w:rsidRPr="000179AE" w:rsidRDefault="001900CC" w:rsidP="005C7184">
            <w:pPr>
              <w:pStyle w:val="TableBody"/>
              <w:keepNext/>
              <w:keepLines/>
              <w:ind w:left="284" w:right="-2"/>
              <w:jc w:val="center"/>
              <w:rPr>
                <w:rFonts w:ascii="Tahoma" w:hAnsi="Tahoma" w:cs="Tahoma"/>
                <w:noProof/>
                <w:color w:val="262626" w:themeColor="text1" w:themeTint="D9"/>
              </w:rPr>
            </w:pPr>
            <w:r w:rsidRPr="000179AE">
              <w:rPr>
                <w:rFonts w:ascii="Tahoma" w:hAnsi="Tahoma" w:cs="Tahoma"/>
                <w:noProof/>
                <w:color w:val="262626" w:themeColor="text1" w:themeTint="D9"/>
              </w:rPr>
              <w:drawing>
                <wp:inline distT="0" distB="0" distL="0" distR="0" wp14:anchorId="4C620E14" wp14:editId="777A1740">
                  <wp:extent cx="864000" cy="864000"/>
                  <wp:effectExtent l="0" t="0" r="0" b="0"/>
                  <wp:docPr id="99986" name="Picture 99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6" name="Picture 99986">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6521" w:type="dxa"/>
            <w:shd w:val="clear" w:color="auto" w:fill="B5DACE" w:themeFill="accent5" w:themeFillTint="40"/>
          </w:tcPr>
          <w:p w14:paraId="4EE35B90" w14:textId="52219F0A" w:rsidR="00C600CF" w:rsidRDefault="00C600CF" w:rsidP="005C7184">
            <w:pPr>
              <w:pStyle w:val="ListBullet"/>
              <w:keepNext/>
              <w:keepLines/>
              <w:spacing w:before="0"/>
              <w:ind w:left="357" w:hanging="357"/>
              <w:contextualSpacing w:val="0"/>
            </w:pPr>
            <w:r w:rsidRPr="001551CC">
              <w:t xml:space="preserve">Increase </w:t>
            </w:r>
            <w:r w:rsidR="005147A3">
              <w:t>retailers’</w:t>
            </w:r>
            <w:r w:rsidRPr="001551CC">
              <w:t xml:space="preserve"> understanding of customers in payment difficulty with high energy use, to help to tailor approaches to energy efficiency.</w:t>
            </w:r>
          </w:p>
        </w:tc>
        <w:tc>
          <w:tcPr>
            <w:tcW w:w="1417" w:type="dxa"/>
            <w:shd w:val="clear" w:color="auto" w:fill="B5DACE" w:themeFill="accent5" w:themeFillTint="40"/>
            <w:vAlign w:val="center"/>
          </w:tcPr>
          <w:p w14:paraId="033C85C6" w14:textId="77777777" w:rsidR="00C600CF" w:rsidRPr="00C82D1A" w:rsidRDefault="00C600CF" w:rsidP="002734AA">
            <w:pPr>
              <w:pStyle w:val="ListBullet"/>
              <w:keepNext/>
              <w:keepLines/>
              <w:numPr>
                <w:ilvl w:val="0"/>
                <w:numId w:val="0"/>
              </w:numPr>
              <w:spacing w:before="0" w:line="240" w:lineRule="auto"/>
              <w:jc w:val="center"/>
              <w:rPr>
                <w:b/>
                <w:bCs/>
                <w:color w:val="CE0058" w:themeColor="accent2"/>
              </w:rPr>
            </w:pPr>
          </w:p>
        </w:tc>
      </w:tr>
      <w:tr w:rsidR="00C600CF" w:rsidRPr="000179AE" w14:paraId="042780CA" w14:textId="77777777" w:rsidTr="006F1802">
        <w:tblPrEx>
          <w:tblCellMar>
            <w:top w:w="57" w:type="dxa"/>
            <w:bottom w:w="57" w:type="dxa"/>
          </w:tblCellMar>
        </w:tblPrEx>
        <w:tc>
          <w:tcPr>
            <w:tcW w:w="1873" w:type="dxa"/>
            <w:vMerge/>
            <w:shd w:val="clear" w:color="auto" w:fill="B5DACE" w:themeFill="accent5" w:themeFillTint="40"/>
            <w:vAlign w:val="center"/>
          </w:tcPr>
          <w:p w14:paraId="35732CED" w14:textId="77777777" w:rsidR="00C600CF" w:rsidRPr="000179AE" w:rsidRDefault="00C600CF" w:rsidP="005C7184">
            <w:pPr>
              <w:pStyle w:val="TableBody"/>
              <w:keepNext/>
              <w:keepLines/>
              <w:ind w:left="284" w:right="-2"/>
              <w:jc w:val="center"/>
              <w:rPr>
                <w:rFonts w:ascii="Tahoma" w:hAnsi="Tahoma" w:cs="Tahoma"/>
                <w:noProof/>
                <w:color w:val="262626" w:themeColor="text1" w:themeTint="D9"/>
              </w:rPr>
            </w:pPr>
          </w:p>
        </w:tc>
        <w:tc>
          <w:tcPr>
            <w:tcW w:w="6521" w:type="dxa"/>
            <w:shd w:val="clear" w:color="auto" w:fill="B5DACE" w:themeFill="accent5" w:themeFillTint="40"/>
          </w:tcPr>
          <w:p w14:paraId="1E8F43AF" w14:textId="0003A341" w:rsidR="00C600CF" w:rsidRDefault="005147A3" w:rsidP="005C7184">
            <w:pPr>
              <w:pStyle w:val="ListBullet"/>
              <w:keepNext/>
              <w:keepLines/>
              <w:spacing w:before="0"/>
              <w:ind w:left="357" w:hanging="357"/>
              <w:contextualSpacing w:val="0"/>
            </w:pPr>
            <w:r>
              <w:t>Improve the way that retailers link customers</w:t>
            </w:r>
            <w:r w:rsidR="00C600CF" w:rsidRPr="001551CC">
              <w:t xml:space="preserve"> to existing energy efficiency and usage schemes and programs.</w:t>
            </w:r>
          </w:p>
        </w:tc>
        <w:tc>
          <w:tcPr>
            <w:tcW w:w="1417" w:type="dxa"/>
            <w:shd w:val="clear" w:color="auto" w:fill="B5DACE" w:themeFill="accent5" w:themeFillTint="40"/>
            <w:vAlign w:val="center"/>
          </w:tcPr>
          <w:p w14:paraId="79246444" w14:textId="77777777" w:rsidR="00C600CF" w:rsidRPr="00C82D1A" w:rsidRDefault="00C600CF" w:rsidP="002734AA">
            <w:pPr>
              <w:pStyle w:val="ListBullet"/>
              <w:keepNext/>
              <w:keepLines/>
              <w:numPr>
                <w:ilvl w:val="0"/>
                <w:numId w:val="0"/>
              </w:numPr>
              <w:spacing w:before="0" w:line="240" w:lineRule="auto"/>
              <w:jc w:val="center"/>
              <w:rPr>
                <w:b/>
                <w:bCs/>
                <w:color w:val="CE0058" w:themeColor="accent2"/>
              </w:rPr>
            </w:pPr>
          </w:p>
        </w:tc>
      </w:tr>
    </w:tbl>
    <w:p w14:paraId="0261AB3A" w14:textId="77777777" w:rsidR="00C43F4C" w:rsidRDefault="00C43F4C" w:rsidP="00C43F4C">
      <w:pPr>
        <w:pStyle w:val="Heading2"/>
      </w:pPr>
      <w:bookmarkStart w:id="160" w:name="_Toc104850134"/>
      <w:r>
        <w:t>Help to lodge and apply for a utility relief grant</w:t>
      </w:r>
      <w:bookmarkEnd w:id="160"/>
    </w:p>
    <w:p w14:paraId="77F27D79" w14:textId="77777777" w:rsidR="00C43F4C" w:rsidRDefault="00C43F4C" w:rsidP="00C43F4C">
      <w:r>
        <w:t>During the coronavirus pandemic in 2020, we reviewed assistance measures for customers experiencing payment difficulty. We subsequently introduced a further requirement for retailers to support customers to complete and submit utility relief grant applications.</w:t>
      </w:r>
      <w:r>
        <w:rPr>
          <w:rStyle w:val="FootnoteReference"/>
        </w:rPr>
        <w:footnoteReference w:id="92"/>
      </w:r>
      <w:r>
        <w:t xml:space="preserve"> </w:t>
      </w:r>
    </w:p>
    <w:p w14:paraId="2CC48E03" w14:textId="77777777" w:rsidR="00C43F4C" w:rsidRDefault="00C43F4C" w:rsidP="00C43F4C">
      <w:r>
        <w:t xml:space="preserve">This assistance goes beyond the previously discussed advice that retailers would provide customers on government grants. </w:t>
      </w:r>
    </w:p>
    <w:p w14:paraId="0B88C7A9" w14:textId="77777777" w:rsidR="00C43F4C" w:rsidRDefault="00C43F4C" w:rsidP="00C43F4C">
      <w:pPr>
        <w:pStyle w:val="Pull-out"/>
      </w:pPr>
      <w:r>
        <w:t xml:space="preserve">The utility relief grant scheme is a Victoria-specific grant scheme for eligible households that provides up to $650 for electricity and gas separately or $1,300 if a household has only a single source of energy. </w:t>
      </w:r>
    </w:p>
    <w:p w14:paraId="19604536" w14:textId="77777777" w:rsidR="00C43F4C" w:rsidRDefault="00C43F4C" w:rsidP="00C43F4C">
      <w:pPr>
        <w:pStyle w:val="Pull-out"/>
      </w:pPr>
      <w:r>
        <w:t>This grant, available every two years, provides significant benefit to the customer in lowering their energy arrears or future costs, as well as to the retailer in terms of reduced risk exposure to a customers’ arrears.</w:t>
      </w:r>
    </w:p>
    <w:p w14:paraId="1D4BDF8B" w14:textId="77777777" w:rsidR="00C43F4C" w:rsidRDefault="00C43F4C" w:rsidP="009A4935">
      <w:pPr>
        <w:keepNext/>
      </w:pPr>
      <w:r>
        <w:lastRenderedPageBreak/>
        <w:t>Retailers are required to offer the following assistance as a minimum to all customers experiencing payment difficulty, whether they can or cannot pay for their on-going usage:</w:t>
      </w:r>
    </w:p>
    <w:p w14:paraId="02CB9072" w14:textId="77777777" w:rsidR="00C43F4C" w:rsidRDefault="00C43F4C" w:rsidP="009A4935">
      <w:pPr>
        <w:pStyle w:val="Quote"/>
        <w:keepNext/>
      </w:pPr>
      <w:r>
        <w:t xml:space="preserve">(e) practical assistance to help a </w:t>
      </w:r>
      <w:r w:rsidRPr="00E643C3">
        <w:rPr>
          <w:i/>
          <w:iCs w:val="0"/>
        </w:rPr>
        <w:t>customer</w:t>
      </w:r>
      <w:r>
        <w:t xml:space="preserve"> that may be eligible for a </w:t>
      </w:r>
      <w:r w:rsidRPr="00E643C3">
        <w:rPr>
          <w:i/>
          <w:iCs w:val="0"/>
        </w:rPr>
        <w:t>Utility Relief Grant</w:t>
      </w:r>
      <w:r>
        <w:t>, including by;</w:t>
      </w:r>
    </w:p>
    <w:p w14:paraId="56711AB0" w14:textId="77777777" w:rsidR="00C43F4C" w:rsidRDefault="00C43F4C" w:rsidP="00C43F4C">
      <w:pPr>
        <w:pStyle w:val="Quote"/>
        <w:ind w:left="1146" w:hanging="426"/>
      </w:pPr>
      <w:r>
        <w:t>(i)</w:t>
      </w:r>
      <w:r>
        <w:tab/>
      </w:r>
      <w:r w:rsidRPr="00E643C3">
        <w:rPr>
          <w:i/>
          <w:iCs w:val="0"/>
        </w:rPr>
        <w:t>completing</w:t>
      </w:r>
      <w:r>
        <w:t xml:space="preserve"> the online application form over the phone and lodging the form online on behalf of the </w:t>
      </w:r>
      <w:r w:rsidRPr="00E643C3">
        <w:rPr>
          <w:i/>
          <w:iCs w:val="0"/>
        </w:rPr>
        <w:t>residential customer</w:t>
      </w:r>
      <w:r>
        <w:t xml:space="preserve">, unless the </w:t>
      </w:r>
      <w:r w:rsidRPr="00E643C3">
        <w:rPr>
          <w:i/>
          <w:iCs w:val="0"/>
        </w:rPr>
        <w:t>residential customer</w:t>
      </w:r>
      <w:r>
        <w:t xml:space="preserve"> requests otherwise; or </w:t>
      </w:r>
    </w:p>
    <w:p w14:paraId="4C19B166" w14:textId="77777777" w:rsidR="00C43F4C" w:rsidRPr="00E643C3" w:rsidRDefault="00C43F4C" w:rsidP="00C43F4C">
      <w:pPr>
        <w:pStyle w:val="Quote"/>
        <w:ind w:left="1146" w:hanging="426"/>
      </w:pPr>
      <w:r>
        <w:t>(ii)</w:t>
      </w:r>
      <w:r>
        <w:tab/>
        <w:t xml:space="preserve">if the </w:t>
      </w:r>
      <w:r w:rsidRPr="00E643C3">
        <w:rPr>
          <w:i/>
          <w:iCs w:val="0"/>
        </w:rPr>
        <w:t>retailer</w:t>
      </w:r>
      <w:r>
        <w:t xml:space="preserve"> is unable to complete and lodge a </w:t>
      </w:r>
      <w:r w:rsidRPr="00E643C3">
        <w:rPr>
          <w:i/>
          <w:iCs w:val="0"/>
        </w:rPr>
        <w:t>Utility Relief Grant</w:t>
      </w:r>
      <w:r>
        <w:t xml:space="preserve"> application form over the phone, the retailer completing the application form to the extent </w:t>
      </w:r>
      <w:r w:rsidRPr="009D6EF3">
        <w:rPr>
          <w:i/>
          <w:iCs w:val="0"/>
        </w:rPr>
        <w:t>possible</w:t>
      </w:r>
      <w:r>
        <w:t xml:space="preserve"> and sending to the </w:t>
      </w:r>
      <w:r w:rsidRPr="00E643C3">
        <w:rPr>
          <w:i/>
          <w:iCs w:val="0"/>
        </w:rPr>
        <w:t>residential customer</w:t>
      </w:r>
      <w:r>
        <w:t xml:space="preserve"> with instructions on how to complete the remainder of the form and lodge that form.</w:t>
      </w:r>
      <w:r>
        <w:rPr>
          <w:rStyle w:val="FootnoteReference"/>
        </w:rPr>
        <w:footnoteReference w:id="93"/>
      </w:r>
    </w:p>
    <w:p w14:paraId="10B77046" w14:textId="21DEF8E2" w:rsidR="00C43F4C" w:rsidRDefault="00C43F4C" w:rsidP="00C43F4C">
      <w:r>
        <w:t xml:space="preserve">To access these grants, energy customers must first </w:t>
      </w:r>
      <w:r w:rsidR="009E5E43">
        <w:t>request</w:t>
      </w:r>
      <w:r>
        <w:t xml:space="preserve"> an application </w:t>
      </w:r>
      <w:r w:rsidR="009E5E43">
        <w:t xml:space="preserve">form from their retailer and then submit </w:t>
      </w:r>
      <w:r w:rsidR="001900CC">
        <w:t xml:space="preserve">a </w:t>
      </w:r>
      <w:r w:rsidR="009E5E43">
        <w:t xml:space="preserve">completed form </w:t>
      </w:r>
      <w:r>
        <w:t>to the</w:t>
      </w:r>
      <w:r w:rsidRPr="00CF0A91">
        <w:t xml:space="preserve"> </w:t>
      </w:r>
      <w:r w:rsidRPr="00764733">
        <w:t>Department of Families, Fairness, and Housing.</w:t>
      </w:r>
      <w:r>
        <w:t xml:space="preserve"> However, retailers can support customers by requesting a form from the department, and then assisting a customer in completing and submitting the form. </w:t>
      </w:r>
    </w:p>
    <w:p w14:paraId="685AD537" w14:textId="77777777" w:rsidR="00C43F4C" w:rsidRDefault="00C43F4C" w:rsidP="00C43F4C">
      <w:pPr>
        <w:pStyle w:val="Heading3"/>
      </w:pPr>
      <w:r>
        <w:t>M</w:t>
      </w:r>
      <w:r w:rsidRPr="005F2EEF">
        <w:t>ore customers are being supported to receive utility relief grants</w:t>
      </w:r>
      <w:r w:rsidRPr="00540E9B">
        <w:t xml:space="preserve"> </w:t>
      </w:r>
      <w:r w:rsidRPr="00192E1C">
        <w:t xml:space="preserve"> </w:t>
      </w:r>
    </w:p>
    <w:p w14:paraId="7F69E415" w14:textId="7A82BF46" w:rsidR="00C43F4C" w:rsidRDefault="00152191" w:rsidP="00C43F4C">
      <w:r>
        <w:t>W</w:t>
      </w:r>
      <w:r w:rsidR="00C43F4C">
        <w:t>e monitored the number of forms being requested by customers (and retailers on their behalf), as well as the applications that were subsequently approved</w:t>
      </w:r>
      <w:r>
        <w:t xml:space="preserve"> through data provided to us by the </w:t>
      </w:r>
      <w:r w:rsidRPr="009A4D0A">
        <w:t>Department of Families, Fairness, and Housing</w:t>
      </w:r>
      <w:r w:rsidR="00C43F4C">
        <w:t>.</w:t>
      </w:r>
      <w:r>
        <w:t xml:space="preserve"> </w:t>
      </w:r>
      <w:r w:rsidR="00C43F4C">
        <w:t xml:space="preserve">We observed a significant increase in customers accessing utility relief grants, with 69,000 residential electricity customers receiving these grants over the last two years. </w:t>
      </w:r>
    </w:p>
    <w:p w14:paraId="1C600094" w14:textId="5F7DC735" w:rsidR="00C43F4C" w:rsidRDefault="00C43F4C" w:rsidP="00C43F4C">
      <w:r>
        <w:t xml:space="preserve">Retailers are now required to, where possible, assist customers by submitting utility relief grant forms online on behalf of the customer. Before these obligations were placed on retailers, around 39 to 40 per cent of requested application forms for utility relief grants were being completed and submitted for approval. Since the introduction of the new obligation, this increased </w:t>
      </w:r>
      <w:r w:rsidRPr="00D92363">
        <w:t xml:space="preserve">to 77 per cent in the proportion of grant application forms being submitted after being requested (between 2018-19 </w:t>
      </w:r>
      <w:r w:rsidRPr="00D92363">
        <w:lastRenderedPageBreak/>
        <w:t>and 2021-22)</w:t>
      </w:r>
      <w:r w:rsidR="00257F8F">
        <w:t xml:space="preserve"> (</w:t>
      </w:r>
      <w:r w:rsidR="00257F8F">
        <w:fldChar w:fldCharType="begin"/>
      </w:r>
      <w:r w:rsidR="00257F8F">
        <w:instrText xml:space="preserve"> REF _Ref103771980 \h </w:instrText>
      </w:r>
      <w:r w:rsidR="00257F8F">
        <w:fldChar w:fldCharType="separate"/>
      </w:r>
      <w:r w:rsidR="00357DD7">
        <w:t xml:space="preserve">Figure </w:t>
      </w:r>
      <w:r w:rsidR="00357DD7">
        <w:rPr>
          <w:noProof/>
        </w:rPr>
        <w:t>26</w:t>
      </w:r>
      <w:r w:rsidR="00257F8F">
        <w:fldChar w:fldCharType="end"/>
      </w:r>
      <w:r w:rsidR="00257F8F">
        <w:t>)</w:t>
      </w:r>
      <w:r>
        <w:t>. Importantly, 96 per cent of these submitted forms have been approved in 2021-22.</w:t>
      </w:r>
      <w:r>
        <w:rPr>
          <w:rStyle w:val="FootnoteReference"/>
        </w:rPr>
        <w:footnoteReference w:id="94"/>
      </w:r>
      <w:r w:rsidRPr="00535851">
        <w:t xml:space="preserve"> </w:t>
      </w:r>
    </w:p>
    <w:p w14:paraId="2A02E67D" w14:textId="1210EE68" w:rsidR="00C43F4C" w:rsidRDefault="00C43F4C" w:rsidP="00C43F4C">
      <w:r w:rsidRPr="008D454A">
        <w:t>In the call recordings study,</w:t>
      </w:r>
      <w:r>
        <w:t xml:space="preserve"> </w:t>
      </w:r>
      <w:r w:rsidR="002B7A72">
        <w:t>utility relief grants</w:t>
      </w:r>
      <w:r w:rsidRPr="00B00B72">
        <w:t xml:space="preserve"> </w:t>
      </w:r>
      <w:r w:rsidRPr="008D454A">
        <w:t>were</w:t>
      </w:r>
      <w:r w:rsidRPr="00B00B72">
        <w:t xml:space="preserve"> the most common form of assistance offered in </w:t>
      </w:r>
      <w:r>
        <w:t xml:space="preserve">individual </w:t>
      </w:r>
      <w:r w:rsidRPr="00B00B72">
        <w:t>calls (40</w:t>
      </w:r>
      <w:r>
        <w:t xml:space="preserve"> per cent</w:t>
      </w:r>
      <w:r w:rsidRPr="00B00B72">
        <w:t>), and the second most common form of assistance offered at least once to customers across</w:t>
      </w:r>
      <w:r>
        <w:t xml:space="preserve"> the whole </w:t>
      </w:r>
      <w:r w:rsidRPr="00B00B72">
        <w:t>study period (</w:t>
      </w:r>
      <w:r w:rsidRPr="008D454A">
        <w:t>8</w:t>
      </w:r>
      <w:r>
        <w:t>8 per cent</w:t>
      </w:r>
      <w:r w:rsidRPr="00B00B72">
        <w:t>).</w:t>
      </w:r>
      <w:r w:rsidRPr="009E5E43">
        <w:rPr>
          <w:rStyle w:val="FootnoteReference"/>
        </w:rPr>
        <w:t xml:space="preserve"> </w:t>
      </w:r>
      <w:r w:rsidR="009E5E43">
        <w:rPr>
          <w:rStyle w:val="FootnoteReference"/>
        </w:rPr>
        <w:footnoteReference w:id="95"/>
      </w:r>
      <w:r>
        <w:t xml:space="preserve"> Of the </w:t>
      </w:r>
      <w:r w:rsidRPr="008D454A">
        <w:t xml:space="preserve">calls where customers were </w:t>
      </w:r>
      <w:r>
        <w:t>assisted</w:t>
      </w:r>
      <w:r w:rsidRPr="008D454A">
        <w:t xml:space="preserve"> regarding utility relief grants, just under half of the operators worked with customers on the phone to </w:t>
      </w:r>
      <w:r>
        <w:t>help complete the application</w:t>
      </w:r>
      <w:r w:rsidRPr="008D454A">
        <w:t xml:space="preserve"> or </w:t>
      </w:r>
      <w:r>
        <w:t>provided advice on how to apply</w:t>
      </w:r>
      <w:r w:rsidRPr="008D454A">
        <w:t>.</w:t>
      </w:r>
      <w:r w:rsidRPr="008D454A">
        <w:rPr>
          <w:rStyle w:val="FootnoteReference"/>
        </w:rPr>
        <w:footnoteReference w:id="96"/>
      </w:r>
    </w:p>
    <w:p w14:paraId="4C511024" w14:textId="5723CA09" w:rsidR="00C43F4C" w:rsidRDefault="00C43F4C" w:rsidP="00F14D9A">
      <w:pPr>
        <w:pStyle w:val="Figure-Table-BoxHeading"/>
        <w:keepNext/>
        <w:keepLines/>
        <w:numPr>
          <w:ilvl w:val="0"/>
          <w:numId w:val="0"/>
        </w:numPr>
      </w:pPr>
      <w:bookmarkStart w:id="161" w:name="_Ref103771980"/>
      <w:bookmarkStart w:id="162" w:name="_Toc100135070"/>
      <w:bookmarkStart w:id="163" w:name="_Toc100098138"/>
      <w:bookmarkStart w:id="164" w:name="_Toc100145067"/>
      <w:bookmarkStart w:id="165" w:name="_Toc102095477"/>
      <w:bookmarkStart w:id="166" w:name="_Toc103943796"/>
      <w:r>
        <w:t xml:space="preserve">Figure </w:t>
      </w:r>
      <w:r>
        <w:fldChar w:fldCharType="begin"/>
      </w:r>
      <w:r>
        <w:instrText>SEQ Figure \* ARABIC</w:instrText>
      </w:r>
      <w:r>
        <w:fldChar w:fldCharType="separate"/>
      </w:r>
      <w:r w:rsidR="00357DD7">
        <w:rPr>
          <w:noProof/>
        </w:rPr>
        <w:t>26</w:t>
      </w:r>
      <w:r>
        <w:fldChar w:fldCharType="end"/>
      </w:r>
      <w:bookmarkEnd w:id="161"/>
      <w:r>
        <w:tab/>
      </w:r>
      <w:r w:rsidR="00B73455">
        <w:t xml:space="preserve">Percentage of utility </w:t>
      </w:r>
      <w:r w:rsidR="00B73455" w:rsidRPr="00E643C3">
        <w:t>relief</w:t>
      </w:r>
      <w:r w:rsidR="00B73455">
        <w:t xml:space="preserve"> grant applications being submitted to the </w:t>
      </w:r>
      <w:r w:rsidR="00B73455" w:rsidRPr="00617A48">
        <w:t>Department of Families, Fairness and Housing</w:t>
      </w:r>
      <w:r w:rsidR="00B73455">
        <w:t xml:space="preserve"> compared to number of forms being requested</w:t>
      </w:r>
      <w:r w:rsidR="00C84B93">
        <w:t>, 2018-1</w:t>
      </w:r>
      <w:r w:rsidR="00DC0F0B">
        <w:t>9</w:t>
      </w:r>
      <w:r w:rsidR="00C84B93">
        <w:t xml:space="preserve"> to 2021-</w:t>
      </w:r>
      <w:bookmarkEnd w:id="162"/>
      <w:bookmarkEnd w:id="163"/>
      <w:bookmarkEnd w:id="164"/>
      <w:bookmarkEnd w:id="165"/>
      <w:bookmarkEnd w:id="166"/>
      <w:r w:rsidR="00DC0F0B">
        <w:t>22</w:t>
      </w:r>
    </w:p>
    <w:p w14:paraId="5CE520E6" w14:textId="336C9E82" w:rsidR="00C43F4C" w:rsidRDefault="00C43F4C" w:rsidP="00C43F4C">
      <w:pPr>
        <w:rPr>
          <w:rFonts w:asciiTheme="majorHAnsi" w:eastAsiaTheme="majorEastAsia" w:hAnsiTheme="majorHAnsi" w:cstheme="majorBidi"/>
          <w:color w:val="4986A0" w:themeColor="text2"/>
          <w:szCs w:val="24"/>
          <w:lang w:val="en-US"/>
        </w:rPr>
      </w:pPr>
      <w:r w:rsidRPr="00581E8B">
        <w:rPr>
          <w:rFonts w:asciiTheme="majorHAnsi" w:eastAsiaTheme="majorEastAsia" w:hAnsiTheme="majorHAnsi" w:cstheme="majorBidi"/>
          <w:color w:val="4986A0" w:themeColor="text2"/>
          <w:szCs w:val="24"/>
          <w:lang w:val="en-US"/>
        </w:rPr>
        <w:t xml:space="preserve"> </w:t>
      </w:r>
      <w:r w:rsidRPr="00581E8B">
        <w:rPr>
          <w:noProof/>
        </w:rPr>
        <w:drawing>
          <wp:inline distT="0" distB="0" distL="0" distR="0" wp14:anchorId="54C81675" wp14:editId="00F3F821">
            <wp:extent cx="6120000" cy="1838447"/>
            <wp:effectExtent l="0" t="0" r="0" b="0"/>
            <wp:docPr id="99994" name="Picture 99994" descr="Bar chart showing the percentage of utility relief grants being submitted in relation to the number of forms being requested from the department of families, fairness, and housing. &#10;The chart shows data for electricity, gas, and water from 2018 to the end of 2021. The percentage has steadily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4" name="Picture 99994" descr="Bar chart showing the percentage of utility relief grants being submitted in relation to the number of forms being requested from the department of families, fairness, and housing. &#10;The chart shows data for electricity, gas, and water from 2018 to the end of 2021. The percentage has steadily increas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20000" cy="1838447"/>
                    </a:xfrm>
                    <a:prstGeom prst="rect">
                      <a:avLst/>
                    </a:prstGeom>
                    <a:noFill/>
                    <a:ln>
                      <a:noFill/>
                    </a:ln>
                  </pic:spPr>
                </pic:pic>
              </a:graphicData>
            </a:graphic>
          </wp:inline>
        </w:drawing>
      </w:r>
    </w:p>
    <w:p w14:paraId="076CFBEB" w14:textId="6B42125D" w:rsidR="00214D0F" w:rsidRPr="002D57E3" w:rsidRDefault="00386A21" w:rsidP="008F28A3">
      <w:pPr>
        <w:pStyle w:val="Caption"/>
      </w:pPr>
      <w:r>
        <w:t xml:space="preserve">Source: </w:t>
      </w:r>
      <w:r w:rsidR="00177560">
        <w:t xml:space="preserve">Data from Department of </w:t>
      </w:r>
      <w:r w:rsidR="00D5662C">
        <w:t>Families, Fairness and Housing Victoria</w:t>
      </w:r>
    </w:p>
    <w:p w14:paraId="5D2C0001" w14:textId="519F85F3" w:rsidR="00C43F4C" w:rsidRDefault="00C43F4C" w:rsidP="00C43F4C">
      <w:pPr>
        <w:pStyle w:val="Heading3"/>
      </w:pPr>
      <w:r>
        <w:t xml:space="preserve">Some retailers are more effective at supporting customers receive </w:t>
      </w:r>
      <w:r w:rsidR="002B7A72">
        <w:t>u</w:t>
      </w:r>
      <w:r>
        <w:t xml:space="preserve">tility </w:t>
      </w:r>
      <w:r w:rsidR="002B7A72">
        <w:t>r</w:t>
      </w:r>
      <w:r>
        <w:t xml:space="preserve">elief </w:t>
      </w:r>
      <w:r w:rsidR="002B7A72">
        <w:t>g</w:t>
      </w:r>
      <w:r>
        <w:t>rants</w:t>
      </w:r>
    </w:p>
    <w:p w14:paraId="7C090824" w14:textId="4EBF385A" w:rsidR="00C43F4C" w:rsidRDefault="00C43F4C" w:rsidP="00C43F4C">
      <w:r>
        <w:t xml:space="preserve">We also have seen variation in how retailers support customers in relation to utility relief grants. For example, the proportion of forms being submitted after being requested </w:t>
      </w:r>
      <w:r w:rsidR="001900CC">
        <w:t xml:space="preserve">from </w:t>
      </w:r>
      <w:r>
        <w:t xml:space="preserve">the </w:t>
      </w:r>
      <w:r w:rsidR="0030620C" w:rsidRPr="0030620C">
        <w:t xml:space="preserve">Department of Families, Fairness and Housing </w:t>
      </w:r>
      <w:r>
        <w:t>ranged from 33 to 97 per cent between retailers (</w:t>
      </w:r>
      <w:r>
        <w:fldChar w:fldCharType="begin"/>
      </w:r>
      <w:r>
        <w:instrText xml:space="preserve"> REF _Ref99962358 \h </w:instrText>
      </w:r>
      <w:r>
        <w:fldChar w:fldCharType="separate"/>
      </w:r>
      <w:r w:rsidR="00357DD7" w:rsidRPr="00160997">
        <w:t xml:space="preserve">Figure </w:t>
      </w:r>
      <w:r w:rsidR="00357DD7">
        <w:rPr>
          <w:noProof/>
        </w:rPr>
        <w:t>27</w:t>
      </w:r>
      <w:r>
        <w:fldChar w:fldCharType="end"/>
      </w:r>
      <w:r>
        <w:t>).</w:t>
      </w:r>
      <w:r>
        <w:rPr>
          <w:rStyle w:val="FootnoteReference"/>
        </w:rPr>
        <w:footnoteReference w:id="97"/>
      </w:r>
      <w:r>
        <w:t xml:space="preserve"> </w:t>
      </w:r>
      <w:r>
        <w:lastRenderedPageBreak/>
        <w:t xml:space="preserve">Although there may be differences in the customer base of retailers, there appears to be successful examples of retailers effectively supporting customers in receiving utility relief grants. </w:t>
      </w:r>
    </w:p>
    <w:p w14:paraId="018A4EDC" w14:textId="50753DCB" w:rsidR="00C43F4C" w:rsidRDefault="00C43F4C" w:rsidP="00F14D9A">
      <w:pPr>
        <w:pStyle w:val="Figure-Table-BoxHeading"/>
        <w:keepNext/>
        <w:keepLines/>
        <w:numPr>
          <w:ilvl w:val="0"/>
          <w:numId w:val="0"/>
        </w:numPr>
      </w:pPr>
      <w:bookmarkStart w:id="167" w:name="_Ref99962358"/>
      <w:bookmarkStart w:id="168" w:name="_Toc100135084"/>
      <w:bookmarkStart w:id="169" w:name="_Toc100098152"/>
      <w:bookmarkStart w:id="170" w:name="_Toc100145081"/>
      <w:bookmarkStart w:id="171" w:name="_Toc102095478"/>
      <w:bookmarkStart w:id="172" w:name="_Toc103943797"/>
      <w:r w:rsidRPr="00160997">
        <w:t xml:space="preserve">Figure </w:t>
      </w:r>
      <w:r>
        <w:fldChar w:fldCharType="begin"/>
      </w:r>
      <w:r>
        <w:instrText>SEQ Figure \* ARABIC</w:instrText>
      </w:r>
      <w:r>
        <w:fldChar w:fldCharType="separate"/>
      </w:r>
      <w:r w:rsidR="00357DD7">
        <w:rPr>
          <w:noProof/>
        </w:rPr>
        <w:t>27</w:t>
      </w:r>
      <w:r>
        <w:fldChar w:fldCharType="end"/>
      </w:r>
      <w:bookmarkEnd w:id="167"/>
      <w:r>
        <w:tab/>
      </w:r>
      <w:r w:rsidR="00212EB6">
        <w:t xml:space="preserve">Percentage of utility </w:t>
      </w:r>
      <w:r w:rsidR="00212EB6" w:rsidRPr="00E643C3">
        <w:t>relief</w:t>
      </w:r>
      <w:r w:rsidR="00212EB6">
        <w:t xml:space="preserve"> grant applications being submitted to the </w:t>
      </w:r>
      <w:r w:rsidR="00212EB6" w:rsidRPr="00617A48">
        <w:t>Department of Families, Fairness and Housing</w:t>
      </w:r>
      <w:r w:rsidR="00212EB6">
        <w:t xml:space="preserve"> compared to number of forms being requested, by retailer, deidentified </w:t>
      </w:r>
      <w:bookmarkEnd w:id="168"/>
      <w:bookmarkEnd w:id="169"/>
      <w:bookmarkEnd w:id="170"/>
      <w:bookmarkEnd w:id="171"/>
      <w:bookmarkEnd w:id="172"/>
    </w:p>
    <w:p w14:paraId="31FFF21D" w14:textId="175BFF23" w:rsidR="00C43F4C" w:rsidRDefault="00397A63" w:rsidP="00C43F4C">
      <w:r w:rsidRPr="00397A63">
        <w:rPr>
          <w:noProof/>
        </w:rPr>
        <w:drawing>
          <wp:inline distT="0" distB="0" distL="0" distR="0" wp14:anchorId="0C218D8D" wp14:editId="4904C99E">
            <wp:extent cx="6120130" cy="2519045"/>
            <wp:effectExtent l="0" t="0" r="0" b="0"/>
            <wp:docPr id="1" name="Picture 1" descr="Bar chart showing the Percentage of utility relief grant applications being submitted to the Department of Families, Fairness and Housing compared to number of forms being requested, by retailer for two time periods, 2020-21 and 2021-22. Retailers are  deidentified. The chart is sorted by large, medium, and small retailers. There is great variance in the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chart showing the Percentage of utility relief grant applications being submitted to the Department of Families, Fairness and Housing compared to number of forms being requested, by retailer for two time periods, 2020-21 and 2021-22. Retailers are  deidentified. The chart is sorted by large, medium, and small retailers. There is great variance in the percentage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0130" cy="2519045"/>
                    </a:xfrm>
                    <a:prstGeom prst="rect">
                      <a:avLst/>
                    </a:prstGeom>
                    <a:noFill/>
                    <a:ln>
                      <a:noFill/>
                    </a:ln>
                  </pic:spPr>
                </pic:pic>
              </a:graphicData>
            </a:graphic>
          </wp:inline>
        </w:drawing>
      </w:r>
    </w:p>
    <w:p w14:paraId="1BCC6DE8" w14:textId="5D27CC0E" w:rsidR="006F27ED" w:rsidRPr="002D57E3" w:rsidRDefault="005D245E" w:rsidP="008062E6">
      <w:pPr>
        <w:pStyle w:val="Source"/>
      </w:pPr>
      <w:r>
        <w:t xml:space="preserve">Source: </w:t>
      </w:r>
      <w:r w:rsidR="006F27ED">
        <w:t>Data from Department of Families, Fairness and Housing Victoria</w:t>
      </w:r>
    </w:p>
    <w:p w14:paraId="42F8121C" w14:textId="68969FEC" w:rsidR="00C43F4C" w:rsidRDefault="00C43F4C" w:rsidP="00C43F4C">
      <w:r>
        <w:t>Following customer feedback, some retailers such as Momentum, proactively invested in and dedicated resources to help customers complete application forms.</w:t>
      </w:r>
      <w:r>
        <w:rPr>
          <w:rStyle w:val="FootnoteReference"/>
        </w:rPr>
        <w:footnoteReference w:id="98"/>
      </w:r>
      <w:r>
        <w:t xml:space="preserve"> AGL also piloted a similar initiative in Queensland as a part of the Home Energy Emergency Scheme (HEEAS) but noted that not all customers might have detailed information available with them at the time of a call, to help fully support customers to apply for the scheme.</w:t>
      </w:r>
      <w:r>
        <w:rPr>
          <w:rStyle w:val="FootnoteReference"/>
        </w:rPr>
        <w:footnoteReference w:id="99"/>
      </w:r>
      <w:r>
        <w:t xml:space="preserve"> </w:t>
      </w:r>
    </w:p>
    <w:p w14:paraId="41DB9DC4" w14:textId="5AE38BC8" w:rsidR="00C43F4C" w:rsidRDefault="00C43F4C" w:rsidP="00C43F4C">
      <w:r>
        <w:t>We also note similar investments in the water sector. Yarra Valley Water ha</w:t>
      </w:r>
      <w:r w:rsidR="00E72CF8">
        <w:t>s</w:t>
      </w:r>
      <w:r>
        <w:t xml:space="preserve"> dedicated resources to support customers submit application forms over the phone. They consider this investment of </w:t>
      </w:r>
      <w:r>
        <w:lastRenderedPageBreak/>
        <w:t>resources as a worthwhile business decision, given it helps reduce its exposure to the build-up of customers’ arrears.</w:t>
      </w:r>
      <w:r>
        <w:rPr>
          <w:rStyle w:val="FootnoteReference"/>
        </w:rPr>
        <w:footnoteReference w:id="100"/>
      </w:r>
    </w:p>
    <w:p w14:paraId="39B3CBD9" w14:textId="1A6D3225" w:rsidR="00C43F4C" w:rsidRPr="00683581" w:rsidRDefault="00741E56" w:rsidP="00C43F4C">
      <w:r>
        <w:t>S</w:t>
      </w:r>
      <w:r w:rsidR="00C43F4C">
        <w:t>takeholders</w:t>
      </w:r>
      <w:r>
        <w:t>, however,</w:t>
      </w:r>
      <w:r w:rsidR="00C43F4C">
        <w:t xml:space="preserve"> have observed some </w:t>
      </w:r>
      <w:r w:rsidR="00C43F4C" w:rsidRPr="00540E9B">
        <w:t>inconsistenc</w:t>
      </w:r>
      <w:r>
        <w:t>ies</w:t>
      </w:r>
      <w:r w:rsidR="00C43F4C" w:rsidRPr="00540E9B">
        <w:t xml:space="preserve"> between and within retailers in offering </w:t>
      </w:r>
      <w:r w:rsidR="00C43F4C">
        <w:t>u</w:t>
      </w:r>
      <w:r w:rsidR="00C43F4C" w:rsidRPr="00540E9B">
        <w:t xml:space="preserve">tility </w:t>
      </w:r>
      <w:r w:rsidR="00C43F4C">
        <w:t>r</w:t>
      </w:r>
      <w:r w:rsidR="00C43F4C" w:rsidRPr="00540E9B">
        <w:t xml:space="preserve">elief </w:t>
      </w:r>
      <w:r w:rsidR="00C43F4C">
        <w:t>g</w:t>
      </w:r>
      <w:r w:rsidR="00C43F4C" w:rsidRPr="00540E9B">
        <w:t xml:space="preserve">rants. </w:t>
      </w:r>
      <w:r w:rsidR="00C43F4C">
        <w:t xml:space="preserve">The Consumer Action Law Centre found an </w:t>
      </w:r>
      <w:r w:rsidR="00C43F4C" w:rsidRPr="00CC0DB9">
        <w:t xml:space="preserve">increase in </w:t>
      </w:r>
      <w:r w:rsidR="00C43F4C">
        <w:t xml:space="preserve">reported </w:t>
      </w:r>
      <w:r w:rsidR="00C43F4C" w:rsidRPr="00CC0DB9">
        <w:t xml:space="preserve">issues </w:t>
      </w:r>
      <w:r w:rsidR="00C43F4C">
        <w:t xml:space="preserve">from customers, such as </w:t>
      </w:r>
      <w:r w:rsidR="00C43F4C" w:rsidRPr="00CC0DB9">
        <w:t xml:space="preserve">not being informed or assisted </w:t>
      </w:r>
      <w:r w:rsidR="00C43F4C">
        <w:t xml:space="preserve">by retailers </w:t>
      </w:r>
      <w:r w:rsidR="00C43F4C" w:rsidRPr="00CC0DB9">
        <w:t xml:space="preserve">to apply for </w:t>
      </w:r>
      <w:r w:rsidR="00C43F4C">
        <w:t>grants</w:t>
      </w:r>
      <w:r w:rsidR="00C43F4C" w:rsidRPr="00CC0DB9">
        <w:t>.</w:t>
      </w:r>
      <w:r w:rsidR="00C43F4C">
        <w:rPr>
          <w:rStyle w:val="FootnoteReference"/>
        </w:rPr>
        <w:footnoteReference w:id="101"/>
      </w:r>
      <w:r w:rsidR="00C43F4C" w:rsidRPr="00CC0DB9">
        <w:t xml:space="preserve"> </w:t>
      </w:r>
      <w:r w:rsidR="00C43F4C">
        <w:t xml:space="preserve">Financial Counselling Victoria believed </w:t>
      </w:r>
      <w:r w:rsidR="00C43F4C" w:rsidRPr="00CC0DB9">
        <w:t>that many retailers prioritise putting customers on payment plans</w:t>
      </w:r>
      <w:r w:rsidR="00C43F4C">
        <w:t xml:space="preserve">, </w:t>
      </w:r>
      <w:r w:rsidR="00C43F4C" w:rsidRPr="00CC0DB9">
        <w:t xml:space="preserve">instead of </w:t>
      </w:r>
      <w:r w:rsidR="00C43F4C">
        <w:t xml:space="preserve">assisting them to apply for </w:t>
      </w:r>
      <w:r w:rsidR="00C43F4C" w:rsidRPr="00CC0DB9">
        <w:t>utility relief grant</w:t>
      </w:r>
      <w:r w:rsidR="00C43F4C">
        <w:t>s</w:t>
      </w:r>
      <w:r w:rsidR="00C43F4C" w:rsidRPr="00CC0DB9">
        <w:t>.</w:t>
      </w:r>
      <w:r w:rsidR="00C43F4C">
        <w:rPr>
          <w:rStyle w:val="FootnoteReference"/>
        </w:rPr>
        <w:footnoteReference w:id="102"/>
      </w:r>
    </w:p>
    <w:p w14:paraId="378236F1" w14:textId="5DEEC221" w:rsidR="00C43F4C" w:rsidRDefault="00C43F4C" w:rsidP="00C43F4C">
      <w:r>
        <w:t xml:space="preserve">In reviewing call recordings from retailers, there is a significant impact in reducing arrears when retailers do provide support to complete </w:t>
      </w:r>
      <w:r w:rsidR="002B7A72">
        <w:t>utility relief grants</w:t>
      </w:r>
      <w:r>
        <w:t xml:space="preserve">. The following example highlights </w:t>
      </w:r>
      <w:r w:rsidRPr="003C4468">
        <w:t xml:space="preserve">an opportunity for earlier intervention and practical proactive support from the retailer. It also shows that direct support from a retailer can significantly reduce a customer’s arrears. </w:t>
      </w:r>
      <w:r>
        <w:t>U</w:t>
      </w:r>
      <w:r w:rsidRPr="003C4468">
        <w:t>ltimately, this impact benefits both retailers and customers.</w:t>
      </w:r>
    </w:p>
    <w:p w14:paraId="19828249" w14:textId="0855EEAD" w:rsidR="00C43F4C" w:rsidRPr="0093163B" w:rsidRDefault="00C43F4C" w:rsidP="00C43F4C">
      <w:pPr>
        <w:pStyle w:val="Pull-outHeading"/>
      </w:pPr>
      <w:bookmarkStart w:id="173" w:name="_Ref102072862"/>
      <w:bookmarkStart w:id="174" w:name="_Toc102086777"/>
      <w:r w:rsidRPr="0093163B">
        <w:t>Call recording</w:t>
      </w:r>
      <w:r w:rsidR="00CF6C1E">
        <w:t>s</w:t>
      </w:r>
      <w:r w:rsidRPr="0093163B">
        <w:t xml:space="preserve"> case study </w:t>
      </w:r>
      <w:r w:rsidRPr="0093163B">
        <w:fldChar w:fldCharType="begin"/>
      </w:r>
      <w:r w:rsidRPr="0093163B">
        <w:instrText xml:space="preserve"> SEQ Call_recording_case_study \* ARABIC </w:instrText>
      </w:r>
      <w:r w:rsidRPr="0093163B">
        <w:fldChar w:fldCharType="separate"/>
      </w:r>
      <w:r w:rsidR="00357DD7">
        <w:rPr>
          <w:noProof/>
        </w:rPr>
        <w:t>6</w:t>
      </w:r>
      <w:r w:rsidRPr="0093163B">
        <w:fldChar w:fldCharType="end"/>
      </w:r>
      <w:bookmarkEnd w:id="173"/>
      <w:r w:rsidRPr="0093163B">
        <w:t xml:space="preserve">: </w:t>
      </w:r>
      <w:r w:rsidRPr="00DD1015">
        <w:t xml:space="preserve">the impact of </w:t>
      </w:r>
      <w:r w:rsidRPr="003931D8">
        <w:t xml:space="preserve">helping customers with </w:t>
      </w:r>
      <w:bookmarkEnd w:id="174"/>
      <w:r w:rsidR="002B7A72">
        <w:t>u</w:t>
      </w:r>
      <w:r w:rsidRPr="0093163B">
        <w:t xml:space="preserve">tility </w:t>
      </w:r>
      <w:r w:rsidR="002B7A72">
        <w:t>r</w:t>
      </w:r>
      <w:r w:rsidRPr="0093163B">
        <w:t xml:space="preserve">elief </w:t>
      </w:r>
      <w:r w:rsidR="002B7A72">
        <w:t>g</w:t>
      </w:r>
      <w:r w:rsidRPr="0093163B">
        <w:t>rants</w:t>
      </w:r>
    </w:p>
    <w:p w14:paraId="656A596A" w14:textId="1BE3BDBE" w:rsidR="00A84CE6" w:rsidRDefault="00C43F4C" w:rsidP="00C43F4C">
      <w:pPr>
        <w:pStyle w:val="Pull-out"/>
      </w:pPr>
      <w:r>
        <w:t xml:space="preserve">In customer journey 2, the customer interacted with the retailer three times during 2019, receiving information about assistance to reduce energy costs, particularly through lowering energy usage. </w:t>
      </w:r>
      <w:r w:rsidR="00DA05F5">
        <w:t>T</w:t>
      </w:r>
      <w:r>
        <w:t>he customer was not</w:t>
      </w:r>
      <w:r w:rsidR="00DA05F5">
        <w:t>, however,</w:t>
      </w:r>
      <w:r>
        <w:t xml:space="preserve"> directly supported to complete a grant application until interactions two years later in 2021. The customer was then directly assisted to apply for a grant. By the end of the call recording</w:t>
      </w:r>
      <w:r w:rsidR="00BB6050">
        <w:t>s</w:t>
      </w:r>
      <w:r>
        <w:t xml:space="preserve"> study period, the customer’s arrears had been almost halved. </w:t>
      </w:r>
    </w:p>
    <w:p w14:paraId="3ECCEFFA" w14:textId="3B60090B" w:rsidR="00C43F4C" w:rsidRDefault="00A84CE6" w:rsidP="00C43F4C">
      <w:pPr>
        <w:pStyle w:val="Pull-out"/>
      </w:pPr>
      <w:r>
        <w:t xml:space="preserve">This example shows the potential benefit of checking a </w:t>
      </w:r>
      <w:r w:rsidR="00D2484D" w:rsidRPr="00827DF0">
        <w:t>customer</w:t>
      </w:r>
      <w:r>
        <w:t>’s</w:t>
      </w:r>
      <w:r w:rsidR="00D2484D" w:rsidRPr="00827DF0">
        <w:t xml:space="preserve"> eligibility for a utility relief grant</w:t>
      </w:r>
      <w:r w:rsidR="00BB4C36" w:rsidRPr="00827DF0">
        <w:t xml:space="preserve">. </w:t>
      </w:r>
      <w:r>
        <w:t xml:space="preserve">It also highlights how </w:t>
      </w:r>
      <w:r w:rsidR="00BB4C36" w:rsidRPr="00827DF0">
        <w:t xml:space="preserve">customers </w:t>
      </w:r>
      <w:r>
        <w:t xml:space="preserve">can be </w:t>
      </w:r>
      <w:r w:rsidR="00BB4C36" w:rsidRPr="00827DF0">
        <w:t>unaware of these grants</w:t>
      </w:r>
      <w:r>
        <w:t xml:space="preserve">, unless </w:t>
      </w:r>
      <w:r w:rsidR="00852AA6" w:rsidRPr="00827DF0">
        <w:t>when advised by their retailer.</w:t>
      </w:r>
    </w:p>
    <w:p w14:paraId="339B3A84" w14:textId="77777777" w:rsidR="00CF6C1E" w:rsidRDefault="00CF6C1E" w:rsidP="00CF6C1E">
      <w:pPr>
        <w:pStyle w:val="Caption"/>
      </w:pPr>
      <w:r w:rsidRPr="004A1436">
        <w:t>Source:</w:t>
      </w:r>
      <w:r>
        <w:t xml:space="preserve"> </w:t>
      </w:r>
      <w:r w:rsidRPr="004A1436">
        <w:t xml:space="preserve">ORIMA Research, </w:t>
      </w:r>
      <w:r>
        <w:t>‘</w:t>
      </w:r>
      <w:r w:rsidRPr="004A1436">
        <w:t>Call recordings study</w:t>
      </w:r>
      <w:r>
        <w:t>: c</w:t>
      </w:r>
      <w:r w:rsidRPr="006F437F">
        <w:t xml:space="preserve">ase </w:t>
      </w:r>
      <w:r>
        <w:t>s</w:t>
      </w:r>
      <w:r w:rsidRPr="006F437F">
        <w:t xml:space="preserve">tudies of </w:t>
      </w:r>
      <w:r>
        <w:t>c</w:t>
      </w:r>
      <w:r w:rsidRPr="006F437F">
        <w:t xml:space="preserve">ustomer </w:t>
      </w:r>
      <w:r>
        <w:t>j</w:t>
      </w:r>
      <w:r w:rsidRPr="006F437F">
        <w:t>ourneys</w:t>
      </w:r>
      <w:r w:rsidRPr="004A1436">
        <w:t>’, May 2022</w:t>
      </w:r>
      <w:r>
        <w:t xml:space="preserve">. </w:t>
      </w:r>
    </w:p>
    <w:p w14:paraId="571F3245" w14:textId="50CAB359" w:rsidR="00C43F4C" w:rsidRDefault="00C43F4C" w:rsidP="00C43F4C">
      <w:pPr>
        <w:pStyle w:val="Heading3"/>
      </w:pPr>
      <w:r>
        <w:lastRenderedPageBreak/>
        <w:t xml:space="preserve">Improving </w:t>
      </w:r>
      <w:r w:rsidR="00E2143E">
        <w:t>the operation</w:t>
      </w:r>
      <w:r>
        <w:t xml:space="preserve"> of the framework: support for other government supports </w:t>
      </w:r>
    </w:p>
    <w:p w14:paraId="62D862D9" w14:textId="6E47B2A0" w:rsidR="00C43F4C" w:rsidRPr="00A90FA8" w:rsidRDefault="00C43F4C" w:rsidP="00C43F4C">
      <w:r w:rsidRPr="00A90FA8">
        <w:t xml:space="preserve">Greater retailer assistance to customers who are eligible for direct Victorian </w:t>
      </w:r>
      <w:r w:rsidR="00A84CE6">
        <w:t>g</w:t>
      </w:r>
      <w:r w:rsidRPr="00A90FA8">
        <w:t xml:space="preserve">overnment support such as utility relief grants, concessions and the Power Saver Bonus can </w:t>
      </w:r>
      <w:r>
        <w:t>prove highly beneficial.</w:t>
      </w:r>
      <w:r w:rsidRPr="00A90FA8">
        <w:t xml:space="preserve"> Customers experiencing vulnerability may struggle to navigate some of the processes to access these supports</w:t>
      </w:r>
      <w:r>
        <w:t>.</w:t>
      </w:r>
      <w:r w:rsidDel="00B043AB">
        <w:t xml:space="preserve"> </w:t>
      </w:r>
      <w:r>
        <w:t>However,</w:t>
      </w:r>
      <w:r w:rsidRPr="00A90FA8">
        <w:t xml:space="preserve"> if they are assisted, grants and concessions can help both those customers in arrears who are able to pay for ongoing usage, and those who cannot. </w:t>
      </w:r>
    </w:p>
    <w:p w14:paraId="2254FA3F" w14:textId="1E1B680E" w:rsidR="00C43F4C" w:rsidRDefault="00C43F4C" w:rsidP="00C43F4C">
      <w:r>
        <w:t xml:space="preserve">We found that while information may be provided to customers about concessions, only some retailers provide information unique to that customer. For example, some retailers </w:t>
      </w:r>
      <w:r w:rsidR="00A84CE6">
        <w:t xml:space="preserve">proactively </w:t>
      </w:r>
      <w:r>
        <w:t>check whether a customer’s concession details are up to date, or if they are eligible for concessions. If retailers proactively provide concession checks for customers, this can contribute to a more effective relationship with the customer in establishing payment plans.</w:t>
      </w:r>
    </w:p>
    <w:p w14:paraId="31110D71" w14:textId="164B25A4" w:rsidR="00C43F4C" w:rsidRDefault="00C43F4C" w:rsidP="00C43F4C">
      <w:r>
        <w:t xml:space="preserve">Our review found that the new obligation on retailers to support customers’ applications for </w:t>
      </w:r>
      <w:r w:rsidR="0058072A">
        <w:t xml:space="preserve">utility relief grants </w:t>
      </w:r>
      <w:r>
        <w:t>has led to improvements in customers submitting applications and receiving these grants. Directly supporting customers to apply for grants are mutually beneficial for the customer and retailer, as it helps prevent the further build</w:t>
      </w:r>
      <w:r w:rsidR="00784D7C">
        <w:t>-</w:t>
      </w:r>
      <w:r>
        <w:t>up of arrears. We note that this type of assistance does rely on customers maintaining contact with their retailer, particularly by phone.</w:t>
      </w:r>
    </w:p>
    <w:tbl>
      <w:tblPr>
        <w:tblStyle w:val="TwoColumnImage"/>
        <w:tblW w:w="9811" w:type="dxa"/>
        <w:tblBorders>
          <w:top w:val="single" w:sz="24" w:space="0" w:color="6CB59D" w:themeColor="accent5" w:themeTint="80"/>
          <w:left w:val="single" w:sz="24" w:space="0" w:color="6CB59D" w:themeColor="accent5" w:themeTint="80"/>
          <w:bottom w:val="single" w:sz="24" w:space="0" w:color="6CB59D" w:themeColor="accent5" w:themeTint="80"/>
          <w:right w:val="single" w:sz="24" w:space="0" w:color="6CB59D" w:themeColor="accent5" w:themeTint="80"/>
        </w:tblBorders>
        <w:shd w:val="clear" w:color="auto" w:fill="B5DACE" w:themeFill="accent5" w:themeFillTint="40"/>
        <w:tblCellMar>
          <w:top w:w="113" w:type="dxa"/>
          <w:bottom w:w="113" w:type="dxa"/>
        </w:tblCellMar>
        <w:tblLook w:val="04A0" w:firstRow="1" w:lastRow="0" w:firstColumn="1" w:lastColumn="0" w:noHBand="0" w:noVBand="1"/>
      </w:tblPr>
      <w:tblGrid>
        <w:gridCol w:w="1873"/>
        <w:gridCol w:w="6521"/>
        <w:gridCol w:w="1417"/>
      </w:tblGrid>
      <w:tr w:rsidR="006F1802" w:rsidRPr="006F1802" w14:paraId="501DB920" w14:textId="77777777" w:rsidTr="006F1802">
        <w:tc>
          <w:tcPr>
            <w:tcW w:w="9811" w:type="dxa"/>
            <w:gridSpan w:val="3"/>
            <w:tcBorders>
              <w:bottom w:val="nil"/>
            </w:tcBorders>
            <w:shd w:val="clear" w:color="auto" w:fill="B5DACE" w:themeFill="accent5" w:themeFillTint="40"/>
          </w:tcPr>
          <w:p w14:paraId="7965C404" w14:textId="329087A3" w:rsidR="006F1802" w:rsidRPr="006F1802" w:rsidRDefault="00A5797A" w:rsidP="00821C80">
            <w:pPr>
              <w:pStyle w:val="TableBody"/>
              <w:ind w:left="142" w:right="121"/>
              <w:rPr>
                <w:rFonts w:ascii="Tahoma" w:hAnsi="Tahoma" w:cs="Tahoma"/>
                <w:color w:val="262626" w:themeColor="text1" w:themeTint="D9"/>
                <w:sz w:val="26"/>
                <w:szCs w:val="26"/>
              </w:rPr>
            </w:pPr>
            <w:r>
              <w:rPr>
                <w:rFonts w:ascii="Tahoma" w:hAnsi="Tahoma" w:cs="Tahoma"/>
                <w:b/>
                <w:bCs/>
                <w:color w:val="262626" w:themeColor="text1" w:themeTint="D9"/>
                <w:sz w:val="26"/>
                <w:szCs w:val="26"/>
              </w:rPr>
              <w:t>Improving the operation of the framework</w:t>
            </w:r>
          </w:p>
        </w:tc>
      </w:tr>
      <w:tr w:rsidR="00C600CF" w:rsidRPr="000179AE" w14:paraId="74466997" w14:textId="77777777" w:rsidTr="006F1802">
        <w:tblPrEx>
          <w:tblCellMar>
            <w:top w:w="57" w:type="dxa"/>
            <w:bottom w:w="57" w:type="dxa"/>
          </w:tblCellMar>
        </w:tblPrEx>
        <w:tc>
          <w:tcPr>
            <w:tcW w:w="9811" w:type="dxa"/>
            <w:gridSpan w:val="3"/>
            <w:shd w:val="clear" w:color="auto" w:fill="B5DACE" w:themeFill="accent5" w:themeFillTint="40"/>
          </w:tcPr>
          <w:p w14:paraId="28237B85" w14:textId="77777777" w:rsidR="00C600CF" w:rsidRPr="000179AE" w:rsidRDefault="00C600CF" w:rsidP="00821C80">
            <w:pPr>
              <w:pStyle w:val="TableBody"/>
              <w:spacing w:before="80" w:after="80"/>
              <w:ind w:left="142" w:right="119"/>
              <w:rPr>
                <w:rFonts w:ascii="Tahoma" w:hAnsi="Tahoma" w:cs="Tahoma"/>
                <w:b/>
                <w:bCs/>
                <w:color w:val="262626" w:themeColor="text1" w:themeTint="D9"/>
              </w:rPr>
            </w:pPr>
            <w:r>
              <w:rPr>
                <w:rFonts w:ascii="Tahoma" w:hAnsi="Tahoma" w:cs="Tahoma"/>
                <w:b/>
                <w:bCs/>
                <w:color w:val="262626" w:themeColor="text1" w:themeTint="D9"/>
              </w:rPr>
              <w:t>Customer outcomes vary significantly between and within retailers</w:t>
            </w:r>
          </w:p>
        </w:tc>
      </w:tr>
      <w:tr w:rsidR="00C600CF" w:rsidRPr="000179AE" w14:paraId="5F5AD274" w14:textId="77777777" w:rsidTr="000E6ED2">
        <w:tblPrEx>
          <w:tblCellMar>
            <w:top w:w="57" w:type="dxa"/>
            <w:bottom w:w="57" w:type="dxa"/>
          </w:tblCellMar>
        </w:tblPrEx>
        <w:tc>
          <w:tcPr>
            <w:tcW w:w="1873" w:type="dxa"/>
            <w:shd w:val="clear" w:color="auto" w:fill="B5DACE" w:themeFill="accent5" w:themeFillTint="40"/>
            <w:vAlign w:val="center"/>
          </w:tcPr>
          <w:p w14:paraId="4C4DC29C" w14:textId="77777777" w:rsidR="00C600CF" w:rsidRPr="000179AE" w:rsidRDefault="00C600CF" w:rsidP="00821C80">
            <w:pPr>
              <w:pStyle w:val="TableBody"/>
              <w:ind w:left="284" w:right="-2"/>
              <w:jc w:val="center"/>
              <w:rPr>
                <w:rFonts w:ascii="Tahoma" w:hAnsi="Tahoma" w:cs="Tahoma"/>
                <w:noProof/>
                <w:color w:val="262626" w:themeColor="text1" w:themeTint="D9"/>
              </w:rPr>
            </w:pPr>
            <w:r w:rsidRPr="000179AE">
              <w:rPr>
                <w:rFonts w:ascii="Tahoma" w:hAnsi="Tahoma" w:cs="Tahoma"/>
                <w:noProof/>
                <w:color w:val="262626" w:themeColor="text1" w:themeTint="D9"/>
              </w:rPr>
              <w:drawing>
                <wp:inline distT="0" distB="0" distL="0" distR="0" wp14:anchorId="6499422A" wp14:editId="21DAE425">
                  <wp:extent cx="864000" cy="864000"/>
                  <wp:effectExtent l="0" t="0" r="0" b="0"/>
                  <wp:docPr id="99990" name="Picture 99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0" name="Picture 99990">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6521" w:type="dxa"/>
            <w:shd w:val="clear" w:color="auto" w:fill="B5DACE" w:themeFill="accent5" w:themeFillTint="40"/>
            <w:vAlign w:val="center"/>
          </w:tcPr>
          <w:p w14:paraId="5E2FC525" w14:textId="1065166A" w:rsidR="00C600CF" w:rsidRDefault="00C600CF" w:rsidP="00C600CF">
            <w:pPr>
              <w:pStyle w:val="ListBullet"/>
              <w:spacing w:before="0"/>
              <w:ind w:left="357" w:hanging="357"/>
              <w:contextualSpacing w:val="0"/>
            </w:pPr>
            <w:r w:rsidRPr="001551CC">
              <w:t>Improve retailer processes to ensure eligible customers are receiving concessions and utility relief grants.</w:t>
            </w:r>
          </w:p>
        </w:tc>
        <w:tc>
          <w:tcPr>
            <w:tcW w:w="1417" w:type="dxa"/>
            <w:shd w:val="clear" w:color="auto" w:fill="B5DACE" w:themeFill="accent5" w:themeFillTint="40"/>
            <w:vAlign w:val="center"/>
          </w:tcPr>
          <w:p w14:paraId="69AAFA8D" w14:textId="77777777" w:rsidR="00C600CF" w:rsidRPr="00C82D1A" w:rsidRDefault="00C600CF" w:rsidP="000E6ED2">
            <w:pPr>
              <w:pStyle w:val="ListBullet"/>
              <w:numPr>
                <w:ilvl w:val="0"/>
                <w:numId w:val="0"/>
              </w:numPr>
              <w:spacing w:before="0" w:line="240" w:lineRule="auto"/>
              <w:jc w:val="center"/>
              <w:rPr>
                <w:b/>
                <w:bCs/>
                <w:color w:val="CE0058" w:themeColor="accent2"/>
              </w:rPr>
            </w:pPr>
            <w:r w:rsidRPr="00046BFF">
              <w:rPr>
                <w:b/>
                <w:bCs/>
                <w:color w:val="CE0058" w:themeColor="accent2"/>
              </w:rPr>
              <w:t>Priority</w:t>
            </w:r>
          </w:p>
        </w:tc>
      </w:tr>
    </w:tbl>
    <w:p w14:paraId="78928690" w14:textId="77777777" w:rsidR="006F27ED" w:rsidRDefault="006F27ED">
      <w:pPr>
        <w:spacing w:before="0" w:line="259" w:lineRule="auto"/>
        <w:rPr>
          <w:rFonts w:ascii="Tahoma" w:eastAsiaTheme="majorEastAsia" w:hAnsi="Tahoma" w:cstheme="majorBidi"/>
          <w:b/>
          <w:sz w:val="26"/>
          <w:szCs w:val="26"/>
        </w:rPr>
      </w:pPr>
      <w:r>
        <w:br w:type="page"/>
      </w:r>
    </w:p>
    <w:p w14:paraId="167D9560" w14:textId="20A1C1BF" w:rsidR="00C43F4C" w:rsidRDefault="00C43F4C" w:rsidP="00C43F4C">
      <w:pPr>
        <w:pStyle w:val="Heading2"/>
      </w:pPr>
      <w:bookmarkStart w:id="175" w:name="_Toc104850135"/>
      <w:r>
        <w:lastRenderedPageBreak/>
        <w:t>Practical assistance to help customers reduce their energy costs, such as checking current energy offers and providing advice on the best energy offer available</w:t>
      </w:r>
      <w:bookmarkEnd w:id="175"/>
    </w:p>
    <w:p w14:paraId="6AD83C25" w14:textId="77777777" w:rsidR="00C43F4C" w:rsidRDefault="00C43F4C" w:rsidP="00C43F4C">
      <w:r>
        <w:t>Another way to help customers reduce their energy cost is by offering energy rates that best suit a customer’s energy use. Retailers are required to specifically help customers who cannot pay for their ongoing usage, specifically:</w:t>
      </w:r>
      <w:r>
        <w:rPr>
          <w:rStyle w:val="FootnoteReference"/>
        </w:rPr>
        <w:footnoteReference w:id="103"/>
      </w:r>
    </w:p>
    <w:p w14:paraId="04884118" w14:textId="77777777" w:rsidR="00C43F4C" w:rsidRDefault="00C43F4C" w:rsidP="00C43F4C">
      <w:pPr>
        <w:pStyle w:val="Quote"/>
      </w:pPr>
      <w:r>
        <w:t xml:space="preserve">(f) practical assistance to help a </w:t>
      </w:r>
      <w:r w:rsidRPr="0066444A">
        <w:rPr>
          <w:i/>
          <w:iCs w:val="0"/>
        </w:rPr>
        <w:t>residential customer</w:t>
      </w:r>
      <w:r>
        <w:t xml:space="preserve"> lower their </w:t>
      </w:r>
      <w:r w:rsidRPr="0066444A">
        <w:rPr>
          <w:i/>
          <w:iCs w:val="0"/>
        </w:rPr>
        <w:t>energy</w:t>
      </w:r>
      <w:r>
        <w:t xml:space="preserve"> costs including, but not limited to:</w:t>
      </w:r>
    </w:p>
    <w:p w14:paraId="7A35EDB0" w14:textId="77777777" w:rsidR="00C43F4C" w:rsidRDefault="00C43F4C" w:rsidP="00C43F4C">
      <w:pPr>
        <w:pStyle w:val="Quote"/>
        <w:ind w:left="993"/>
      </w:pPr>
      <w:r>
        <w:t xml:space="preserve">(i) </w:t>
      </w:r>
      <w:r>
        <w:tab/>
        <w:t xml:space="preserve">the tariff that is most likely to minimise the </w:t>
      </w:r>
      <w:r w:rsidRPr="0066444A">
        <w:rPr>
          <w:i/>
          <w:iCs w:val="0"/>
        </w:rPr>
        <w:t>residential customer’s energy</w:t>
      </w:r>
      <w:r>
        <w:t xml:space="preserve"> costs, based on the </w:t>
      </w:r>
      <w:r w:rsidRPr="0066444A">
        <w:rPr>
          <w:i/>
          <w:iCs w:val="0"/>
        </w:rPr>
        <w:t>retailer’s</w:t>
      </w:r>
      <w:r>
        <w:t xml:space="preserve"> knowledge of the </w:t>
      </w:r>
      <w:r w:rsidRPr="0066444A">
        <w:rPr>
          <w:i/>
          <w:iCs w:val="0"/>
        </w:rPr>
        <w:t>residential customer’s</w:t>
      </w:r>
      <w:r>
        <w:t xml:space="preserve"> pattern of </w:t>
      </w:r>
      <w:r w:rsidRPr="0066444A">
        <w:rPr>
          <w:i/>
          <w:iCs w:val="0"/>
        </w:rPr>
        <w:t>energy</w:t>
      </w:r>
      <w:r>
        <w:t xml:space="preserve"> use and payment history;</w:t>
      </w:r>
    </w:p>
    <w:p w14:paraId="01EC6D15" w14:textId="77777777" w:rsidR="00C43F4C" w:rsidRDefault="00C43F4C" w:rsidP="00C43F4C">
      <w:r>
        <w:t xml:space="preserve">Since the framework began, the commission also introduced a requirement for retailers to determine and notify customers of a ‘best offer’ – a message on a customer’s energy </w:t>
      </w:r>
      <w:r w:rsidRPr="0062480B">
        <w:t xml:space="preserve">bill </w:t>
      </w:r>
      <w:r>
        <w:t xml:space="preserve">detailing </w:t>
      </w:r>
      <w:r w:rsidRPr="0062480B">
        <w:t xml:space="preserve">whether </w:t>
      </w:r>
      <w:r>
        <w:t xml:space="preserve">they are </w:t>
      </w:r>
      <w:r w:rsidRPr="0062480B">
        <w:t>on the best energy plan</w:t>
      </w:r>
      <w:r>
        <w:t>,</w:t>
      </w:r>
      <w:r w:rsidRPr="0062480B">
        <w:t xml:space="preserve"> </w:t>
      </w:r>
      <w:r>
        <w:t>or</w:t>
      </w:r>
      <w:r w:rsidRPr="0062480B">
        <w:t xml:space="preserve"> how much the customer could save by switching.</w:t>
      </w:r>
      <w:r>
        <w:rPr>
          <w:rStyle w:val="FootnoteReference"/>
        </w:rPr>
        <w:footnoteReference w:id="104"/>
      </w:r>
      <w:r>
        <w:t xml:space="preserve"> These reforms were consulted on after the development of the framework and took effect from 1 July 2019.</w:t>
      </w:r>
    </w:p>
    <w:p w14:paraId="662160B8" w14:textId="2922C5C0" w:rsidR="00C43F4C" w:rsidRDefault="00C43F4C" w:rsidP="00C43F4C">
      <w:r>
        <w:t>Over the past two years, we gathered information on electricity customer bills from retailers, including information on customers’ offers, electricity rates and consumption.</w:t>
      </w:r>
      <w:r>
        <w:rPr>
          <w:rStyle w:val="FootnoteReference"/>
        </w:rPr>
        <w:footnoteReference w:id="105"/>
      </w:r>
      <w:r>
        <w:t xml:space="preserve"> We a</w:t>
      </w:r>
      <w:r w:rsidRPr="000E79E4">
        <w:t xml:space="preserve">nalysed </w:t>
      </w:r>
      <w:r>
        <w:t>nearly two</w:t>
      </w:r>
      <w:r w:rsidRPr="000E79E4">
        <w:t xml:space="preserve"> million bills</w:t>
      </w:r>
      <w:r>
        <w:t xml:space="preserve"> relating to approximately </w:t>
      </w:r>
      <w:r w:rsidR="00F47B52">
        <w:t>285</w:t>
      </w:r>
      <w:r w:rsidRPr="000E79E4">
        <w:t xml:space="preserve">,000 accounts across nine </w:t>
      </w:r>
      <w:r>
        <w:t xml:space="preserve">large and medium </w:t>
      </w:r>
      <w:r w:rsidRPr="000E79E4">
        <w:t xml:space="preserve">retailers </w:t>
      </w:r>
      <w:r>
        <w:t xml:space="preserve">in Victoria – </w:t>
      </w:r>
      <w:r w:rsidRPr="000E79E4">
        <w:t xml:space="preserve">around </w:t>
      </w:r>
      <w:r w:rsidR="008F0BE5" w:rsidRPr="000E79E4">
        <w:t>1</w:t>
      </w:r>
      <w:r w:rsidR="008F0BE5">
        <w:t>0</w:t>
      </w:r>
      <w:r w:rsidR="008F0BE5" w:rsidRPr="000E79E4">
        <w:t xml:space="preserve"> </w:t>
      </w:r>
      <w:r w:rsidRPr="000E79E4">
        <w:t>per cent of Victoria</w:t>
      </w:r>
      <w:r>
        <w:t>n electricity customers</w:t>
      </w:r>
      <w:r w:rsidRPr="000E79E4">
        <w:t>.</w:t>
      </w:r>
      <w:r>
        <w:t xml:space="preserve"> Of these bills, </w:t>
      </w:r>
      <w:r w:rsidR="000C00BA">
        <w:t xml:space="preserve"> around three</w:t>
      </w:r>
      <w:r>
        <w:t xml:space="preserve"> per cent were categorised as ‘hardship customers’, noting that around 2.2 per cent of Victorian </w:t>
      </w:r>
      <w:r w:rsidR="00F10D84">
        <w:t>customer</w:t>
      </w:r>
      <w:r>
        <w:t>s were receiving tailored assistance on 31 December 2021</w:t>
      </w:r>
      <w:r w:rsidRPr="000E79E4">
        <w:t>.</w:t>
      </w:r>
      <w:r w:rsidRPr="00A269D6">
        <w:rPr>
          <w:rStyle w:val="FootnoteReference"/>
        </w:rPr>
        <w:footnoteReference w:id="106"/>
      </w:r>
      <w:r w:rsidRPr="000E79E4">
        <w:t xml:space="preserve"> </w:t>
      </w:r>
    </w:p>
    <w:p w14:paraId="2988657D" w14:textId="1C73A6B2" w:rsidR="00C43F4C" w:rsidRPr="00894535" w:rsidRDefault="00C43F4C" w:rsidP="00C43F4C">
      <w:pPr>
        <w:pStyle w:val="Heading3"/>
      </w:pPr>
      <w:r>
        <w:lastRenderedPageBreak/>
        <w:t>C</w:t>
      </w:r>
      <w:r w:rsidRPr="00894535">
        <w:t>ustomer</w:t>
      </w:r>
      <w:r>
        <w:t>s</w:t>
      </w:r>
      <w:r w:rsidRPr="00894535">
        <w:t xml:space="preserve"> receiving assistance pay slightly lower electricity rates compared to average, but some customers are paying much higher rates</w:t>
      </w:r>
    </w:p>
    <w:p w14:paraId="4C845762" w14:textId="1F446407" w:rsidR="00C43F4C" w:rsidRDefault="00C43F4C" w:rsidP="00C43F4C">
      <w:r>
        <w:t xml:space="preserve">Our analysis of customer bills indicates that across Victoria on average, customers receiving assistance are being charged around the same or slightly less than other customers. This was consistent across all almost </w:t>
      </w:r>
      <w:r w:rsidRPr="00EE11E9">
        <w:t>all the retailers we analysed (</w:t>
      </w:r>
      <w:r w:rsidR="00EE11E9" w:rsidRPr="00EE11E9">
        <w:fldChar w:fldCharType="begin"/>
      </w:r>
      <w:r w:rsidR="00EE11E9" w:rsidRPr="00EE11E9">
        <w:instrText xml:space="preserve"> REF _Ref103952319 \h </w:instrText>
      </w:r>
      <w:r w:rsidR="00EE11E9">
        <w:instrText xml:space="preserve"> \* MERGEFORMAT </w:instrText>
      </w:r>
      <w:r w:rsidR="00EE11E9" w:rsidRPr="00EE11E9">
        <w:fldChar w:fldCharType="separate"/>
      </w:r>
      <w:r w:rsidR="00357DD7">
        <w:t xml:space="preserve">Figure </w:t>
      </w:r>
      <w:r w:rsidR="00357DD7">
        <w:rPr>
          <w:noProof/>
        </w:rPr>
        <w:t>28</w:t>
      </w:r>
      <w:r w:rsidR="00EE11E9" w:rsidRPr="00EE11E9">
        <w:fldChar w:fldCharType="end"/>
      </w:r>
      <w:r w:rsidRPr="00EE11E9">
        <w:t>). This</w:t>
      </w:r>
      <w:r>
        <w:t xml:space="preserve"> suggests that on average, retailers have placed customers in payment difficulty on more appropriate energy tariffs</w:t>
      </w:r>
      <w:r w:rsidRPr="0065484B">
        <w:t>.</w:t>
      </w:r>
      <w:r>
        <w:rPr>
          <w:rStyle w:val="FootnoteReference"/>
        </w:rPr>
        <w:footnoteReference w:id="107"/>
      </w:r>
      <w:r w:rsidR="008F48DD">
        <w:t xml:space="preserve"> </w:t>
      </w:r>
      <w:r w:rsidR="00FE2FCC">
        <w:t xml:space="preserve">The Consumer </w:t>
      </w:r>
      <w:r w:rsidR="00F378FF">
        <w:t>Policy Research Centre</w:t>
      </w:r>
      <w:r w:rsidR="008F48DD">
        <w:t>, in particular,</w:t>
      </w:r>
      <w:r w:rsidR="00F378FF">
        <w:t xml:space="preserve"> noted that </w:t>
      </w:r>
      <w:r w:rsidR="00B916F8" w:rsidRPr="0065484B">
        <w:t>retailers</w:t>
      </w:r>
      <w:r w:rsidRPr="0065484B">
        <w:t xml:space="preserve"> have been more proactive in checking if a better tariff </w:t>
      </w:r>
      <w:r>
        <w:t xml:space="preserve">is </w:t>
      </w:r>
      <w:r w:rsidRPr="0065484B">
        <w:t>available for customers since the introduction of the framework.</w:t>
      </w:r>
      <w:r>
        <w:rPr>
          <w:rStyle w:val="FootnoteReference"/>
        </w:rPr>
        <w:footnoteReference w:id="108"/>
      </w:r>
      <w:r w:rsidRPr="0065484B">
        <w:t xml:space="preserve"> </w:t>
      </w:r>
      <w:r w:rsidR="00662509">
        <w:t xml:space="preserve">The Energy and Water Ombudsman notes that </w:t>
      </w:r>
      <w:r w:rsidR="00DE46A3">
        <w:t xml:space="preserve">they have seen an increase in the number of tariff checks conducted by retailers </w:t>
      </w:r>
      <w:r w:rsidR="002A190F">
        <w:t>in</w:t>
      </w:r>
      <w:r w:rsidR="00C86BE4">
        <w:t xml:space="preserve"> customers’ cases prior to </w:t>
      </w:r>
      <w:r w:rsidR="00183D1C">
        <w:t xml:space="preserve">the customer </w:t>
      </w:r>
      <w:r w:rsidR="00460758">
        <w:t xml:space="preserve">contacting </w:t>
      </w:r>
      <w:r w:rsidR="00183D1C">
        <w:t>them</w:t>
      </w:r>
      <w:r w:rsidR="00F14637">
        <w:t>.</w:t>
      </w:r>
      <w:r w:rsidR="00183D1C">
        <w:rPr>
          <w:rStyle w:val="FootnoteReference"/>
        </w:rPr>
        <w:footnoteReference w:id="109"/>
      </w:r>
      <w:r w:rsidR="00F14637">
        <w:t xml:space="preserve"> </w:t>
      </w:r>
    </w:p>
    <w:p w14:paraId="0C1922A5" w14:textId="51D51AD2" w:rsidR="00C43F4C" w:rsidRDefault="00C43F4C" w:rsidP="00C43F4C">
      <w:bookmarkStart w:id="176" w:name="_Ref99633138"/>
      <w:bookmarkStart w:id="177" w:name="_Toc100134476"/>
      <w:bookmarkStart w:id="178" w:name="_Toc100137038"/>
      <w:bookmarkStart w:id="179" w:name="_Toc102095479"/>
      <w:r>
        <w:t xml:space="preserve">However, the amount specific customers are being billed (as a monetary charge for every unit of electricity) can range widely. </w:t>
      </w:r>
      <w:r>
        <w:fldChar w:fldCharType="begin"/>
      </w:r>
      <w:r>
        <w:instrText xml:space="preserve"> REF _Ref102089257 \h </w:instrText>
      </w:r>
      <w:r>
        <w:fldChar w:fldCharType="separate"/>
      </w:r>
      <w:r w:rsidR="00357DD7">
        <w:t xml:space="preserve">Figure </w:t>
      </w:r>
      <w:r w:rsidR="00357DD7">
        <w:rPr>
          <w:noProof/>
        </w:rPr>
        <w:t>29</w:t>
      </w:r>
      <w:r>
        <w:fldChar w:fldCharType="end"/>
      </w:r>
      <w:r>
        <w:t xml:space="preserve"> shows the distribution of electricity rates paid by customers receiving assistance, with the 10</w:t>
      </w:r>
      <w:r w:rsidRPr="00A241DE">
        <w:rPr>
          <w:vertAlign w:val="superscript"/>
        </w:rPr>
        <w:t>th</w:t>
      </w:r>
      <w:r>
        <w:t xml:space="preserve"> percentile paying 0.23c per kWh and the 90</w:t>
      </w:r>
      <w:r w:rsidRPr="00A241DE">
        <w:rPr>
          <w:vertAlign w:val="superscript"/>
        </w:rPr>
        <w:t>th</w:t>
      </w:r>
      <w:r>
        <w:t xml:space="preserve"> percentile paying 0.41c per kWh.</w:t>
      </w:r>
    </w:p>
    <w:p w14:paraId="3B52D7D4" w14:textId="7677C746" w:rsidR="00C43F4C" w:rsidRDefault="00902528" w:rsidP="00902528">
      <w:pPr>
        <w:pStyle w:val="Figureheading"/>
      </w:pPr>
      <w:bookmarkStart w:id="180" w:name="_Ref103952319"/>
      <w:bookmarkStart w:id="181" w:name="_Toc103943798"/>
      <w:bookmarkEnd w:id="176"/>
      <w:r>
        <w:t xml:space="preserve">Figure </w:t>
      </w:r>
      <w:r>
        <w:fldChar w:fldCharType="begin"/>
      </w:r>
      <w:r>
        <w:instrText>SEQ Figure \* ARABIC</w:instrText>
      </w:r>
      <w:r>
        <w:fldChar w:fldCharType="separate"/>
      </w:r>
      <w:r w:rsidR="00357DD7">
        <w:rPr>
          <w:noProof/>
        </w:rPr>
        <w:t>28</w:t>
      </w:r>
      <w:r>
        <w:fldChar w:fldCharType="end"/>
      </w:r>
      <w:bookmarkEnd w:id="180"/>
      <w:r>
        <w:tab/>
      </w:r>
      <w:r w:rsidR="00C43F4C">
        <w:t>Effective cost per kWh by retailer</w:t>
      </w:r>
      <w:bookmarkEnd w:id="177"/>
      <w:bookmarkEnd w:id="178"/>
      <w:bookmarkEnd w:id="179"/>
      <w:r w:rsidR="00C43F4C">
        <w:t>, between 1 Jan 2019 and 30 Dec 2020</w:t>
      </w:r>
      <w:bookmarkEnd w:id="181"/>
      <w:r w:rsidR="00732DCA">
        <w:t>, by retailer, deidentified</w:t>
      </w:r>
    </w:p>
    <w:p w14:paraId="742EA938" w14:textId="71587AE4" w:rsidR="00C43F4C" w:rsidRDefault="003D3563" w:rsidP="00C43F4C">
      <w:bookmarkStart w:id="182" w:name="_Ref99635936"/>
      <w:r w:rsidRPr="003D3563">
        <w:rPr>
          <w:noProof/>
        </w:rPr>
        <w:drawing>
          <wp:inline distT="0" distB="0" distL="0" distR="0" wp14:anchorId="249734C0" wp14:editId="05503BFC">
            <wp:extent cx="6115050" cy="1800225"/>
            <wp:effectExtent l="0" t="0" r="0" b="9525"/>
            <wp:docPr id="50" name="Picture 50" descr="Bar chart showing the effective cost per kilo watt hour by retailer between 1 January 2019 and 30 December 2020. The chart compares customers not receiving tailored assistance and customers receiving tailored assistance. Customers receiving assistance pay slightly less in most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ar chart showing the effective cost per kilo watt hour by retailer between 1 January 2019 and 30 December 2020. The chart compares customers not receiving tailored assistance and customers receiving tailored assistance. Customers receiving assistance pay slightly less in most case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15050" cy="1800225"/>
                    </a:xfrm>
                    <a:prstGeom prst="rect">
                      <a:avLst/>
                    </a:prstGeom>
                    <a:noFill/>
                    <a:ln>
                      <a:noFill/>
                    </a:ln>
                  </pic:spPr>
                </pic:pic>
              </a:graphicData>
            </a:graphic>
          </wp:inline>
        </w:drawing>
      </w:r>
    </w:p>
    <w:p w14:paraId="3D1EB4F1" w14:textId="13D10898" w:rsidR="00C43F4C" w:rsidRDefault="005D245E" w:rsidP="00F10D84">
      <w:pPr>
        <w:pStyle w:val="Caption"/>
      </w:pPr>
      <w:r>
        <w:lastRenderedPageBreak/>
        <w:t xml:space="preserve">Source: </w:t>
      </w:r>
      <w:r w:rsidR="00C43F4C">
        <w:t>Confidential data from nine retailers between 1 January 2019 and 30 December 2020, as per the Australian Competition and Consumer Commission’s project on electricity marketing monitoring between 2018 and 2025.</w:t>
      </w:r>
      <w:r w:rsidR="00C43F4C" w:rsidRPr="00664F82">
        <w:t xml:space="preserve"> </w:t>
      </w:r>
      <w:r w:rsidR="00C43F4C">
        <w:t xml:space="preserve">Tailored assistance customers are </w:t>
      </w:r>
      <w:r w:rsidR="00C43F4C">
        <w:rPr>
          <w:lang w:val="en-GB"/>
        </w:rPr>
        <w:t>defined as hardship customers in the data.</w:t>
      </w:r>
    </w:p>
    <w:p w14:paraId="5E105518" w14:textId="609882DE" w:rsidR="00C43F4C" w:rsidRDefault="00C43F4C" w:rsidP="00F14D9A">
      <w:pPr>
        <w:pStyle w:val="Figure-Table-BoxHeading"/>
        <w:keepNext/>
        <w:keepLines/>
        <w:numPr>
          <w:ilvl w:val="0"/>
          <w:numId w:val="0"/>
        </w:numPr>
        <w:rPr>
          <w:lang w:val="en-GB"/>
        </w:rPr>
      </w:pPr>
      <w:bookmarkStart w:id="183" w:name="_Ref102089257"/>
      <w:bookmarkStart w:id="184" w:name="_Toc102095480"/>
      <w:bookmarkStart w:id="185" w:name="_Toc103943799"/>
      <w:bookmarkStart w:id="186" w:name="_Toc100134477"/>
      <w:bookmarkStart w:id="187" w:name="_Toc100137039"/>
      <w:r>
        <w:t xml:space="preserve">Figure </w:t>
      </w:r>
      <w:r>
        <w:fldChar w:fldCharType="begin"/>
      </w:r>
      <w:r>
        <w:instrText>SEQ Figure \* ARABIC</w:instrText>
      </w:r>
      <w:r>
        <w:fldChar w:fldCharType="separate"/>
      </w:r>
      <w:r w:rsidR="00357DD7">
        <w:rPr>
          <w:noProof/>
        </w:rPr>
        <w:t>29</w:t>
      </w:r>
      <w:r>
        <w:fldChar w:fldCharType="end"/>
      </w:r>
      <w:bookmarkEnd w:id="182"/>
      <w:bookmarkEnd w:id="183"/>
      <w:r>
        <w:tab/>
        <w:t>Effective electricity cost per kWh</w:t>
      </w:r>
      <w:r w:rsidR="00732DCA">
        <w:t>,</w:t>
      </w:r>
      <w:r>
        <w:t xml:space="preserve"> by percentile</w:t>
      </w:r>
      <w:bookmarkEnd w:id="184"/>
      <w:bookmarkEnd w:id="185"/>
    </w:p>
    <w:p w14:paraId="339D67DD" w14:textId="3B746569" w:rsidR="00C43F4C" w:rsidRDefault="004A7FD7" w:rsidP="006F27ED">
      <w:pPr>
        <w:rPr>
          <w:lang w:val="en-GB"/>
        </w:rPr>
      </w:pPr>
      <w:r w:rsidRPr="004A7FD7">
        <w:rPr>
          <w:noProof/>
        </w:rPr>
        <w:drawing>
          <wp:inline distT="0" distB="0" distL="0" distR="0" wp14:anchorId="6EF222A8" wp14:editId="58AADF51">
            <wp:extent cx="6120000" cy="2450159"/>
            <wp:effectExtent l="0" t="0" r="0" b="7620"/>
            <wp:docPr id="51" name="Picture 51" descr="Bar chart showing effective electricity cost per kilo watt hour by percentile. The graph compares customers receiving tailored assistance to customers not receiving tailored assistance. Customers receiving tailored assistance pay less in all cases, but the difference is greater in the higher perce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Bar chart showing effective electricity cost per kilo watt hour by percentile. The graph compares customers receiving tailored assistance to customers not receiving tailored assistance. Customers receiving tailored assistance pay less in all cases, but the difference is greater in the higher percentile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20000" cy="2450159"/>
                    </a:xfrm>
                    <a:prstGeom prst="rect">
                      <a:avLst/>
                    </a:prstGeom>
                    <a:noFill/>
                    <a:ln>
                      <a:noFill/>
                    </a:ln>
                  </pic:spPr>
                </pic:pic>
              </a:graphicData>
            </a:graphic>
          </wp:inline>
        </w:drawing>
      </w:r>
    </w:p>
    <w:p w14:paraId="6531D75C" w14:textId="00140F8D" w:rsidR="00D70FDB" w:rsidRPr="008B1F91" w:rsidRDefault="005C7C73" w:rsidP="008F28A3">
      <w:pPr>
        <w:pStyle w:val="Caption"/>
      </w:pPr>
      <w:r w:rsidRPr="008B1F91">
        <w:t xml:space="preserve">Source: </w:t>
      </w:r>
      <w:r w:rsidR="00D70FDB" w:rsidRPr="008B1F91">
        <w:t>Confidential data from nine retailers between 1 January 2019 and 30 December 2020, as per the Australian Competition and Consumer Commission’s project on electricity marketing monitoring between 2018 and 2025. Tailored assistance customers are defined as hardship customers in the data.</w:t>
      </w:r>
    </w:p>
    <w:p w14:paraId="6246D385" w14:textId="74BE095F" w:rsidR="00C43F4C" w:rsidRDefault="00C43F4C" w:rsidP="00C43F4C">
      <w:r>
        <w:rPr>
          <w:lang w:val="en-GB"/>
        </w:rPr>
        <w:t xml:space="preserve">This indicates that while customers receiving assistance receive information on lower energy offers, including pointing to the best offer messages on bills, customers might not be acting on that information for various reasons. For example, the Consumer Action Law Centre noted that customers seeking assistance, even with community support organisations, might have reduced capacity to act having been </w:t>
      </w:r>
      <w:r>
        <w:t>already overwhelmed by financial strain.</w:t>
      </w:r>
      <w:r>
        <w:rPr>
          <w:rStyle w:val="FootnoteReference"/>
        </w:rPr>
        <w:footnoteReference w:id="110"/>
      </w:r>
      <w:r>
        <w:t xml:space="preserve"> </w:t>
      </w:r>
    </w:p>
    <w:p w14:paraId="522D7C58" w14:textId="77777777" w:rsidR="00C43F4C" w:rsidRDefault="00C43F4C" w:rsidP="00C43F4C">
      <w:r>
        <w:t>Community Information and Support Victoria and Council on the Ageing Victoria noted that some customers may not be as aware of information on better offers, as many vulnerable customers may not have reliable internet or email access, are not technology-literate, have low-literacy, or do not use English as their primary language.</w:t>
      </w:r>
      <w:r>
        <w:rPr>
          <w:rStyle w:val="FootnoteReference"/>
        </w:rPr>
        <w:footnoteReference w:id="111"/>
      </w:r>
    </w:p>
    <w:bookmarkEnd w:id="186"/>
    <w:bookmarkEnd w:id="187"/>
    <w:p w14:paraId="36080C71" w14:textId="6AD45526" w:rsidR="00C43F4C" w:rsidRDefault="00C43F4C" w:rsidP="00C43F4C">
      <w:r>
        <w:lastRenderedPageBreak/>
        <w:t xml:space="preserve">Based on the call recordings we collected, </w:t>
      </w:r>
      <w:r w:rsidR="00CD7E5F">
        <w:t>39</w:t>
      </w:r>
      <w:r>
        <w:t xml:space="preserve"> per cent of customers were offered assistance </w:t>
      </w:r>
      <w:r w:rsidR="00BD593C">
        <w:t xml:space="preserve">over the phone at least once, </w:t>
      </w:r>
      <w:r>
        <w:t>to change their energy plan in order to minimise their costs.</w:t>
      </w:r>
      <w:r w:rsidR="00CD7E5F">
        <w:rPr>
          <w:rStyle w:val="FootnoteReference"/>
        </w:rPr>
        <w:footnoteReference w:id="112"/>
      </w:r>
      <w:r>
        <w:t xml:space="preserve"> However, </w:t>
      </w:r>
      <w:r w:rsidR="00784B49">
        <w:t>Energy and Water Ombudsman of Victoria</w:t>
      </w:r>
      <w:r w:rsidRPr="00B54983">
        <w:t xml:space="preserve"> noted that it </w:t>
      </w:r>
      <w:r>
        <w:t xml:space="preserve">regularly saw </w:t>
      </w:r>
      <w:r w:rsidRPr="00B54983">
        <w:t xml:space="preserve">customers with </w:t>
      </w:r>
      <w:r>
        <w:t xml:space="preserve">large arrears </w:t>
      </w:r>
      <w:r w:rsidRPr="00B54983">
        <w:t>on high tariff energy plans who had not been offered utility relief grants or tariff reviews.</w:t>
      </w:r>
      <w:r w:rsidRPr="00B54983">
        <w:rPr>
          <w:rStyle w:val="FootnoteReference"/>
        </w:rPr>
        <w:footnoteReference w:id="113"/>
      </w:r>
    </w:p>
    <w:p w14:paraId="6DD22809" w14:textId="77777777" w:rsidR="00C43F4C" w:rsidRPr="002C34D3" w:rsidRDefault="00C43F4C" w:rsidP="00C43F4C">
      <w:r>
        <w:t>With the best offer message available on customers’ bills, there may be an opportunity for retailers to more actively assist customers who have been notified of a better energy plan that could suit their needs.</w:t>
      </w:r>
    </w:p>
    <w:p w14:paraId="3256CB12" w14:textId="77777777" w:rsidR="00C43F4C" w:rsidRPr="00894535" w:rsidRDefault="00C43F4C" w:rsidP="00C43F4C">
      <w:pPr>
        <w:pStyle w:val="Heading3"/>
      </w:pPr>
      <w:bookmarkStart w:id="188" w:name="_Toc100146992"/>
      <w:r w:rsidRPr="00787DDA">
        <w:t>Customers receiving assistance are more likely to rece</w:t>
      </w:r>
      <w:r w:rsidRPr="00894535">
        <w:t>ive quarterly bills</w:t>
      </w:r>
      <w:bookmarkEnd w:id="188"/>
    </w:p>
    <w:p w14:paraId="4A8B3C92" w14:textId="4A020F95" w:rsidR="00C43F4C" w:rsidRDefault="00C43F4C" w:rsidP="00C43F4C">
      <w:pPr>
        <w:rPr>
          <w:lang w:val="en-GB"/>
        </w:rPr>
      </w:pPr>
      <w:r>
        <w:rPr>
          <w:lang w:val="en-GB"/>
        </w:rPr>
        <w:t>Our analysis of electricity bills shows that customers receiving assistance appear more likely to be billed quarterly (90 days or more) compared to being billed fortnightly, monthly, or bimonthly. Around 60 per cent of customers receiving assistance are being billed for electricity on a quarterly basis (</w:t>
      </w:r>
      <w:r>
        <w:rPr>
          <w:lang w:val="en-GB"/>
        </w:rPr>
        <w:fldChar w:fldCharType="begin"/>
      </w:r>
      <w:r>
        <w:rPr>
          <w:lang w:val="en-GB"/>
        </w:rPr>
        <w:instrText xml:space="preserve"> REF _Ref99636076 \h </w:instrText>
      </w:r>
      <w:r>
        <w:rPr>
          <w:lang w:val="en-GB"/>
        </w:rPr>
      </w:r>
      <w:r>
        <w:rPr>
          <w:lang w:val="en-GB"/>
        </w:rPr>
        <w:fldChar w:fldCharType="separate"/>
      </w:r>
      <w:r w:rsidR="00357DD7">
        <w:t xml:space="preserve">Figure </w:t>
      </w:r>
      <w:r w:rsidR="00357DD7">
        <w:rPr>
          <w:noProof/>
        </w:rPr>
        <w:t>30</w:t>
      </w:r>
      <w:r>
        <w:rPr>
          <w:lang w:val="en-GB"/>
        </w:rPr>
        <w:fldChar w:fldCharType="end"/>
      </w:r>
      <w:r w:rsidR="00475D44">
        <w:rPr>
          <w:lang w:val="en-GB"/>
        </w:rPr>
        <w:fldChar w:fldCharType="begin"/>
      </w:r>
      <w:r w:rsidR="00475D44">
        <w:rPr>
          <w:lang w:val="en-GB"/>
        </w:rPr>
        <w:instrText xml:space="preserve"> REF _Ref99636076 \h </w:instrText>
      </w:r>
      <w:r w:rsidR="00475D44">
        <w:rPr>
          <w:lang w:val="en-GB"/>
        </w:rPr>
      </w:r>
      <w:r w:rsidR="00475D44">
        <w:rPr>
          <w:lang w:val="en-GB"/>
        </w:rPr>
        <w:fldChar w:fldCharType="separate"/>
      </w:r>
      <w:r w:rsidR="00357DD7">
        <w:t xml:space="preserve">Figure </w:t>
      </w:r>
      <w:r w:rsidR="00357DD7">
        <w:rPr>
          <w:noProof/>
        </w:rPr>
        <w:t>30</w:t>
      </w:r>
      <w:r w:rsidR="00475D44">
        <w:rPr>
          <w:lang w:val="en-GB"/>
        </w:rPr>
        <w:fldChar w:fldCharType="end"/>
      </w:r>
      <w:r>
        <w:rPr>
          <w:lang w:val="en-GB"/>
        </w:rPr>
        <w:t>).</w:t>
      </w:r>
      <w:r w:rsidR="00E2143E">
        <w:rPr>
          <w:lang w:val="en-GB"/>
        </w:rPr>
        <w:t xml:space="preserve"> </w:t>
      </w:r>
      <w:r>
        <w:rPr>
          <w:lang w:val="en-GB"/>
        </w:rPr>
        <w:t>However, it appears that billing frequency varies by retailer, with four retailers having most of their customers billed monthly (</w:t>
      </w:r>
      <w:r>
        <w:rPr>
          <w:lang w:val="en-GB"/>
        </w:rPr>
        <w:fldChar w:fldCharType="begin"/>
      </w:r>
      <w:r>
        <w:rPr>
          <w:lang w:val="en-GB"/>
        </w:rPr>
        <w:instrText xml:space="preserve"> REF _Ref99636469 \h </w:instrText>
      </w:r>
      <w:r>
        <w:rPr>
          <w:lang w:val="en-GB"/>
        </w:rPr>
      </w:r>
      <w:r>
        <w:rPr>
          <w:lang w:val="en-GB"/>
        </w:rPr>
        <w:fldChar w:fldCharType="separate"/>
      </w:r>
      <w:r w:rsidR="00357DD7">
        <w:t xml:space="preserve">Figure </w:t>
      </w:r>
      <w:r w:rsidR="00357DD7">
        <w:rPr>
          <w:noProof/>
        </w:rPr>
        <w:t>31</w:t>
      </w:r>
      <w:r>
        <w:rPr>
          <w:lang w:val="en-GB"/>
        </w:rPr>
        <w:fldChar w:fldCharType="end"/>
      </w:r>
      <w:r>
        <w:rPr>
          <w:lang w:val="en-GB"/>
        </w:rPr>
        <w:t>). We note that this analysis is limited to electricity, where almost all Victoria customers have smart meters, making frequent billing periods more straightforward</w:t>
      </w:r>
      <w:r w:rsidR="00A84CE6">
        <w:rPr>
          <w:lang w:val="en-GB"/>
        </w:rPr>
        <w:t xml:space="preserve"> compared to gas</w:t>
      </w:r>
      <w:r>
        <w:rPr>
          <w:lang w:val="en-GB"/>
        </w:rPr>
        <w:t>.</w:t>
      </w:r>
    </w:p>
    <w:p w14:paraId="33BE8628" w14:textId="39CB4A46" w:rsidR="00C43F4C" w:rsidRDefault="00C43F4C" w:rsidP="005C7C73">
      <w:pPr>
        <w:pStyle w:val="Figure-Table-BoxHeading"/>
        <w:keepNext/>
        <w:keepLines/>
        <w:numPr>
          <w:ilvl w:val="0"/>
          <w:numId w:val="0"/>
        </w:numPr>
        <w:rPr>
          <w:lang w:val="en-GB"/>
        </w:rPr>
      </w:pPr>
      <w:bookmarkStart w:id="189" w:name="_Ref99636076"/>
      <w:bookmarkStart w:id="190" w:name="_Toc100134478"/>
      <w:bookmarkStart w:id="191" w:name="_Toc100137040"/>
      <w:bookmarkStart w:id="192" w:name="_Toc102095481"/>
      <w:bookmarkStart w:id="193" w:name="_Toc103943800"/>
      <w:r>
        <w:t xml:space="preserve">Figure </w:t>
      </w:r>
      <w:r>
        <w:fldChar w:fldCharType="begin"/>
      </w:r>
      <w:r>
        <w:instrText>SEQ Figure \* ARABIC</w:instrText>
      </w:r>
      <w:r>
        <w:fldChar w:fldCharType="separate"/>
      </w:r>
      <w:r w:rsidR="00357DD7">
        <w:rPr>
          <w:noProof/>
        </w:rPr>
        <w:t>30</w:t>
      </w:r>
      <w:r>
        <w:fldChar w:fldCharType="end"/>
      </w:r>
      <w:bookmarkEnd w:id="189"/>
      <w:r>
        <w:tab/>
      </w:r>
      <w:r w:rsidR="00732DCA">
        <w:t>Customers’ b</w:t>
      </w:r>
      <w:r>
        <w:t>ill frequency, by customers</w:t>
      </w:r>
      <w:bookmarkEnd w:id="190"/>
      <w:bookmarkEnd w:id="191"/>
      <w:bookmarkEnd w:id="192"/>
      <w:r>
        <w:t xml:space="preserve"> receiving </w:t>
      </w:r>
      <w:r w:rsidR="00B520DD">
        <w:t xml:space="preserve">and not </w:t>
      </w:r>
      <w:r w:rsidR="00B73455">
        <w:t>receiving</w:t>
      </w:r>
      <w:r w:rsidR="00B520DD">
        <w:t xml:space="preserve"> </w:t>
      </w:r>
      <w:r>
        <w:t>tailored assistance</w:t>
      </w:r>
      <w:bookmarkEnd w:id="193"/>
      <w:r w:rsidRPr="00E26D08">
        <w:rPr>
          <w:lang w:val="en-GB"/>
        </w:rPr>
        <w:t xml:space="preserve"> </w:t>
      </w:r>
      <w:r w:rsidR="00273A89" w:rsidRPr="00273A89">
        <w:rPr>
          <w:noProof/>
        </w:rPr>
        <w:drawing>
          <wp:inline distT="0" distB="0" distL="0" distR="0" wp14:anchorId="59C9783F" wp14:editId="535217C2">
            <wp:extent cx="6120000" cy="2029263"/>
            <wp:effectExtent l="0" t="0" r="0" b="9525"/>
            <wp:docPr id="52" name="Picture 52" descr="Bar chart comparing the bill frequency of customers receiving and not receiving tailored assistance. The majority of bills are either monthly or quarterly with more tailored assistance customers paying quarter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ar chart comparing the bill frequency of customers receiving and not receiving tailored assistance. The majority of bills are either monthly or quarterly with more tailored assistance customers paying quarterly. "/>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000" cy="2029263"/>
                    </a:xfrm>
                    <a:prstGeom prst="rect">
                      <a:avLst/>
                    </a:prstGeom>
                    <a:noFill/>
                    <a:ln>
                      <a:noFill/>
                    </a:ln>
                  </pic:spPr>
                </pic:pic>
              </a:graphicData>
            </a:graphic>
          </wp:inline>
        </w:drawing>
      </w:r>
    </w:p>
    <w:p w14:paraId="2F2D6900" w14:textId="01594C9E" w:rsidR="00C43F4C" w:rsidRDefault="005C7C73" w:rsidP="00F10D84">
      <w:pPr>
        <w:pStyle w:val="Caption"/>
        <w:spacing w:after="360"/>
        <w:rPr>
          <w:lang w:val="en-GB"/>
        </w:rPr>
      </w:pPr>
      <w:r>
        <w:t xml:space="preserve">Source: </w:t>
      </w:r>
      <w:r w:rsidR="00C43F4C">
        <w:t>Confidential data from nine retailers</w:t>
      </w:r>
      <w:r w:rsidR="00C43F4C" w:rsidRPr="00FF59FF">
        <w:t xml:space="preserve"> </w:t>
      </w:r>
      <w:r w:rsidR="00C43F4C">
        <w:t xml:space="preserve">between 1 January 2019 and 30 December 2020, as per Australian Competition and Consumer Commission’s project on electricity marketing monitoring between 2018 and 2025. Tailored assistance customers are </w:t>
      </w:r>
      <w:r w:rsidR="00C43F4C">
        <w:rPr>
          <w:lang w:val="en-GB"/>
        </w:rPr>
        <w:t>defined as hardship customers in the data.</w:t>
      </w:r>
    </w:p>
    <w:p w14:paraId="7C21EEE0" w14:textId="19758DC0" w:rsidR="00C43F4C" w:rsidRPr="00CC102E" w:rsidRDefault="00C43F4C" w:rsidP="00F14D9A">
      <w:pPr>
        <w:pStyle w:val="Figure-Table-BoxHeading"/>
        <w:keepNext/>
        <w:keepLines/>
        <w:numPr>
          <w:ilvl w:val="0"/>
          <w:numId w:val="0"/>
        </w:numPr>
        <w:ind w:left="851" w:hanging="851"/>
      </w:pPr>
      <w:bookmarkStart w:id="194" w:name="_Ref99636469"/>
      <w:bookmarkStart w:id="195" w:name="_Toc100134479"/>
      <w:bookmarkStart w:id="196" w:name="_Toc100137041"/>
      <w:bookmarkStart w:id="197" w:name="_Toc102095482"/>
      <w:bookmarkStart w:id="198" w:name="_Toc103943801"/>
      <w:r>
        <w:lastRenderedPageBreak/>
        <w:t xml:space="preserve">Figure </w:t>
      </w:r>
      <w:r>
        <w:fldChar w:fldCharType="begin"/>
      </w:r>
      <w:r>
        <w:instrText>SEQ Figure \* ARABIC</w:instrText>
      </w:r>
      <w:r>
        <w:fldChar w:fldCharType="separate"/>
      </w:r>
      <w:r w:rsidR="00357DD7">
        <w:rPr>
          <w:noProof/>
        </w:rPr>
        <w:t>31</w:t>
      </w:r>
      <w:r>
        <w:fldChar w:fldCharType="end"/>
      </w:r>
      <w:bookmarkEnd w:id="194"/>
      <w:r>
        <w:tab/>
        <w:t>Billing cycle of all tailored assistance customers* by retailer</w:t>
      </w:r>
      <w:bookmarkEnd w:id="195"/>
      <w:bookmarkEnd w:id="196"/>
      <w:bookmarkEnd w:id="197"/>
      <w:bookmarkEnd w:id="198"/>
      <w:r>
        <w:t xml:space="preserve"> </w:t>
      </w:r>
    </w:p>
    <w:p w14:paraId="3CD60B53" w14:textId="3C364A2D" w:rsidR="00C43F4C" w:rsidRDefault="00273A89" w:rsidP="00374D22">
      <w:pPr>
        <w:rPr>
          <w:lang w:val="en-GB"/>
        </w:rPr>
      </w:pPr>
      <w:r w:rsidRPr="00273A89">
        <w:rPr>
          <w:noProof/>
        </w:rPr>
        <w:drawing>
          <wp:inline distT="0" distB="0" distL="0" distR="0" wp14:anchorId="69FB94B9" wp14:editId="43479703">
            <wp:extent cx="6120000" cy="2701806"/>
            <wp:effectExtent l="0" t="0" r="0" b="3810"/>
            <wp:docPr id="59" name="Picture 59" descr="Bar chart showing the billing cycle of tailored assistance customers, sorted by retailer. There is great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Bar chart showing the billing cycle of tailored assistance customers, sorted by retailer. There is great variance in the outcome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000" cy="2701806"/>
                    </a:xfrm>
                    <a:prstGeom prst="rect">
                      <a:avLst/>
                    </a:prstGeom>
                    <a:noFill/>
                    <a:ln>
                      <a:noFill/>
                    </a:ln>
                  </pic:spPr>
                </pic:pic>
              </a:graphicData>
            </a:graphic>
          </wp:inline>
        </w:drawing>
      </w:r>
    </w:p>
    <w:p w14:paraId="7A7D440B" w14:textId="1FE98956" w:rsidR="00C43F4C" w:rsidRDefault="005C7C73" w:rsidP="00A76774">
      <w:pPr>
        <w:pStyle w:val="Caption"/>
        <w:rPr>
          <w:lang w:val="en-GB"/>
        </w:rPr>
      </w:pPr>
      <w:r>
        <w:t xml:space="preserve">Source: </w:t>
      </w:r>
      <w:r w:rsidR="00C43F4C">
        <w:t>Confidential data from nine retailers</w:t>
      </w:r>
      <w:r w:rsidR="00C43F4C" w:rsidRPr="00FF59FF">
        <w:t xml:space="preserve"> </w:t>
      </w:r>
      <w:r w:rsidR="00C43F4C">
        <w:t xml:space="preserve">between 1 January 2019 and 30 December 2020, as per Australian Competition and Consumer Commission’s project on electricity marketing monitoring between 2018 and 2025. Tailored assistance customers are </w:t>
      </w:r>
      <w:r w:rsidR="00C43F4C">
        <w:rPr>
          <w:lang w:val="en-GB"/>
        </w:rPr>
        <w:t>defined as hardship customers in the data.</w:t>
      </w:r>
    </w:p>
    <w:p w14:paraId="79DE4FB7" w14:textId="77777777" w:rsidR="008F28A3" w:rsidRDefault="008F28A3">
      <w:pPr>
        <w:spacing w:before="0" w:line="259" w:lineRule="auto"/>
        <w:rPr>
          <w:rFonts w:ascii="Tahoma" w:eastAsiaTheme="majorEastAsia" w:hAnsi="Tahoma" w:cstheme="majorBidi"/>
          <w:b/>
          <w:color w:val="4986A0" w:themeColor="text2"/>
          <w:szCs w:val="24"/>
        </w:rPr>
      </w:pPr>
      <w:r>
        <w:br w:type="page"/>
      </w:r>
    </w:p>
    <w:p w14:paraId="32A8527B" w14:textId="1947FDBF" w:rsidR="00C43F4C" w:rsidRDefault="00C43F4C" w:rsidP="00C43F4C">
      <w:pPr>
        <w:pStyle w:val="Heading3"/>
      </w:pPr>
      <w:r>
        <w:lastRenderedPageBreak/>
        <w:t xml:space="preserve">Improving </w:t>
      </w:r>
      <w:r w:rsidR="00E2143E">
        <w:t>the operation</w:t>
      </w:r>
      <w:r>
        <w:t xml:space="preserve"> of the framework: helping customers lower their energy costs</w:t>
      </w:r>
    </w:p>
    <w:p w14:paraId="53536B2D" w14:textId="3CB4E634" w:rsidR="00C43F4C" w:rsidRDefault="00C43F4C" w:rsidP="00C43F4C">
      <w:r>
        <w:t>It is important to assist customers experiencing payment difficulty to lower their energy cost, especially given the increases in average arrears for customers receiving assistance who cannot pay for their ongoing usage</w:t>
      </w:r>
      <w:r w:rsidRPr="003F1158">
        <w:t xml:space="preserve">. </w:t>
      </w:r>
      <w:r w:rsidR="00EB1E83">
        <w:t xml:space="preserve">There are </w:t>
      </w:r>
      <w:r>
        <w:t>potential opportunities to support customers in lowering their energy usage to reduce cost and manage the build-up of arrears. It also appears that some customers receiving assistance remain on higher rates, despite this form of practical assistance being available to help customers find the tariff that is most likely to minimise their energy costs</w:t>
      </w:r>
      <w:r>
        <w:rPr>
          <w:lang w:val="en-US"/>
        </w:rPr>
        <w:t>.</w:t>
      </w:r>
    </w:p>
    <w:p w14:paraId="003B0689" w14:textId="541416C7" w:rsidR="00E2143E" w:rsidRPr="00810903" w:rsidRDefault="00C43F4C" w:rsidP="00C43F4C">
      <w:r>
        <w:t>If many customers receiving payment assistance are billed on a quarterly basis, the starting level of arrears may be quite high once a bill payment is missed. There could be an opportunity to reduce this risk if retailers and customers are open to monthly billing arrangements.</w:t>
      </w:r>
      <w:r w:rsidR="00C600CF" w:rsidRPr="00C600CF">
        <w:t xml:space="preserve"> </w:t>
      </w:r>
      <w:r w:rsidRPr="00810903">
        <w:t>Community sector stakeholders further suggested measures to lower consumption or overall bills, such as more proactive checking of appropriate tariffs for customers</w:t>
      </w:r>
      <w:r w:rsidR="00C600CF" w:rsidRPr="00810903">
        <w:t>.</w:t>
      </w:r>
      <w:r w:rsidRPr="00810903">
        <w:t xml:space="preserve"> It was also suggested that these actions be prioritised for customers as a form of early intervention.</w:t>
      </w:r>
    </w:p>
    <w:tbl>
      <w:tblPr>
        <w:tblStyle w:val="TwoColumnImage"/>
        <w:tblW w:w="9811" w:type="dxa"/>
        <w:tblBorders>
          <w:top w:val="single" w:sz="24" w:space="0" w:color="6CB59D" w:themeColor="accent5" w:themeTint="80"/>
          <w:left w:val="single" w:sz="24" w:space="0" w:color="6CB59D" w:themeColor="accent5" w:themeTint="80"/>
          <w:bottom w:val="single" w:sz="24" w:space="0" w:color="6CB59D" w:themeColor="accent5" w:themeTint="80"/>
          <w:right w:val="single" w:sz="24" w:space="0" w:color="6CB59D" w:themeColor="accent5" w:themeTint="80"/>
        </w:tblBorders>
        <w:shd w:val="clear" w:color="auto" w:fill="B5DACE" w:themeFill="accent5" w:themeFillTint="40"/>
        <w:tblCellMar>
          <w:top w:w="113" w:type="dxa"/>
          <w:bottom w:w="113" w:type="dxa"/>
        </w:tblCellMar>
        <w:tblLook w:val="04A0" w:firstRow="1" w:lastRow="0" w:firstColumn="1" w:lastColumn="0" w:noHBand="0" w:noVBand="1"/>
      </w:tblPr>
      <w:tblGrid>
        <w:gridCol w:w="1873"/>
        <w:gridCol w:w="6521"/>
        <w:gridCol w:w="1417"/>
      </w:tblGrid>
      <w:tr w:rsidR="006F1802" w:rsidRPr="006F1802" w14:paraId="21E73059" w14:textId="77777777" w:rsidTr="006F1802">
        <w:tc>
          <w:tcPr>
            <w:tcW w:w="9811" w:type="dxa"/>
            <w:gridSpan w:val="3"/>
            <w:tcBorders>
              <w:bottom w:val="nil"/>
            </w:tcBorders>
            <w:shd w:val="clear" w:color="auto" w:fill="B5DACE" w:themeFill="accent5" w:themeFillTint="40"/>
          </w:tcPr>
          <w:p w14:paraId="5EB0061B" w14:textId="4BB588B4" w:rsidR="006F1802" w:rsidRPr="006F1802" w:rsidRDefault="00A5797A" w:rsidP="000E6ED2">
            <w:pPr>
              <w:pStyle w:val="TableBody"/>
              <w:keepNext/>
              <w:ind w:left="142" w:right="121"/>
              <w:rPr>
                <w:rFonts w:ascii="Tahoma" w:hAnsi="Tahoma" w:cs="Tahoma"/>
                <w:color w:val="262626" w:themeColor="text1" w:themeTint="D9"/>
                <w:sz w:val="26"/>
                <w:szCs w:val="26"/>
              </w:rPr>
            </w:pPr>
            <w:r>
              <w:rPr>
                <w:rFonts w:ascii="Tahoma" w:hAnsi="Tahoma" w:cs="Tahoma"/>
                <w:b/>
                <w:bCs/>
                <w:color w:val="262626" w:themeColor="text1" w:themeTint="D9"/>
                <w:sz w:val="26"/>
                <w:szCs w:val="26"/>
              </w:rPr>
              <w:t>Improving the operation of the framework</w:t>
            </w:r>
          </w:p>
        </w:tc>
      </w:tr>
      <w:tr w:rsidR="00C600CF" w:rsidRPr="000179AE" w14:paraId="4B4D67D4" w14:textId="77777777" w:rsidTr="006F1802">
        <w:tblPrEx>
          <w:tblCellMar>
            <w:top w:w="57" w:type="dxa"/>
            <w:bottom w:w="57" w:type="dxa"/>
          </w:tblCellMar>
        </w:tblPrEx>
        <w:tc>
          <w:tcPr>
            <w:tcW w:w="9811" w:type="dxa"/>
            <w:gridSpan w:val="3"/>
            <w:shd w:val="clear" w:color="auto" w:fill="B5DACE" w:themeFill="accent5" w:themeFillTint="40"/>
          </w:tcPr>
          <w:p w14:paraId="53AA6765" w14:textId="77777777" w:rsidR="00C600CF" w:rsidRPr="000179AE" w:rsidRDefault="00C600CF" w:rsidP="000E6ED2">
            <w:pPr>
              <w:pStyle w:val="TableBody"/>
              <w:keepNext/>
              <w:spacing w:before="80" w:after="80"/>
              <w:ind w:left="142" w:right="119"/>
              <w:rPr>
                <w:rFonts w:ascii="Tahoma" w:hAnsi="Tahoma" w:cs="Tahoma"/>
                <w:b/>
                <w:bCs/>
                <w:color w:val="262626" w:themeColor="text1" w:themeTint="D9"/>
              </w:rPr>
            </w:pPr>
            <w:r>
              <w:rPr>
                <w:rFonts w:ascii="Tahoma" w:hAnsi="Tahoma" w:cs="Tahoma"/>
                <w:b/>
                <w:bCs/>
                <w:color w:val="262626" w:themeColor="text1" w:themeTint="D9"/>
              </w:rPr>
              <w:t>Customer outcomes vary significantly between and within retailers</w:t>
            </w:r>
          </w:p>
        </w:tc>
      </w:tr>
      <w:tr w:rsidR="00C600CF" w:rsidRPr="000179AE" w14:paraId="4EB3CA13" w14:textId="77777777" w:rsidTr="006F1802">
        <w:tblPrEx>
          <w:tblCellMar>
            <w:top w:w="57" w:type="dxa"/>
            <w:bottom w:w="57" w:type="dxa"/>
          </w:tblCellMar>
        </w:tblPrEx>
        <w:tc>
          <w:tcPr>
            <w:tcW w:w="1873" w:type="dxa"/>
            <w:shd w:val="clear" w:color="auto" w:fill="B5DACE" w:themeFill="accent5" w:themeFillTint="40"/>
            <w:vAlign w:val="center"/>
          </w:tcPr>
          <w:p w14:paraId="73951D8F" w14:textId="77777777" w:rsidR="00C600CF" w:rsidRPr="000179AE" w:rsidRDefault="00C600CF" w:rsidP="000E6ED2">
            <w:pPr>
              <w:pStyle w:val="TableBody"/>
              <w:keepNext/>
              <w:ind w:left="284" w:right="-2"/>
              <w:jc w:val="center"/>
              <w:rPr>
                <w:rFonts w:ascii="Tahoma" w:hAnsi="Tahoma" w:cs="Tahoma"/>
                <w:noProof/>
                <w:color w:val="262626" w:themeColor="text1" w:themeTint="D9"/>
              </w:rPr>
            </w:pPr>
            <w:r w:rsidRPr="000179AE">
              <w:rPr>
                <w:rFonts w:ascii="Tahoma" w:hAnsi="Tahoma" w:cs="Tahoma"/>
                <w:noProof/>
                <w:color w:val="262626" w:themeColor="text1" w:themeTint="D9"/>
              </w:rPr>
              <w:drawing>
                <wp:inline distT="0" distB="0" distL="0" distR="0" wp14:anchorId="61B295EC" wp14:editId="656F1683">
                  <wp:extent cx="864000" cy="864000"/>
                  <wp:effectExtent l="0" t="0" r="0" b="0"/>
                  <wp:docPr id="99991" name="Picture 99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1" name="Picture 99991">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6521" w:type="dxa"/>
            <w:shd w:val="clear" w:color="auto" w:fill="B5DACE" w:themeFill="accent5" w:themeFillTint="40"/>
            <w:vAlign w:val="center"/>
          </w:tcPr>
          <w:p w14:paraId="3A9BE638" w14:textId="4F68F493" w:rsidR="00C600CF" w:rsidRDefault="00C600CF" w:rsidP="000E6ED2">
            <w:pPr>
              <w:pStyle w:val="ListBullet"/>
              <w:keepNext/>
              <w:spacing w:before="0"/>
              <w:ind w:left="357" w:hanging="357"/>
              <w:contextualSpacing w:val="0"/>
            </w:pPr>
            <w:r w:rsidRPr="001551CC">
              <w:t xml:space="preserve">Improve appropriateness and timing of assistance provided </w:t>
            </w:r>
            <w:r w:rsidR="00573548">
              <w:t xml:space="preserve">by retailers </w:t>
            </w:r>
            <w:r w:rsidRPr="001551CC">
              <w:t>to customers about lowering energy usage and costs.</w:t>
            </w:r>
          </w:p>
        </w:tc>
        <w:tc>
          <w:tcPr>
            <w:tcW w:w="1417" w:type="dxa"/>
            <w:shd w:val="clear" w:color="auto" w:fill="B5DACE" w:themeFill="accent5" w:themeFillTint="40"/>
            <w:vAlign w:val="center"/>
          </w:tcPr>
          <w:p w14:paraId="09DBC225" w14:textId="3BDC9E23" w:rsidR="00C600CF" w:rsidRPr="00C82D1A" w:rsidRDefault="00C600CF" w:rsidP="000E6ED2">
            <w:pPr>
              <w:pStyle w:val="ListBullet"/>
              <w:keepNext/>
              <w:numPr>
                <w:ilvl w:val="0"/>
                <w:numId w:val="0"/>
              </w:numPr>
              <w:spacing w:before="0" w:line="240" w:lineRule="auto"/>
              <w:rPr>
                <w:b/>
                <w:bCs/>
                <w:color w:val="CE0058" w:themeColor="accent2"/>
              </w:rPr>
            </w:pPr>
            <w:r w:rsidRPr="00046BFF">
              <w:rPr>
                <w:b/>
                <w:bCs/>
                <w:color w:val="CE0058" w:themeColor="accent2"/>
              </w:rPr>
              <w:t>Priority</w:t>
            </w:r>
          </w:p>
        </w:tc>
      </w:tr>
    </w:tbl>
    <w:p w14:paraId="11A88ED4" w14:textId="617DFA06" w:rsidR="00C43F4C" w:rsidRDefault="00C43F4C" w:rsidP="0002093A">
      <w:pPr>
        <w:pStyle w:val="Heading2"/>
        <w:spacing w:before="360"/>
      </w:pPr>
      <w:bookmarkStart w:id="199" w:name="_Toc104850136"/>
      <w:r w:rsidRPr="00A4405A">
        <w:t>Practical assistance to help customers reduce their energy use, such as energy audits or energy efficiency products</w:t>
      </w:r>
      <w:bookmarkEnd w:id="199"/>
      <w:r w:rsidRPr="00A4405A">
        <w:t xml:space="preserve"> </w:t>
      </w:r>
    </w:p>
    <w:p w14:paraId="0A7C0521" w14:textId="77777777" w:rsidR="00C43F4C" w:rsidRDefault="00C43F4C" w:rsidP="00C43F4C">
      <w:r>
        <w:t>For customers who cannot pay for their on-going usage, retailers are required to go beyond providing advice to customers on how to lower their energy use, and offer practical help to customers:</w:t>
      </w:r>
      <w:r>
        <w:rPr>
          <w:rStyle w:val="FootnoteReference"/>
        </w:rPr>
        <w:footnoteReference w:id="114"/>
      </w:r>
    </w:p>
    <w:p w14:paraId="52DD851D" w14:textId="77777777" w:rsidR="00C43F4C" w:rsidRDefault="00C43F4C" w:rsidP="00C43F4C">
      <w:pPr>
        <w:pStyle w:val="Quote"/>
      </w:pPr>
      <w:r>
        <w:t xml:space="preserve">(f) practical assistance to help a </w:t>
      </w:r>
      <w:r w:rsidRPr="0066444A">
        <w:rPr>
          <w:i/>
          <w:iCs w:val="0"/>
        </w:rPr>
        <w:t>residential customer</w:t>
      </w:r>
      <w:r>
        <w:t xml:space="preserve"> lower their </w:t>
      </w:r>
      <w:r w:rsidRPr="0066444A">
        <w:rPr>
          <w:i/>
          <w:iCs w:val="0"/>
        </w:rPr>
        <w:t>energy</w:t>
      </w:r>
      <w:r>
        <w:t xml:space="preserve"> costs including, but not limited to: …</w:t>
      </w:r>
    </w:p>
    <w:p w14:paraId="17487B9F" w14:textId="77777777" w:rsidR="00C43F4C" w:rsidRDefault="00C43F4C" w:rsidP="00C43F4C">
      <w:pPr>
        <w:pStyle w:val="Quote"/>
        <w:ind w:left="1146" w:hanging="426"/>
      </w:pPr>
      <w:r>
        <w:lastRenderedPageBreak/>
        <w:t xml:space="preserve">(ii) </w:t>
      </w:r>
      <w:r>
        <w:tab/>
        <w:t xml:space="preserve">practical assistance to help the </w:t>
      </w:r>
      <w:r w:rsidRPr="00D05C12">
        <w:rPr>
          <w:i/>
          <w:iCs w:val="0"/>
        </w:rPr>
        <w:t>residential customer</w:t>
      </w:r>
      <w:r>
        <w:t xml:space="preserve"> reduce their use of </w:t>
      </w:r>
      <w:r w:rsidRPr="00D05C12">
        <w:rPr>
          <w:i/>
          <w:iCs w:val="0"/>
        </w:rPr>
        <w:t>energy</w:t>
      </w:r>
      <w:r>
        <w:t xml:space="preserve">, based on the </w:t>
      </w:r>
      <w:r w:rsidRPr="00D05C12">
        <w:rPr>
          <w:i/>
          <w:iCs w:val="0"/>
        </w:rPr>
        <w:t>residential customer’s</w:t>
      </w:r>
      <w:r>
        <w:t xml:space="preserve"> pattern of </w:t>
      </w:r>
      <w:r w:rsidRPr="00D05C12">
        <w:rPr>
          <w:i/>
          <w:iCs w:val="0"/>
        </w:rPr>
        <w:t>energy</w:t>
      </w:r>
      <w:r>
        <w:t xml:space="preserve"> use and on the circumstances of where the </w:t>
      </w:r>
      <w:r w:rsidRPr="00D05C12">
        <w:rPr>
          <w:i/>
          <w:iCs w:val="0"/>
        </w:rPr>
        <w:t>residential customer</w:t>
      </w:r>
      <w:r>
        <w:t xml:space="preserve"> lives, provided there is scope for action to be taken for that purpose; and</w:t>
      </w:r>
    </w:p>
    <w:p w14:paraId="52BB48E5" w14:textId="1FF78515" w:rsidR="00C43F4C" w:rsidRDefault="00C43F4C" w:rsidP="00C43F4C">
      <w:pPr>
        <w:pStyle w:val="Quote"/>
        <w:ind w:left="1146" w:hanging="426"/>
      </w:pPr>
      <w:r>
        <w:t xml:space="preserve">(iii) </w:t>
      </w:r>
      <w:r>
        <w:tab/>
        <w:t xml:space="preserve">information about how the </w:t>
      </w:r>
      <w:r w:rsidRPr="00D05C12">
        <w:rPr>
          <w:i/>
          <w:iCs w:val="0"/>
        </w:rPr>
        <w:t>residential customer</w:t>
      </w:r>
      <w:r>
        <w:t xml:space="preserve"> is progressing towards lowering their </w:t>
      </w:r>
      <w:r w:rsidRPr="00D05C12">
        <w:rPr>
          <w:i/>
          <w:iCs w:val="0"/>
        </w:rPr>
        <w:t>energy</w:t>
      </w:r>
      <w:r>
        <w:t xml:space="preserve"> costs given at sufficient intervals for the </w:t>
      </w:r>
      <w:r w:rsidRPr="00D05C12">
        <w:rPr>
          <w:i/>
          <w:iCs w:val="0"/>
        </w:rPr>
        <w:t>residential customer</w:t>
      </w:r>
      <w:r>
        <w:t xml:space="preserve"> to be able to adequately assess that progress</w:t>
      </w:r>
      <w:r w:rsidR="00C5638F">
        <w:t>.</w:t>
      </w:r>
    </w:p>
    <w:p w14:paraId="75E853A0" w14:textId="77777777" w:rsidR="00C43F4C" w:rsidRDefault="00C43F4C" w:rsidP="00C43F4C">
      <w:pPr>
        <w:pStyle w:val="Heading3"/>
      </w:pPr>
      <w:r>
        <w:t>Customers receiving payment assistance use more energy</w:t>
      </w:r>
    </w:p>
    <w:p w14:paraId="6CDD2A8B" w14:textId="7A2D1397" w:rsidR="00C43F4C" w:rsidRDefault="00C43F4C" w:rsidP="00C43F4C">
      <w:r>
        <w:t xml:space="preserve">Our analysis shows that </w:t>
      </w:r>
      <w:r w:rsidR="00E50EB8">
        <w:t xml:space="preserve">the </w:t>
      </w:r>
      <w:r w:rsidR="00273A89">
        <w:t>median</w:t>
      </w:r>
      <w:r>
        <w:t xml:space="preserve"> customers receiving assistance </w:t>
      </w:r>
      <w:r w:rsidR="00836C20">
        <w:t>are</w:t>
      </w:r>
      <w:r w:rsidR="00E50EB8">
        <w:t xml:space="preserve"> </w:t>
      </w:r>
      <w:r>
        <w:t>consuming around 47 per cent more electricity compared to customers not receiving assistanc</w:t>
      </w:r>
      <w:r w:rsidRPr="00DE023A">
        <w:t xml:space="preserve">e. </w:t>
      </w:r>
      <w:r>
        <w:fldChar w:fldCharType="begin"/>
      </w:r>
      <w:r>
        <w:instrText xml:space="preserve"> REF _Ref103171617 \h </w:instrText>
      </w:r>
      <w:r>
        <w:fldChar w:fldCharType="separate"/>
      </w:r>
      <w:r w:rsidR="00357DD7">
        <w:t xml:space="preserve">Figure </w:t>
      </w:r>
      <w:r w:rsidR="00357DD7">
        <w:rPr>
          <w:noProof/>
        </w:rPr>
        <w:t>32</w:t>
      </w:r>
      <w:r>
        <w:fldChar w:fldCharType="end"/>
      </w:r>
      <w:r>
        <w:t xml:space="preserve"> also indicates that a fifth of customers receiving assistance are using more than 10,000 kWh of electricity per year – around double the typical annual usage for a three to four-person household. </w:t>
      </w:r>
      <w:r w:rsidR="006A01F3">
        <w:t xml:space="preserve">One retailer, AGL, has been able to </w:t>
      </w:r>
      <w:r w:rsidR="00A338C6">
        <w:t xml:space="preserve">show they also observe </w:t>
      </w:r>
      <w:r w:rsidR="00762C84">
        <w:t xml:space="preserve">this trend. They have indicated that </w:t>
      </w:r>
      <w:r w:rsidR="00A338C6">
        <w:t xml:space="preserve">customers in need of payment assistance, </w:t>
      </w:r>
      <w:r w:rsidR="00206EF4">
        <w:t xml:space="preserve">consume approximately 40 per cent more energy every year than other customers – a figure </w:t>
      </w:r>
      <w:r w:rsidR="009239CE">
        <w:t>generally unchanged since 2017.</w:t>
      </w:r>
      <w:r w:rsidR="009239CE">
        <w:rPr>
          <w:rStyle w:val="FootnoteReference"/>
        </w:rPr>
        <w:footnoteReference w:id="115"/>
      </w:r>
      <w:r w:rsidR="009239CE">
        <w:t xml:space="preserve"> </w:t>
      </w:r>
    </w:p>
    <w:p w14:paraId="7BB5F56D" w14:textId="4A2CFD96" w:rsidR="00C43F4C" w:rsidRDefault="00C43F4C" w:rsidP="00F14D9A">
      <w:pPr>
        <w:pStyle w:val="Figure-Table-BoxHeading"/>
        <w:keepNext/>
        <w:keepLines/>
        <w:numPr>
          <w:ilvl w:val="0"/>
          <w:numId w:val="0"/>
        </w:numPr>
        <w:ind w:left="851" w:hanging="851"/>
      </w:pPr>
      <w:bookmarkStart w:id="200" w:name="_Ref103171617"/>
      <w:bookmarkStart w:id="201" w:name="_Toc100134470"/>
      <w:bookmarkStart w:id="202" w:name="_Toc100137032"/>
      <w:bookmarkStart w:id="203" w:name="_Toc102095483"/>
      <w:bookmarkStart w:id="204" w:name="_Toc103943802"/>
      <w:r>
        <w:t xml:space="preserve">Figure </w:t>
      </w:r>
      <w:r>
        <w:fldChar w:fldCharType="begin"/>
      </w:r>
      <w:r>
        <w:instrText>SEQ Figure \* ARABIC</w:instrText>
      </w:r>
      <w:r>
        <w:fldChar w:fldCharType="separate"/>
      </w:r>
      <w:r w:rsidR="00357DD7">
        <w:rPr>
          <w:noProof/>
        </w:rPr>
        <w:t>32</w:t>
      </w:r>
      <w:r>
        <w:fldChar w:fldCharType="end"/>
      </w:r>
      <w:bookmarkEnd w:id="200"/>
      <w:r>
        <w:t xml:space="preserve"> </w:t>
      </w:r>
      <w:r>
        <w:tab/>
        <w:t>Proportion of total bills, distributed by electricity usage amounts</w:t>
      </w:r>
      <w:bookmarkEnd w:id="201"/>
      <w:bookmarkEnd w:id="202"/>
      <w:bookmarkEnd w:id="203"/>
      <w:bookmarkEnd w:id="204"/>
    </w:p>
    <w:p w14:paraId="0E955C33" w14:textId="0C946FE4" w:rsidR="00C43F4C" w:rsidRDefault="00E50EB8" w:rsidP="00C43F4C">
      <w:r w:rsidRPr="00E50EB8">
        <w:rPr>
          <w:noProof/>
        </w:rPr>
        <w:drawing>
          <wp:inline distT="0" distB="0" distL="0" distR="0" wp14:anchorId="3A92D051" wp14:editId="0594FE9A">
            <wp:extent cx="6120130" cy="2277745"/>
            <wp:effectExtent l="0" t="0" r="0" b="8255"/>
            <wp:docPr id="64" name="Picture 64" descr="Bar chart showing the proportion of total bills based on usage amount, comparing customers receiving assistance with those not receiving assistance. Customers receiving tailored assistance use much more energy than those who do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Bar chart showing the proportion of total bills based on usage amount, comparing customers receiving assistance with those not receiving assistance. Customers receiving tailored assistance use much more energy than those who do no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0130" cy="2277745"/>
                    </a:xfrm>
                    <a:prstGeom prst="rect">
                      <a:avLst/>
                    </a:prstGeom>
                    <a:noFill/>
                    <a:ln>
                      <a:noFill/>
                    </a:ln>
                  </pic:spPr>
                </pic:pic>
              </a:graphicData>
            </a:graphic>
          </wp:inline>
        </w:drawing>
      </w:r>
    </w:p>
    <w:p w14:paraId="12FEBEE9" w14:textId="27AE584D" w:rsidR="00C43F4C" w:rsidRDefault="005C7C73" w:rsidP="00A76774">
      <w:pPr>
        <w:pStyle w:val="Caption"/>
      </w:pPr>
      <w:r>
        <w:t xml:space="preserve">Source: </w:t>
      </w:r>
      <w:r w:rsidR="00C43F4C">
        <w:t>Confidential data from nine retailers</w:t>
      </w:r>
      <w:r w:rsidR="00C43F4C" w:rsidRPr="00FF59FF">
        <w:t xml:space="preserve"> </w:t>
      </w:r>
      <w:r w:rsidR="00C43F4C">
        <w:t xml:space="preserve">between 1 January 2019 and 30 December 2020, as per Australian Competition and Consumer Commission’s project on electricity marketing monitoring between 2018 and 2025. Tailored assistance customers are </w:t>
      </w:r>
      <w:r w:rsidR="00C43F4C">
        <w:rPr>
          <w:lang w:val="en-GB"/>
        </w:rPr>
        <w:t>defined as hardship customers in the data.</w:t>
      </w:r>
    </w:p>
    <w:p w14:paraId="51EEB4D4" w14:textId="21FE97D2" w:rsidR="00C43F4C" w:rsidRDefault="00C43F4C" w:rsidP="001940EC">
      <w:pPr>
        <w:pStyle w:val="Figure-Table-BoxHeading"/>
        <w:keepNext/>
        <w:numPr>
          <w:ilvl w:val="0"/>
          <w:numId w:val="0"/>
        </w:numPr>
        <w:ind w:left="851" w:hanging="851"/>
      </w:pPr>
      <w:bookmarkStart w:id="205" w:name="_Ref99630372"/>
      <w:bookmarkStart w:id="206" w:name="_Toc100134471"/>
      <w:bookmarkStart w:id="207" w:name="_Toc100137033"/>
      <w:bookmarkStart w:id="208" w:name="_Toc102095484"/>
      <w:bookmarkStart w:id="209" w:name="_Toc103943803"/>
      <w:r>
        <w:lastRenderedPageBreak/>
        <w:t xml:space="preserve">Figure </w:t>
      </w:r>
      <w:r>
        <w:fldChar w:fldCharType="begin"/>
      </w:r>
      <w:r>
        <w:instrText>SEQ Figure \* ARABIC</w:instrText>
      </w:r>
      <w:r>
        <w:fldChar w:fldCharType="separate"/>
      </w:r>
      <w:r w:rsidR="00357DD7">
        <w:rPr>
          <w:noProof/>
        </w:rPr>
        <w:t>33</w:t>
      </w:r>
      <w:r>
        <w:fldChar w:fldCharType="end"/>
      </w:r>
      <w:bookmarkEnd w:id="205"/>
      <w:r>
        <w:tab/>
      </w:r>
      <w:r w:rsidR="004238D6">
        <w:t>Median e</w:t>
      </w:r>
      <w:r>
        <w:t>lectricity usage per day (kWh), by retailer</w:t>
      </w:r>
      <w:bookmarkEnd w:id="206"/>
      <w:bookmarkEnd w:id="207"/>
      <w:bookmarkEnd w:id="208"/>
      <w:bookmarkEnd w:id="209"/>
      <w:r w:rsidR="0074575D">
        <w:t>, deidentified</w:t>
      </w:r>
    </w:p>
    <w:p w14:paraId="4D9C0E18" w14:textId="123BB370" w:rsidR="00C43F4C" w:rsidRDefault="003B3654" w:rsidP="00C43F4C">
      <w:pPr>
        <w:rPr>
          <w:lang w:val="en-GB"/>
        </w:rPr>
      </w:pPr>
      <w:r w:rsidRPr="003B3654">
        <w:rPr>
          <w:noProof/>
        </w:rPr>
        <w:drawing>
          <wp:inline distT="0" distB="0" distL="0" distR="0" wp14:anchorId="183CDA0C" wp14:editId="5448A8A9">
            <wp:extent cx="6120130" cy="2150745"/>
            <wp:effectExtent l="0" t="0" r="0" b="1905"/>
            <wp:docPr id="70" name="Picture 70" descr="Bar chart of median electricity usage per day. The chart is sorted by retailers and compares customers receiving tailored assistance with those who do not. Tailored assistance customers have consistently higher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Bar chart of median electricity usage per day. The chart is sorted by retailers and compares customers receiving tailored assistance with those who do not. Tailored assistance customers have consistently higher us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0130" cy="2150745"/>
                    </a:xfrm>
                    <a:prstGeom prst="rect">
                      <a:avLst/>
                    </a:prstGeom>
                    <a:noFill/>
                    <a:ln>
                      <a:noFill/>
                    </a:ln>
                  </pic:spPr>
                </pic:pic>
              </a:graphicData>
            </a:graphic>
          </wp:inline>
        </w:drawing>
      </w:r>
    </w:p>
    <w:p w14:paraId="76D589D4" w14:textId="701415AA" w:rsidR="00C43F4C" w:rsidRPr="0042504C" w:rsidRDefault="005C7C73" w:rsidP="00A76774">
      <w:pPr>
        <w:pStyle w:val="Source"/>
        <w:jc w:val="left"/>
      </w:pPr>
      <w:r>
        <w:t xml:space="preserve">Source: </w:t>
      </w:r>
      <w:r w:rsidR="00C43F4C">
        <w:t>Confidential data from nine retailers</w:t>
      </w:r>
      <w:r w:rsidR="00C43F4C" w:rsidRPr="00FF59FF">
        <w:t xml:space="preserve"> </w:t>
      </w:r>
      <w:r w:rsidR="00C43F4C">
        <w:t xml:space="preserve">between 1 January 2019 and 30 December 2020, as per Australian Competition and Consumer Commission’s project on electricity marketing monitoring between 2018 and 2025. Tailored assistance customers are </w:t>
      </w:r>
      <w:r w:rsidR="00C43F4C">
        <w:rPr>
          <w:lang w:val="en-GB"/>
        </w:rPr>
        <w:t>defined as hardship customers in the data.</w:t>
      </w:r>
    </w:p>
    <w:p w14:paraId="49AC605E" w14:textId="6141C8D7" w:rsidR="00C43F4C" w:rsidRDefault="00C43F4C" w:rsidP="00C43F4C">
      <w:r>
        <w:t xml:space="preserve">We </w:t>
      </w:r>
      <w:r w:rsidR="001E5A1D">
        <w:t>also</w:t>
      </w:r>
      <w:r>
        <w:t xml:space="preserve"> note that retailers reported offering practical assistance to around 46,700 Victorian electricity customers every month on average during 2021.</w:t>
      </w:r>
      <w:r>
        <w:rPr>
          <w:rStyle w:val="FootnoteReference"/>
        </w:rPr>
        <w:footnoteReference w:id="116"/>
      </w:r>
      <w:r w:rsidR="001F1DF8">
        <w:t xml:space="preserve"> </w:t>
      </w:r>
      <w:r>
        <w:t>Any additional supports to help lower energy use, such as energy efficiency assistance, will benefit both customer and retailer from preventing or reducing the build-up of ar</w:t>
      </w:r>
      <w:r w:rsidR="00571209">
        <w:t>r</w:t>
      </w:r>
      <w:r>
        <w:t xml:space="preserve">ears. </w:t>
      </w:r>
      <w:r w:rsidR="004C13E0">
        <w:t>Based on the call recordings reviewed, 33</w:t>
      </w:r>
      <w:r>
        <w:t xml:space="preserve"> per cent of customer</w:t>
      </w:r>
      <w:r w:rsidR="004C13E0">
        <w:t>s were offered assistance at least once over the phone, to help reduce</w:t>
      </w:r>
      <w:r>
        <w:t xml:space="preserve"> energy use (such as through energy audits or appliance replacement programs).</w:t>
      </w:r>
      <w:r>
        <w:rPr>
          <w:rStyle w:val="FootnoteReference"/>
        </w:rPr>
        <w:footnoteReference w:id="117"/>
      </w:r>
      <w:r>
        <w:t xml:space="preserve"> </w:t>
      </w:r>
    </w:p>
    <w:p w14:paraId="74F9D1C8" w14:textId="4077E888" w:rsidR="00C43F4C" w:rsidRDefault="00C43F4C" w:rsidP="00C43F4C">
      <w:r>
        <w:t xml:space="preserve">We recognise there may be limits to energy efficiency or </w:t>
      </w:r>
      <w:r w:rsidR="00322E3A">
        <w:t xml:space="preserve">energy </w:t>
      </w:r>
      <w:r>
        <w:t xml:space="preserve">reduction actions some customers are able to </w:t>
      </w:r>
      <w:r w:rsidR="00322E3A">
        <w:t>take</w:t>
      </w:r>
      <w:r>
        <w:t xml:space="preserve">. Stakeholders noted that some </w:t>
      </w:r>
      <w:r w:rsidR="00322E3A">
        <w:t>actions</w:t>
      </w:r>
      <w:r>
        <w:t xml:space="preserve"> were impractical or out of reach for those who are least able to afford to pay for their energy use.</w:t>
      </w:r>
      <w:r>
        <w:rPr>
          <w:rStyle w:val="FootnoteReference"/>
        </w:rPr>
        <w:footnoteReference w:id="118"/>
      </w:r>
      <w:r>
        <w:t xml:space="preserve"> For example, </w:t>
      </w:r>
      <w:r w:rsidR="005C2215">
        <w:t xml:space="preserve">AGL and </w:t>
      </w:r>
      <w:r>
        <w:t>Origin Energy noted that renters have limited ability to make to make energy efficiency improvements to their homes, and that some customers have no option but to use inefficient heating, cooling and hot water appliances, which lead to higher energy bills.</w:t>
      </w:r>
      <w:r>
        <w:rPr>
          <w:rStyle w:val="FootnoteReference"/>
        </w:rPr>
        <w:footnoteReference w:id="119"/>
      </w:r>
    </w:p>
    <w:p w14:paraId="3E03E4E1" w14:textId="77777777" w:rsidR="000B0809" w:rsidRDefault="000B0809" w:rsidP="000B0809">
      <w:pPr>
        <w:pStyle w:val="Quote"/>
      </w:pPr>
      <w:r w:rsidRPr="00121201">
        <w:lastRenderedPageBreak/>
        <w:t>Our internal data and customer insights show a mixed outcome in the capacity of hardship customers to reduce consumption, as part of the practical assistance measures offered by AGL. AGL has observed that customers who did manage to reduce consumption by participating in initiatives including home energy audits, energy literacy programs and appliance replacement schemes were offset by an equal percentage of customers who did not reduce their consumption during their tailored assistance period.</w:t>
      </w:r>
      <w:r>
        <w:rPr>
          <w:rStyle w:val="FootnoteReference"/>
        </w:rPr>
        <w:footnoteReference w:id="120"/>
      </w:r>
    </w:p>
    <w:p w14:paraId="2EF1EB7B" w14:textId="7D28A327" w:rsidR="00C43F4C" w:rsidRDefault="000E7ECF" w:rsidP="00C43F4C">
      <w:r>
        <w:t>W</w:t>
      </w:r>
      <w:r w:rsidR="00C43F4C">
        <w:t>e have seen some positive examples of retailers providing effective practical assistance to help customers lower energy cost and usage, such as home energy audits, energy literacy programs and appliance replacement schemes, but it is unclear how effective these measures have been.</w:t>
      </w:r>
    </w:p>
    <w:p w14:paraId="61A58CA9" w14:textId="7D5416B3" w:rsidR="009678FE" w:rsidRDefault="00C930C2" w:rsidP="00405B93">
      <w:pPr>
        <w:pStyle w:val="Quote"/>
      </w:pPr>
      <w:r w:rsidRPr="00C930C2">
        <w:t>Customers who actively participated in AGL’s home energy efficiency audits, appliance replacement and other energy efficiency programs and pilots were more likely to reduce their consumption compared to other TA2 customers. However, generally this indicates that customers who cannot pay for ongoing usage have limited capacity to reduce their energy consumption, so any reduction is proportionately low compared to overall usage.</w:t>
      </w:r>
      <w:r w:rsidR="00B454AB">
        <w:rPr>
          <w:rStyle w:val="FootnoteReference"/>
        </w:rPr>
        <w:footnoteReference w:id="121"/>
      </w:r>
    </w:p>
    <w:p w14:paraId="11E3910C" w14:textId="21154F7E" w:rsidR="00C43F4C" w:rsidRDefault="00C43F4C" w:rsidP="00C43F4C">
      <w:pPr>
        <w:pStyle w:val="Heading3"/>
      </w:pPr>
      <w:r>
        <w:t xml:space="preserve">Improving </w:t>
      </w:r>
      <w:r w:rsidR="00E2143E">
        <w:t>the operation</w:t>
      </w:r>
      <w:r>
        <w:t xml:space="preserve"> of the framework: helping customers lower their energy use</w:t>
      </w:r>
    </w:p>
    <w:p w14:paraId="62403826" w14:textId="77777777" w:rsidR="00C43F4C" w:rsidRDefault="00C43F4C" w:rsidP="00C43F4C">
      <w:r w:rsidRPr="007E1143">
        <w:t xml:space="preserve">It </w:t>
      </w:r>
      <w:r>
        <w:t xml:space="preserve">remains </w:t>
      </w:r>
      <w:r w:rsidRPr="007E1143">
        <w:t>important to assist customers experiencing payment difficulty to lower their energy cost</w:t>
      </w:r>
      <w:r>
        <w:t>, particularly those</w:t>
      </w:r>
      <w:r w:rsidRPr="007E1143">
        <w:t xml:space="preserve"> who cannot pay for their on-going usage</w:t>
      </w:r>
      <w:r>
        <w:t xml:space="preserve">. These customers have been shown to be the highest users of energy, which has a significant impact on how much they are paying for their energy. </w:t>
      </w:r>
    </w:p>
    <w:p w14:paraId="54B6EBE3" w14:textId="7E324E73" w:rsidR="00C43F4C" w:rsidRDefault="00C43F4C" w:rsidP="00C43F4C">
      <w:r>
        <w:t xml:space="preserve">Helping customers lower their energy use through energy efficiency measures may help reduce or stabilise the build-up of arrears over time. </w:t>
      </w:r>
      <w:r w:rsidR="004C13E0">
        <w:t>Based on</w:t>
      </w:r>
      <w:r w:rsidR="006B3105">
        <w:t xml:space="preserve"> analysis, c</w:t>
      </w:r>
      <w:r>
        <w:t xml:space="preserve">ustomers in payment difficulty are </w:t>
      </w:r>
      <w:r w:rsidR="006B3105">
        <w:t xml:space="preserve">more </w:t>
      </w:r>
      <w:r>
        <w:t xml:space="preserve">likely to </w:t>
      </w:r>
      <w:r w:rsidR="006B3105">
        <w:t xml:space="preserve">have higher </w:t>
      </w:r>
      <w:r>
        <w:t>energy</w:t>
      </w:r>
      <w:r w:rsidR="006B3105">
        <w:t xml:space="preserve"> use</w:t>
      </w:r>
      <w:r>
        <w:t xml:space="preserve">, and so this increases the potential benefit of practical options to reduce energy use. </w:t>
      </w:r>
    </w:p>
    <w:p w14:paraId="08843464" w14:textId="77777777" w:rsidR="00C43F4C" w:rsidRDefault="00C43F4C" w:rsidP="00512217">
      <w:r>
        <w:t xml:space="preserve">We recognise that many energy efficiency or reduction options for these customers may be limited, but there is potential to improve how this type of assistance is offered. These may include better referral pathways for customers to existing government and non-government energy efficiency programs. </w:t>
      </w:r>
    </w:p>
    <w:tbl>
      <w:tblPr>
        <w:tblStyle w:val="TwoColumnImage"/>
        <w:tblW w:w="9811" w:type="dxa"/>
        <w:tblBorders>
          <w:top w:val="single" w:sz="24" w:space="0" w:color="6CB59D" w:themeColor="accent5" w:themeTint="80"/>
          <w:left w:val="single" w:sz="24" w:space="0" w:color="6CB59D" w:themeColor="accent5" w:themeTint="80"/>
          <w:bottom w:val="single" w:sz="24" w:space="0" w:color="6CB59D" w:themeColor="accent5" w:themeTint="80"/>
          <w:right w:val="single" w:sz="24" w:space="0" w:color="6CB59D" w:themeColor="accent5" w:themeTint="80"/>
        </w:tblBorders>
        <w:shd w:val="clear" w:color="auto" w:fill="B5DACE" w:themeFill="accent5" w:themeFillTint="40"/>
        <w:tblCellMar>
          <w:top w:w="113" w:type="dxa"/>
          <w:bottom w:w="113" w:type="dxa"/>
        </w:tblCellMar>
        <w:tblLook w:val="04A0" w:firstRow="1" w:lastRow="0" w:firstColumn="1" w:lastColumn="0" w:noHBand="0" w:noVBand="1"/>
      </w:tblPr>
      <w:tblGrid>
        <w:gridCol w:w="1873"/>
        <w:gridCol w:w="6521"/>
        <w:gridCol w:w="1417"/>
      </w:tblGrid>
      <w:tr w:rsidR="006F1802" w:rsidRPr="006F1802" w14:paraId="39503046" w14:textId="77777777" w:rsidTr="006F1802">
        <w:tc>
          <w:tcPr>
            <w:tcW w:w="9811" w:type="dxa"/>
            <w:gridSpan w:val="3"/>
            <w:tcBorders>
              <w:bottom w:val="nil"/>
            </w:tcBorders>
            <w:shd w:val="clear" w:color="auto" w:fill="B5DACE" w:themeFill="accent5" w:themeFillTint="40"/>
          </w:tcPr>
          <w:p w14:paraId="65639B78" w14:textId="62A38F60" w:rsidR="006F1802" w:rsidRPr="006F1802" w:rsidRDefault="00573548" w:rsidP="00512217">
            <w:pPr>
              <w:pStyle w:val="TableBody"/>
              <w:keepNext/>
              <w:keepLines/>
              <w:ind w:left="142" w:right="119"/>
              <w:rPr>
                <w:rFonts w:ascii="Tahoma" w:hAnsi="Tahoma" w:cs="Tahoma"/>
                <w:color w:val="262626" w:themeColor="text1" w:themeTint="D9"/>
                <w:sz w:val="26"/>
                <w:szCs w:val="26"/>
              </w:rPr>
            </w:pPr>
            <w:r>
              <w:rPr>
                <w:rFonts w:ascii="Tahoma" w:hAnsi="Tahoma" w:cs="Tahoma"/>
                <w:b/>
                <w:bCs/>
                <w:color w:val="262626" w:themeColor="text1" w:themeTint="D9"/>
                <w:sz w:val="26"/>
                <w:szCs w:val="26"/>
              </w:rPr>
              <w:lastRenderedPageBreak/>
              <w:t>Improving the operation of the framework</w:t>
            </w:r>
          </w:p>
        </w:tc>
      </w:tr>
      <w:tr w:rsidR="00C600CF" w:rsidRPr="000179AE" w14:paraId="14EF9C06" w14:textId="77777777" w:rsidTr="006F1802">
        <w:tblPrEx>
          <w:tblCellMar>
            <w:top w:w="57" w:type="dxa"/>
            <w:bottom w:w="57" w:type="dxa"/>
          </w:tblCellMar>
        </w:tblPrEx>
        <w:tc>
          <w:tcPr>
            <w:tcW w:w="9811" w:type="dxa"/>
            <w:gridSpan w:val="3"/>
            <w:shd w:val="clear" w:color="auto" w:fill="B5DACE" w:themeFill="accent5" w:themeFillTint="40"/>
          </w:tcPr>
          <w:p w14:paraId="167801F4" w14:textId="77777777" w:rsidR="00C600CF" w:rsidRPr="000179AE" w:rsidRDefault="00C600CF" w:rsidP="00512217">
            <w:pPr>
              <w:pStyle w:val="TableBody"/>
              <w:keepNext/>
              <w:keepLines/>
              <w:spacing w:before="80" w:after="80"/>
              <w:ind w:left="142" w:right="119"/>
              <w:rPr>
                <w:rFonts w:ascii="Tahoma" w:hAnsi="Tahoma" w:cs="Tahoma"/>
                <w:color w:val="262626" w:themeColor="text1" w:themeTint="D9"/>
              </w:rPr>
            </w:pPr>
            <w:r>
              <w:rPr>
                <w:rFonts w:ascii="Tahoma" w:hAnsi="Tahoma" w:cs="Tahoma"/>
                <w:b/>
                <w:bCs/>
                <w:color w:val="262626" w:themeColor="text1" w:themeTint="D9"/>
                <w:sz w:val="32"/>
                <w:szCs w:val="32"/>
              </w:rPr>
              <w:t>Areas for improvement</w:t>
            </w:r>
          </w:p>
        </w:tc>
      </w:tr>
      <w:tr w:rsidR="00C600CF" w:rsidRPr="000179AE" w14:paraId="309B12DD" w14:textId="77777777" w:rsidTr="006F1802">
        <w:tblPrEx>
          <w:tblCellMar>
            <w:top w:w="57" w:type="dxa"/>
            <w:bottom w:w="57" w:type="dxa"/>
          </w:tblCellMar>
        </w:tblPrEx>
        <w:tc>
          <w:tcPr>
            <w:tcW w:w="9811" w:type="dxa"/>
            <w:gridSpan w:val="3"/>
            <w:tcBorders>
              <w:bottom w:val="nil"/>
            </w:tcBorders>
            <w:shd w:val="clear" w:color="auto" w:fill="B5DACE" w:themeFill="accent5" w:themeFillTint="40"/>
          </w:tcPr>
          <w:p w14:paraId="4741565D" w14:textId="77777777" w:rsidR="00C600CF" w:rsidRPr="000179AE" w:rsidRDefault="00C600CF" w:rsidP="00512217">
            <w:pPr>
              <w:pStyle w:val="TableBody"/>
              <w:keepNext/>
              <w:keepLines/>
              <w:spacing w:before="80" w:after="80"/>
              <w:ind w:left="142" w:right="119"/>
              <w:rPr>
                <w:rFonts w:ascii="Tahoma" w:hAnsi="Tahoma" w:cs="Tahoma"/>
                <w:b/>
                <w:bCs/>
                <w:color w:val="262626" w:themeColor="text1" w:themeTint="D9"/>
              </w:rPr>
            </w:pPr>
            <w:r>
              <w:rPr>
                <w:rFonts w:ascii="Tahoma" w:hAnsi="Tahoma" w:cs="Tahoma"/>
                <w:b/>
                <w:bCs/>
                <w:color w:val="262626" w:themeColor="text1" w:themeTint="D9"/>
              </w:rPr>
              <w:t>Customer outcomes vary significantly between and within retailers</w:t>
            </w:r>
          </w:p>
        </w:tc>
      </w:tr>
      <w:tr w:rsidR="00C600CF" w:rsidRPr="000179AE" w14:paraId="1C27B45D" w14:textId="77777777" w:rsidTr="00C10E0C">
        <w:tblPrEx>
          <w:tblCellMar>
            <w:top w:w="57" w:type="dxa"/>
            <w:bottom w:w="57" w:type="dxa"/>
          </w:tblCellMar>
        </w:tblPrEx>
        <w:tc>
          <w:tcPr>
            <w:tcW w:w="1873" w:type="dxa"/>
            <w:vMerge w:val="restart"/>
            <w:shd w:val="clear" w:color="auto" w:fill="B5DACE" w:themeFill="accent5" w:themeFillTint="40"/>
            <w:vAlign w:val="center"/>
          </w:tcPr>
          <w:p w14:paraId="20240F35" w14:textId="7FEF2F16" w:rsidR="00C600CF" w:rsidRPr="000179AE" w:rsidRDefault="00C600CF" w:rsidP="00512217">
            <w:pPr>
              <w:pStyle w:val="TableBody"/>
              <w:keepNext/>
              <w:keepLines/>
              <w:ind w:left="284" w:right="-2"/>
              <w:jc w:val="center"/>
              <w:rPr>
                <w:rFonts w:ascii="Tahoma" w:hAnsi="Tahoma" w:cs="Tahoma"/>
                <w:noProof/>
                <w:color w:val="262626" w:themeColor="text1" w:themeTint="D9"/>
              </w:rPr>
            </w:pPr>
            <w:r w:rsidRPr="000179AE">
              <w:rPr>
                <w:rFonts w:ascii="Tahoma" w:hAnsi="Tahoma" w:cs="Tahoma"/>
                <w:noProof/>
                <w:color w:val="262626" w:themeColor="text1" w:themeTint="D9"/>
              </w:rPr>
              <w:drawing>
                <wp:inline distT="0" distB="0" distL="0" distR="0" wp14:anchorId="15EE6D95" wp14:editId="71BF8CD5">
                  <wp:extent cx="864000" cy="864000"/>
                  <wp:effectExtent l="0" t="0" r="0" b="0"/>
                  <wp:docPr id="99995" name="Picture 99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5" name="Picture 99995">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6521" w:type="dxa"/>
            <w:tcBorders>
              <w:top w:val="nil"/>
              <w:bottom w:val="nil"/>
            </w:tcBorders>
            <w:shd w:val="clear" w:color="auto" w:fill="B5DACE" w:themeFill="accent5" w:themeFillTint="40"/>
            <w:vAlign w:val="center"/>
          </w:tcPr>
          <w:p w14:paraId="226820DF" w14:textId="09E3CCCC" w:rsidR="00C600CF" w:rsidRDefault="00C600CF" w:rsidP="00512217">
            <w:pPr>
              <w:pStyle w:val="ListBullet"/>
              <w:keepNext/>
              <w:keepLines/>
              <w:spacing w:before="0"/>
              <w:ind w:left="357" w:hanging="357"/>
              <w:contextualSpacing w:val="0"/>
            </w:pPr>
            <w:r w:rsidRPr="001551CC">
              <w:t xml:space="preserve">Improve appropriateness and timing of assistance provided </w:t>
            </w:r>
            <w:r w:rsidR="00573548">
              <w:t xml:space="preserve">by retailers </w:t>
            </w:r>
            <w:r w:rsidRPr="001551CC">
              <w:t>to customers about lowering energy usage and costs.</w:t>
            </w:r>
          </w:p>
        </w:tc>
        <w:tc>
          <w:tcPr>
            <w:tcW w:w="1417" w:type="dxa"/>
            <w:tcBorders>
              <w:top w:val="nil"/>
              <w:bottom w:val="nil"/>
            </w:tcBorders>
            <w:shd w:val="clear" w:color="auto" w:fill="B5DACE" w:themeFill="accent5" w:themeFillTint="40"/>
            <w:vAlign w:val="center"/>
          </w:tcPr>
          <w:p w14:paraId="0FC1E2D5" w14:textId="77777777" w:rsidR="00C600CF" w:rsidRPr="00C82D1A" w:rsidRDefault="00C600CF" w:rsidP="00512217">
            <w:pPr>
              <w:pStyle w:val="ListBullet"/>
              <w:keepNext/>
              <w:keepLines/>
              <w:numPr>
                <w:ilvl w:val="0"/>
                <w:numId w:val="0"/>
              </w:numPr>
              <w:spacing w:before="0" w:line="240" w:lineRule="auto"/>
              <w:jc w:val="center"/>
              <w:rPr>
                <w:b/>
                <w:bCs/>
                <w:color w:val="CE0058" w:themeColor="accent2"/>
              </w:rPr>
            </w:pPr>
            <w:r w:rsidRPr="00046BFF">
              <w:rPr>
                <w:b/>
                <w:bCs/>
                <w:color w:val="CE0058" w:themeColor="accent2"/>
              </w:rPr>
              <w:t>Priority</w:t>
            </w:r>
          </w:p>
        </w:tc>
      </w:tr>
      <w:tr w:rsidR="00C600CF" w:rsidRPr="000179AE" w14:paraId="1B4FDC5B" w14:textId="77777777" w:rsidTr="00C10E0C">
        <w:tblPrEx>
          <w:tblCellMar>
            <w:top w:w="57" w:type="dxa"/>
            <w:bottom w:w="57" w:type="dxa"/>
          </w:tblCellMar>
        </w:tblPrEx>
        <w:tc>
          <w:tcPr>
            <w:tcW w:w="1873" w:type="dxa"/>
            <w:vMerge/>
            <w:shd w:val="clear" w:color="auto" w:fill="B5DACE" w:themeFill="accent5" w:themeFillTint="40"/>
            <w:vAlign w:val="center"/>
          </w:tcPr>
          <w:p w14:paraId="3A3F02FE" w14:textId="77777777" w:rsidR="00C600CF" w:rsidRPr="000179AE" w:rsidRDefault="00C600CF" w:rsidP="00512217">
            <w:pPr>
              <w:pStyle w:val="TableBody"/>
              <w:keepNext/>
              <w:keepLines/>
              <w:ind w:left="284" w:right="-2"/>
              <w:jc w:val="center"/>
              <w:rPr>
                <w:rFonts w:ascii="Tahoma" w:hAnsi="Tahoma" w:cs="Tahoma"/>
                <w:noProof/>
                <w:color w:val="262626" w:themeColor="text1" w:themeTint="D9"/>
              </w:rPr>
            </w:pPr>
          </w:p>
        </w:tc>
        <w:tc>
          <w:tcPr>
            <w:tcW w:w="6521" w:type="dxa"/>
            <w:tcBorders>
              <w:top w:val="nil"/>
              <w:bottom w:val="nil"/>
            </w:tcBorders>
            <w:shd w:val="clear" w:color="auto" w:fill="B5DACE" w:themeFill="accent5" w:themeFillTint="40"/>
            <w:vAlign w:val="center"/>
          </w:tcPr>
          <w:p w14:paraId="1E628E63" w14:textId="08116157" w:rsidR="00C600CF" w:rsidRDefault="00C600CF" w:rsidP="00512217">
            <w:pPr>
              <w:pStyle w:val="ListBullet"/>
              <w:keepNext/>
              <w:keepLines/>
              <w:spacing w:before="0"/>
              <w:ind w:left="357" w:hanging="357"/>
              <w:contextualSpacing w:val="0"/>
            </w:pPr>
            <w:r w:rsidRPr="001551CC">
              <w:t xml:space="preserve">Increase </w:t>
            </w:r>
            <w:r w:rsidR="00573548">
              <w:t>retailers’</w:t>
            </w:r>
            <w:r w:rsidRPr="001551CC">
              <w:t xml:space="preserve"> understanding of customers in payment difficulty with high energy use, to help to tailor approaches to energy efficiency.</w:t>
            </w:r>
          </w:p>
        </w:tc>
        <w:tc>
          <w:tcPr>
            <w:tcW w:w="1417" w:type="dxa"/>
            <w:tcBorders>
              <w:top w:val="nil"/>
              <w:bottom w:val="nil"/>
            </w:tcBorders>
            <w:shd w:val="clear" w:color="auto" w:fill="B5DACE" w:themeFill="accent5" w:themeFillTint="40"/>
            <w:vAlign w:val="center"/>
          </w:tcPr>
          <w:p w14:paraId="45FD23B6" w14:textId="77777777" w:rsidR="00C600CF" w:rsidRPr="00C82D1A" w:rsidRDefault="00C600CF" w:rsidP="00512217">
            <w:pPr>
              <w:pStyle w:val="ListBullet"/>
              <w:keepNext/>
              <w:keepLines/>
              <w:numPr>
                <w:ilvl w:val="0"/>
                <w:numId w:val="0"/>
              </w:numPr>
              <w:spacing w:before="0" w:line="240" w:lineRule="auto"/>
              <w:jc w:val="center"/>
              <w:rPr>
                <w:b/>
                <w:bCs/>
                <w:color w:val="CE0058" w:themeColor="accent2"/>
              </w:rPr>
            </w:pPr>
          </w:p>
        </w:tc>
      </w:tr>
      <w:tr w:rsidR="00C600CF" w:rsidRPr="000179AE" w14:paraId="3A5BF249" w14:textId="77777777" w:rsidTr="00256440">
        <w:tblPrEx>
          <w:tblCellMar>
            <w:top w:w="57" w:type="dxa"/>
            <w:bottom w:w="57" w:type="dxa"/>
          </w:tblCellMar>
        </w:tblPrEx>
        <w:tc>
          <w:tcPr>
            <w:tcW w:w="1873" w:type="dxa"/>
            <w:vMerge/>
            <w:shd w:val="clear" w:color="auto" w:fill="B5DACE" w:themeFill="accent5" w:themeFillTint="40"/>
            <w:vAlign w:val="center"/>
          </w:tcPr>
          <w:p w14:paraId="61C53D5D" w14:textId="77777777" w:rsidR="00C600CF" w:rsidRPr="000179AE" w:rsidRDefault="00C600CF" w:rsidP="00512217">
            <w:pPr>
              <w:pStyle w:val="TableBody"/>
              <w:keepNext/>
              <w:keepLines/>
              <w:ind w:left="284" w:right="-2"/>
              <w:jc w:val="center"/>
              <w:rPr>
                <w:rFonts w:ascii="Tahoma" w:hAnsi="Tahoma" w:cs="Tahoma"/>
                <w:noProof/>
                <w:color w:val="262626" w:themeColor="text1" w:themeTint="D9"/>
              </w:rPr>
            </w:pPr>
          </w:p>
        </w:tc>
        <w:tc>
          <w:tcPr>
            <w:tcW w:w="6521" w:type="dxa"/>
            <w:tcBorders>
              <w:top w:val="nil"/>
              <w:bottom w:val="single" w:sz="24" w:space="0" w:color="6CB59D" w:themeColor="accent5" w:themeTint="80"/>
            </w:tcBorders>
            <w:shd w:val="clear" w:color="auto" w:fill="B5DACE" w:themeFill="accent5" w:themeFillTint="40"/>
            <w:vAlign w:val="center"/>
          </w:tcPr>
          <w:p w14:paraId="66CFFC5D" w14:textId="49CCB8BF" w:rsidR="00C600CF" w:rsidRDefault="00573548" w:rsidP="00512217">
            <w:pPr>
              <w:pStyle w:val="ListBullet"/>
              <w:keepNext/>
              <w:keepLines/>
              <w:spacing w:before="0"/>
              <w:ind w:left="357" w:hanging="357"/>
              <w:contextualSpacing w:val="0"/>
            </w:pPr>
            <w:r>
              <w:t>Improve the way that retailers link customers</w:t>
            </w:r>
            <w:r w:rsidR="00C600CF" w:rsidRPr="001551CC">
              <w:t xml:space="preserve"> to existing energy efficiency and usage schemes and programs.</w:t>
            </w:r>
          </w:p>
        </w:tc>
        <w:tc>
          <w:tcPr>
            <w:tcW w:w="1417" w:type="dxa"/>
            <w:tcBorders>
              <w:top w:val="nil"/>
              <w:bottom w:val="single" w:sz="24" w:space="0" w:color="6CB59D" w:themeColor="accent5" w:themeTint="80"/>
            </w:tcBorders>
            <w:shd w:val="clear" w:color="auto" w:fill="B5DACE" w:themeFill="accent5" w:themeFillTint="40"/>
            <w:vAlign w:val="center"/>
          </w:tcPr>
          <w:p w14:paraId="541164FC" w14:textId="77777777" w:rsidR="00C600CF" w:rsidRPr="00C82D1A" w:rsidRDefault="00C600CF" w:rsidP="00512217">
            <w:pPr>
              <w:pStyle w:val="ListBullet"/>
              <w:keepNext/>
              <w:keepLines/>
              <w:numPr>
                <w:ilvl w:val="0"/>
                <w:numId w:val="0"/>
              </w:numPr>
              <w:spacing w:before="0" w:line="240" w:lineRule="auto"/>
              <w:jc w:val="center"/>
              <w:rPr>
                <w:b/>
                <w:bCs/>
                <w:color w:val="CE0058" w:themeColor="accent2"/>
              </w:rPr>
            </w:pPr>
          </w:p>
        </w:tc>
      </w:tr>
      <w:tr w:rsidR="00C600CF" w:rsidRPr="000179AE" w14:paraId="3C65214B" w14:textId="77777777" w:rsidTr="006F1802">
        <w:tblPrEx>
          <w:tblCellMar>
            <w:top w:w="57" w:type="dxa"/>
            <w:bottom w:w="57" w:type="dxa"/>
          </w:tblCellMar>
        </w:tblPrEx>
        <w:tc>
          <w:tcPr>
            <w:tcW w:w="9811" w:type="dxa"/>
            <w:gridSpan w:val="3"/>
            <w:tcBorders>
              <w:top w:val="single" w:sz="24" w:space="0" w:color="6CB59D" w:themeColor="accent5" w:themeTint="80"/>
              <w:bottom w:val="nil"/>
            </w:tcBorders>
            <w:shd w:val="clear" w:color="auto" w:fill="B5DACE" w:themeFill="accent5" w:themeFillTint="40"/>
          </w:tcPr>
          <w:p w14:paraId="746AB315" w14:textId="77777777" w:rsidR="00C600CF" w:rsidRPr="000179AE" w:rsidRDefault="00C600CF" w:rsidP="00512217">
            <w:pPr>
              <w:pStyle w:val="TableBody"/>
              <w:keepNext/>
              <w:keepLines/>
              <w:spacing w:before="120" w:after="80"/>
              <w:ind w:left="142" w:right="119"/>
              <w:rPr>
                <w:rFonts w:ascii="Tahoma" w:hAnsi="Tahoma" w:cs="Tahoma"/>
                <w:b/>
                <w:bCs/>
                <w:color w:val="262626" w:themeColor="text1" w:themeTint="D9"/>
              </w:rPr>
            </w:pPr>
            <w:r w:rsidRPr="0013353A">
              <w:rPr>
                <w:rFonts w:ascii="Tahoma" w:hAnsi="Tahoma" w:cs="Tahoma"/>
                <w:b/>
                <w:bCs/>
                <w:color w:val="262626" w:themeColor="text1" w:themeTint="D9"/>
              </w:rPr>
              <w:t xml:space="preserve">The level and quality of retailer-customer engagement </w:t>
            </w:r>
            <w:r>
              <w:rPr>
                <w:rFonts w:ascii="Tahoma" w:hAnsi="Tahoma" w:cs="Tahoma"/>
                <w:b/>
                <w:bCs/>
                <w:color w:val="262626" w:themeColor="text1" w:themeTint="D9"/>
              </w:rPr>
              <w:t>a</w:t>
            </w:r>
            <w:r w:rsidRPr="0013353A">
              <w:rPr>
                <w:rFonts w:ascii="Tahoma" w:hAnsi="Tahoma" w:cs="Tahoma"/>
                <w:b/>
                <w:bCs/>
                <w:color w:val="262626" w:themeColor="text1" w:themeTint="D9"/>
              </w:rPr>
              <w:t>ffects customer outcomes</w:t>
            </w:r>
          </w:p>
        </w:tc>
      </w:tr>
      <w:tr w:rsidR="00C600CF" w:rsidRPr="000179AE" w14:paraId="4487010B" w14:textId="77777777" w:rsidTr="006F1802">
        <w:tblPrEx>
          <w:tblCellMar>
            <w:top w:w="57" w:type="dxa"/>
            <w:bottom w:w="57" w:type="dxa"/>
          </w:tblCellMar>
        </w:tblPrEx>
        <w:tc>
          <w:tcPr>
            <w:tcW w:w="1873" w:type="dxa"/>
            <w:tcBorders>
              <w:bottom w:val="single" w:sz="24" w:space="0" w:color="6CB59D" w:themeColor="accent5" w:themeTint="80"/>
            </w:tcBorders>
            <w:shd w:val="clear" w:color="auto" w:fill="B5DACE" w:themeFill="accent5" w:themeFillTint="40"/>
            <w:vAlign w:val="center"/>
          </w:tcPr>
          <w:p w14:paraId="3128E63D" w14:textId="2A7424BC" w:rsidR="00C600CF" w:rsidRPr="000179AE" w:rsidRDefault="00C600CF" w:rsidP="00512217">
            <w:pPr>
              <w:pStyle w:val="TableBody"/>
              <w:keepNext/>
              <w:keepLines/>
              <w:ind w:left="284" w:right="-2"/>
              <w:jc w:val="center"/>
              <w:rPr>
                <w:noProof/>
                <w:color w:val="262626" w:themeColor="text1" w:themeTint="D9"/>
              </w:rPr>
            </w:pPr>
            <w:r w:rsidRPr="000179AE">
              <w:rPr>
                <w:noProof/>
                <w:color w:val="262626" w:themeColor="text1" w:themeTint="D9"/>
              </w:rPr>
              <w:drawing>
                <wp:inline distT="0" distB="0" distL="0" distR="0" wp14:anchorId="44B1F978" wp14:editId="5C8AC123">
                  <wp:extent cx="864000" cy="864000"/>
                  <wp:effectExtent l="0" t="0" r="0" b="0"/>
                  <wp:docPr id="99997" name="Picture 99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7" name="Picture 99997">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6521" w:type="dxa"/>
            <w:tcBorders>
              <w:top w:val="nil"/>
              <w:bottom w:val="single" w:sz="24" w:space="0" w:color="6CB59D" w:themeColor="accent5" w:themeTint="80"/>
            </w:tcBorders>
            <w:shd w:val="clear" w:color="auto" w:fill="B5DACE" w:themeFill="accent5" w:themeFillTint="40"/>
            <w:vAlign w:val="center"/>
          </w:tcPr>
          <w:p w14:paraId="09158509" w14:textId="4AEB384F" w:rsidR="00C600CF" w:rsidRPr="0013353A" w:rsidRDefault="00C600CF" w:rsidP="00512217">
            <w:pPr>
              <w:pStyle w:val="ListBullet"/>
              <w:keepNext/>
              <w:keepLines/>
              <w:spacing w:before="0"/>
              <w:ind w:left="357" w:hanging="357"/>
              <w:contextualSpacing w:val="0"/>
            </w:pPr>
            <w:r w:rsidRPr="00046BFF">
              <w:t xml:space="preserve">Improve </w:t>
            </w:r>
            <w:r w:rsidR="00573548">
              <w:t>retailer links with</w:t>
            </w:r>
            <w:r w:rsidRPr="00046BFF">
              <w:t xml:space="preserve"> trusted third parties who support their clients or customers.</w:t>
            </w:r>
          </w:p>
        </w:tc>
        <w:tc>
          <w:tcPr>
            <w:tcW w:w="1417" w:type="dxa"/>
            <w:tcBorders>
              <w:top w:val="nil"/>
              <w:bottom w:val="single" w:sz="24" w:space="0" w:color="6CB59D" w:themeColor="accent5" w:themeTint="80"/>
            </w:tcBorders>
            <w:shd w:val="clear" w:color="auto" w:fill="B5DACE" w:themeFill="accent5" w:themeFillTint="40"/>
            <w:vAlign w:val="center"/>
          </w:tcPr>
          <w:p w14:paraId="199D59B4" w14:textId="77777777" w:rsidR="00C600CF" w:rsidRPr="00046BFF" w:rsidRDefault="00C600CF" w:rsidP="00512217">
            <w:pPr>
              <w:pStyle w:val="ListBullet"/>
              <w:keepNext/>
              <w:keepLines/>
              <w:numPr>
                <w:ilvl w:val="0"/>
                <w:numId w:val="0"/>
              </w:numPr>
              <w:spacing w:before="0" w:line="240" w:lineRule="auto"/>
              <w:rPr>
                <w:b/>
                <w:bCs/>
                <w:color w:val="CE0058" w:themeColor="accent2"/>
              </w:rPr>
            </w:pPr>
          </w:p>
        </w:tc>
      </w:tr>
    </w:tbl>
    <w:p w14:paraId="74BD69CA" w14:textId="5CE843E4" w:rsidR="00C43F4C" w:rsidRDefault="00C43F4C" w:rsidP="00512217">
      <w:pPr>
        <w:pStyle w:val="Heading2"/>
        <w:spacing w:before="360"/>
      </w:pPr>
      <w:bookmarkStart w:id="210" w:name="_Toc104850137"/>
      <w:bookmarkStart w:id="211" w:name="_Ref100097997"/>
      <w:bookmarkStart w:id="212" w:name="_Toc100135071"/>
      <w:bookmarkStart w:id="213" w:name="_Toc100098139"/>
      <w:bookmarkStart w:id="214" w:name="_Toc100145068"/>
      <w:bookmarkEnd w:id="141"/>
      <w:bookmarkEnd w:id="142"/>
      <w:bookmarkEnd w:id="143"/>
      <w:r>
        <w:t xml:space="preserve">Pause on </w:t>
      </w:r>
      <w:r w:rsidR="0015558C">
        <w:t>arrears</w:t>
      </w:r>
      <w:r>
        <w:t xml:space="preserve"> payments for up to six months and part-payments of future bills</w:t>
      </w:r>
      <w:bookmarkEnd w:id="210"/>
    </w:p>
    <w:p w14:paraId="219065A4" w14:textId="77777777" w:rsidR="00C43F4C" w:rsidRDefault="00C43F4C" w:rsidP="00C43F4C">
      <w:r>
        <w:t>Customers who cannot pay for their on-going usage are entitled to:</w:t>
      </w:r>
      <w:r>
        <w:rPr>
          <w:rStyle w:val="FootnoteReference"/>
        </w:rPr>
        <w:footnoteReference w:id="122"/>
      </w:r>
    </w:p>
    <w:p w14:paraId="3B9816C6" w14:textId="77777777" w:rsidR="00C43F4C" w:rsidRDefault="00C43F4C" w:rsidP="00C43F4C">
      <w:pPr>
        <w:pStyle w:val="Quote"/>
      </w:pPr>
      <w:r w:rsidRPr="00462682">
        <w:t xml:space="preserve">(g) an initial period of at least six months during which: </w:t>
      </w:r>
    </w:p>
    <w:p w14:paraId="54AE8DBC" w14:textId="77777777" w:rsidR="00C43F4C" w:rsidRDefault="00C43F4C" w:rsidP="00C43F4C">
      <w:pPr>
        <w:pStyle w:val="Quote"/>
        <w:ind w:left="1134" w:hanging="567"/>
      </w:pPr>
      <w:r w:rsidRPr="00462682">
        <w:t xml:space="preserve">(i) </w:t>
      </w:r>
      <w:r>
        <w:tab/>
      </w:r>
      <w:r w:rsidRPr="00462682">
        <w:t xml:space="preserve">repayment of the residential customer’s arrears is put on hold; </w:t>
      </w:r>
    </w:p>
    <w:p w14:paraId="47803D0A" w14:textId="59F8394D" w:rsidR="00C43F4C" w:rsidRDefault="00C43F4C" w:rsidP="00C43F4C">
      <w:pPr>
        <w:pStyle w:val="Quote"/>
        <w:ind w:left="1134" w:hanging="567"/>
      </w:pPr>
      <w:r w:rsidRPr="00462682">
        <w:t xml:space="preserve">(ii) </w:t>
      </w:r>
      <w:r>
        <w:tab/>
      </w:r>
      <w:r w:rsidRPr="00462682">
        <w:t>the residential customer pays less than the full cost of their on-going energy use while working to lower that cost</w:t>
      </w:r>
      <w:r w:rsidR="00DC5FB7" w:rsidRPr="00462682">
        <w:t>.</w:t>
      </w:r>
    </w:p>
    <w:p w14:paraId="1C886D05" w14:textId="0AF2D3EE" w:rsidR="00571209" w:rsidRDefault="00C43F4C" w:rsidP="00C43F4C">
      <w:r>
        <w:lastRenderedPageBreak/>
        <w:t>This form of assistance may not be widely accessed by customers. Our call recording</w:t>
      </w:r>
      <w:r w:rsidR="00BB6050">
        <w:t>s</w:t>
      </w:r>
      <w:r>
        <w:t xml:space="preserve"> study noted that it was offered in only 2.3 per cent of the call recordings assessed.</w:t>
      </w:r>
      <w:r>
        <w:rPr>
          <w:rStyle w:val="FootnoteReference"/>
        </w:rPr>
        <w:footnoteReference w:id="123"/>
      </w:r>
      <w:r>
        <w:t xml:space="preserve"> </w:t>
      </w:r>
    </w:p>
    <w:p w14:paraId="1DB27703" w14:textId="39F6F24B" w:rsidR="00C43F4C" w:rsidRDefault="00C43F4C" w:rsidP="00C43F4C">
      <w:r>
        <w:t>Origin Energy noted that customers receiving this type of assistance are ‘likely to be experiencing more severe payment difficulty’ and would be supported by a specialist team.</w:t>
      </w:r>
      <w:r>
        <w:rPr>
          <w:rStyle w:val="FootnoteReference"/>
        </w:rPr>
        <w:footnoteReference w:id="124"/>
      </w:r>
      <w:r w:rsidR="006B3105">
        <w:t xml:space="preserve"> </w:t>
      </w:r>
      <w:r w:rsidR="00784B49">
        <w:t>The Energy and Water Ombudsman of Victoria</w:t>
      </w:r>
      <w:r w:rsidR="006B3105">
        <w:t xml:space="preserve"> also reported that out of a sample of 90 cases it reviewed, only four cases involved a customers’ arrears being put on hold.</w:t>
      </w:r>
      <w:r w:rsidR="006B3105">
        <w:rPr>
          <w:rStyle w:val="FootnoteReference"/>
        </w:rPr>
        <w:footnoteReference w:id="125"/>
      </w:r>
    </w:p>
    <w:p w14:paraId="628C616A" w14:textId="227F1895" w:rsidR="00C43F4C" w:rsidRDefault="00C43F4C" w:rsidP="00C43F4C">
      <w:pPr>
        <w:pStyle w:val="Heading3"/>
      </w:pPr>
      <w:r>
        <w:t xml:space="preserve">Pausing </w:t>
      </w:r>
      <w:r w:rsidR="0015558C">
        <w:t>arrears</w:t>
      </w:r>
      <w:r>
        <w:t xml:space="preserve"> payments can provide temporary relief to some customers, or could </w:t>
      </w:r>
      <w:r w:rsidRPr="00905226">
        <w:t>contributing to some customers’ increased arrears</w:t>
      </w:r>
    </w:p>
    <w:p w14:paraId="5A3E969C" w14:textId="77777777" w:rsidR="00571209" w:rsidRDefault="00C43F4C" w:rsidP="00C43F4C">
      <w:r>
        <w:t xml:space="preserve">Stakeholders expressed different views regarding the appropriateness of allowing customers to pause their repayment of arrears. </w:t>
      </w:r>
    </w:p>
    <w:p w14:paraId="1DB760F1" w14:textId="553123F2" w:rsidR="00C43F4C" w:rsidRDefault="00C43F4C" w:rsidP="00C43F4C">
      <w:r>
        <w:t>Alinta Energy noted the benefits of this assistance for providing relief for customers facing short-term financial difficulty, but ‘</w:t>
      </w:r>
      <w:r w:rsidRPr="00D87D1A">
        <w:t xml:space="preserve">doesn’t provide the customer tools to help manage </w:t>
      </w:r>
      <w:r w:rsidR="0015558C">
        <w:t>arrears</w:t>
      </w:r>
      <w:r w:rsidRPr="00D87D1A">
        <w:t xml:space="preserve"> whilst supporting ongoing consumption longer term</w:t>
      </w:r>
      <w:r>
        <w:t>’.</w:t>
      </w:r>
      <w:r>
        <w:rPr>
          <w:rStyle w:val="FootnoteReference"/>
        </w:rPr>
        <w:footnoteReference w:id="126"/>
      </w:r>
    </w:p>
    <w:p w14:paraId="1F0ECB07" w14:textId="34A53BB0" w:rsidR="00C43F4C" w:rsidRDefault="00C43F4C" w:rsidP="00C43F4C">
      <w:r>
        <w:t xml:space="preserve">In the case of customers who cannot pay for their ongoing energy use, retailers considered that pausing </w:t>
      </w:r>
      <w:r w:rsidR="0015558C">
        <w:t>arrears</w:t>
      </w:r>
      <w:r>
        <w:t xml:space="preserve"> payments could increase a customer’s arrears and may further compound customers’ financial positions. This would be a particular issue for those already in high arrears.</w:t>
      </w:r>
      <w:r>
        <w:rPr>
          <w:rStyle w:val="FootnoteReference"/>
        </w:rPr>
        <w:footnoteReference w:id="127"/>
      </w:r>
      <w:r>
        <w:t xml:space="preserve">  Energy Australia found this assistance “more suitable for lower debt” and that it would otherwise “increase the likelihood of arrears becoming unmanageable”.</w:t>
      </w:r>
      <w:r>
        <w:rPr>
          <w:rStyle w:val="FootnoteReference"/>
        </w:rPr>
        <w:footnoteReference w:id="128"/>
      </w:r>
      <w:r w:rsidRPr="00F15196">
        <w:t xml:space="preserve"> </w:t>
      </w:r>
    </w:p>
    <w:p w14:paraId="158F9E57" w14:textId="513BEA19" w:rsidR="00C43F4C" w:rsidRDefault="00F216D2" w:rsidP="00C43F4C">
      <w:r>
        <w:t xml:space="preserve">EnergyAustralia and Origin Energy </w:t>
      </w:r>
      <w:r w:rsidR="00C43F4C">
        <w:t>suggested that this form of assistance may be more effective when offered in conjunction with other external assistance, such as a financial counsellor supporting a customer’s general ability to manage their finances</w:t>
      </w:r>
      <w:r>
        <w:t>:</w:t>
      </w:r>
    </w:p>
    <w:p w14:paraId="20F9DF19" w14:textId="77777777" w:rsidR="00C43F4C" w:rsidRDefault="00C43F4C" w:rsidP="00C43F4C">
      <w:pPr>
        <w:pStyle w:val="Quote"/>
      </w:pPr>
      <w:r>
        <w:lastRenderedPageBreak/>
        <w:t>While we are supportive of providing this payment assistance where it is suitable, we believe access to this form of payment plan should require more formal consideration of a customer’s affordability and following assistance from an accredited financial counsellor.</w:t>
      </w:r>
      <w:r>
        <w:rPr>
          <w:rStyle w:val="FootnoteReference"/>
        </w:rPr>
        <w:footnoteReference w:id="129"/>
      </w:r>
    </w:p>
    <w:p w14:paraId="2CF09375" w14:textId="77777777" w:rsidR="00C43F4C" w:rsidRDefault="00C43F4C" w:rsidP="00C43F4C">
      <w:pPr>
        <w:pStyle w:val="Quote"/>
      </w:pPr>
      <w:r w:rsidRPr="00B5216D">
        <w:t>This increased debt is then more difficult to manage when the customer reaches the end of their repayment plan because their debt has increased over the hold period. We think this is particularly problematic because there is no need for the customer to be engaging with external assistance or support during the hold period. We know that early engagement with support results in better outcomes. Customers would be better served by seeking the assistance of (for example) a financial counsellor at the beginning of any debt hold period than at the end of one.</w:t>
      </w:r>
      <w:r>
        <w:rPr>
          <w:rStyle w:val="FootnoteReference"/>
        </w:rPr>
        <w:footnoteReference w:id="130"/>
      </w:r>
    </w:p>
    <w:p w14:paraId="2455AD06" w14:textId="77777777" w:rsidR="00C43F4C" w:rsidRPr="003D1838" w:rsidRDefault="00C43F4C" w:rsidP="00C43F4C">
      <w:r>
        <w:t>Some stakeholders suggested that retailers voluntarily consider other options, such as debt waivers or payment matching, depending on a customer’s circumstances. We note that some retailers do offer this type of assistance, but these are beyond the requirements of the framework.</w:t>
      </w:r>
    </w:p>
    <w:p w14:paraId="05DB7788" w14:textId="7361183F" w:rsidR="00C43F4C" w:rsidRPr="002C5671" w:rsidRDefault="00C43F4C" w:rsidP="00223D39">
      <w:pPr>
        <w:pStyle w:val="Pull-outHeading"/>
        <w:keepNext/>
        <w:keepLines/>
      </w:pPr>
      <w:bookmarkStart w:id="215" w:name="_Toc102086778"/>
      <w:r w:rsidRPr="002C5671">
        <w:lastRenderedPageBreak/>
        <w:t>Call recording</w:t>
      </w:r>
      <w:r w:rsidR="00CF6C1E">
        <w:t>s</w:t>
      </w:r>
      <w:r w:rsidRPr="002C5671">
        <w:t xml:space="preserve"> case study</w:t>
      </w:r>
      <w:r>
        <w:t xml:space="preserve"> </w:t>
      </w:r>
      <w:r w:rsidRPr="00894535">
        <w:fldChar w:fldCharType="begin"/>
      </w:r>
      <w:r w:rsidRPr="00894535">
        <w:instrText xml:space="preserve"> SEQ Call_recording_case_study \* ARABIC </w:instrText>
      </w:r>
      <w:r w:rsidRPr="00894535">
        <w:fldChar w:fldCharType="separate"/>
      </w:r>
      <w:r w:rsidR="00357DD7">
        <w:rPr>
          <w:noProof/>
        </w:rPr>
        <w:t>7</w:t>
      </w:r>
      <w:r w:rsidRPr="00894535">
        <w:fldChar w:fldCharType="end"/>
      </w:r>
      <w:r w:rsidRPr="00894535">
        <w:t>: repayment of the residential customer’s arrears put on hold</w:t>
      </w:r>
      <w:bookmarkEnd w:id="215"/>
    </w:p>
    <w:p w14:paraId="4F85404C" w14:textId="4C79278F" w:rsidR="00C43F4C" w:rsidRDefault="00C43F4C" w:rsidP="00223D39">
      <w:pPr>
        <w:pStyle w:val="Pull-out2"/>
        <w:keepNext/>
        <w:keepLines/>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accent3" w:themeFillTint="66"/>
      </w:pPr>
      <w:r>
        <w:t xml:space="preserve">Customer journey 3 provides an example of </w:t>
      </w:r>
      <w:r w:rsidR="0025396C">
        <w:t xml:space="preserve">a customer receiving a </w:t>
      </w:r>
      <w:r>
        <w:t xml:space="preserve">deferment of payments. The customer, who lived in low-quality housing, had high levels of arrears. They also experienced ongoing financial strain due to employment insecurity, making their payment plan increasingly unaffordable. </w:t>
      </w:r>
    </w:p>
    <w:p w14:paraId="46007DAC" w14:textId="7DB70ACA" w:rsidR="00C43F4C" w:rsidRDefault="00C43F4C" w:rsidP="00223D39">
      <w:pPr>
        <w:pStyle w:val="Pull-out2"/>
        <w:keepNext/>
        <w:keepLines/>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accent3" w:themeFillTint="66"/>
      </w:pPr>
      <w:r>
        <w:t>The customer’s payments were deferred on two separate occasions</w:t>
      </w:r>
      <w:r w:rsidR="00223D39">
        <w:t>:</w:t>
      </w:r>
      <w:r>
        <w:t xml:space="preserve"> once towards the end of 2019</w:t>
      </w:r>
      <w:r w:rsidR="007121A9">
        <w:t xml:space="preserve"> for </w:t>
      </w:r>
      <w:r w:rsidR="00826DF2">
        <w:t>more than fo</w:t>
      </w:r>
      <w:r w:rsidR="00B670D0">
        <w:t>u</w:t>
      </w:r>
      <w:r w:rsidR="00826DF2">
        <w:t>r months</w:t>
      </w:r>
      <w:r>
        <w:t xml:space="preserve"> and again in the beginning of 2021</w:t>
      </w:r>
      <w:r w:rsidR="007121A9">
        <w:t xml:space="preserve"> </w:t>
      </w:r>
      <w:r w:rsidR="007121A9" w:rsidRPr="00AF5462">
        <w:t>for four weeks</w:t>
      </w:r>
      <w:r>
        <w:t xml:space="preserve">. </w:t>
      </w:r>
    </w:p>
    <w:bookmarkEnd w:id="211"/>
    <w:bookmarkEnd w:id="212"/>
    <w:bookmarkEnd w:id="213"/>
    <w:bookmarkEnd w:id="214"/>
    <w:p w14:paraId="1BE21610" w14:textId="1202811F" w:rsidR="00C43F4C" w:rsidRPr="00596A78" w:rsidRDefault="00C43F4C" w:rsidP="00223D39">
      <w:pPr>
        <w:pStyle w:val="Pull-out2"/>
        <w:keepNext/>
        <w:keepLines/>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pPr>
      <w:r>
        <w:t>The gap between the deferrals indicates that it was useful the first time, as the</w:t>
      </w:r>
      <w:r w:rsidR="00826DF2">
        <w:t>re is no indication the</w:t>
      </w:r>
      <w:r>
        <w:t xml:space="preserve"> customer </w:t>
      </w:r>
      <w:r w:rsidR="00826DF2">
        <w:t>required</w:t>
      </w:r>
      <w:r>
        <w:t xml:space="preserve"> further deferment of the payment in 2019. </w:t>
      </w:r>
      <w:r w:rsidR="00716D99">
        <w:t>T</w:t>
      </w:r>
      <w:r>
        <w:t xml:space="preserve">he second time, the payment deferral was </w:t>
      </w:r>
      <w:r w:rsidRPr="00AF5462">
        <w:t>followed by the retailer</w:t>
      </w:r>
      <w:r w:rsidR="00F5620C" w:rsidRPr="00AF5462">
        <w:t xml:space="preserve"> retrospectively </w:t>
      </w:r>
      <w:r w:rsidR="007A5019" w:rsidRPr="00AF5462">
        <w:t>matching payments for the previous seven payments made and</w:t>
      </w:r>
      <w:r w:rsidR="005E3B36" w:rsidRPr="00AF5462">
        <w:t xml:space="preserve"> </w:t>
      </w:r>
      <w:r w:rsidR="007A5019" w:rsidRPr="00AF5462">
        <w:t xml:space="preserve">applying a debt </w:t>
      </w:r>
      <w:r w:rsidR="005E3B36" w:rsidRPr="00AF5462">
        <w:t>waiver</w:t>
      </w:r>
      <w:r w:rsidRPr="00AF5462">
        <w:t xml:space="preserve"> </w:t>
      </w:r>
      <w:r w:rsidR="005E3B36" w:rsidRPr="00AF5462">
        <w:t>to eliminate the remaining arrears</w:t>
      </w:r>
      <w:r w:rsidR="005E3B36">
        <w:t>.</w:t>
      </w:r>
      <w:r w:rsidR="00716D99">
        <w:t xml:space="preserve"> </w:t>
      </w:r>
      <w:r w:rsidR="00845CDD" w:rsidRPr="00AF5462">
        <w:t>There is evidence that the customer maintained their payments and at one time the account was in credit.</w:t>
      </w:r>
      <w:r w:rsidR="00845CDD">
        <w:t xml:space="preserve"> </w:t>
      </w:r>
      <w:r w:rsidR="00845CDD" w:rsidRPr="00AF5462">
        <w:t xml:space="preserve">This example indicates that </w:t>
      </w:r>
      <w:r w:rsidR="00B06F93" w:rsidRPr="00AF5462">
        <w:t>the deferral of payments can be a useful tool to assist some customers</w:t>
      </w:r>
      <w:r w:rsidR="0025396C">
        <w:t xml:space="preserve"> at certain times</w:t>
      </w:r>
      <w:r w:rsidR="00B06F93" w:rsidRPr="00AF5462">
        <w:t>.</w:t>
      </w:r>
    </w:p>
    <w:p w14:paraId="02199A2D" w14:textId="77777777" w:rsidR="00CF6C1E" w:rsidRDefault="00CF6C1E" w:rsidP="00CF6C1E">
      <w:pPr>
        <w:pStyle w:val="Caption"/>
      </w:pPr>
      <w:r w:rsidRPr="004A1436">
        <w:t>Source:</w:t>
      </w:r>
      <w:r>
        <w:t xml:space="preserve"> </w:t>
      </w:r>
      <w:r w:rsidRPr="004A1436">
        <w:t xml:space="preserve">ORIMA Research, </w:t>
      </w:r>
      <w:r>
        <w:t>‘</w:t>
      </w:r>
      <w:r w:rsidRPr="004A1436">
        <w:t>Call recordings study</w:t>
      </w:r>
      <w:r>
        <w:t>: c</w:t>
      </w:r>
      <w:r w:rsidRPr="006F437F">
        <w:t xml:space="preserve">ase </w:t>
      </w:r>
      <w:r>
        <w:t>s</w:t>
      </w:r>
      <w:r w:rsidRPr="006F437F">
        <w:t xml:space="preserve">tudies of </w:t>
      </w:r>
      <w:r>
        <w:t>c</w:t>
      </w:r>
      <w:r w:rsidRPr="006F437F">
        <w:t xml:space="preserve">ustomer </w:t>
      </w:r>
      <w:r>
        <w:t>j</w:t>
      </w:r>
      <w:r w:rsidRPr="006F437F">
        <w:t>ourneys</w:t>
      </w:r>
      <w:r w:rsidRPr="004A1436">
        <w:t>’, May 2022</w:t>
      </w:r>
      <w:r>
        <w:t xml:space="preserve">. </w:t>
      </w:r>
    </w:p>
    <w:p w14:paraId="4B7530D7" w14:textId="43A0A822" w:rsidR="00C43F4C" w:rsidRDefault="00C43F4C" w:rsidP="00C43F4C">
      <w:r w:rsidRPr="007E1143">
        <w:t xml:space="preserve">Community sector stakeholders suggested </w:t>
      </w:r>
      <w:r>
        <w:t xml:space="preserve">other </w:t>
      </w:r>
      <w:r w:rsidRPr="007E1143">
        <w:t xml:space="preserve">measures to lower consumption or overall bills, such as </w:t>
      </w:r>
      <w:r>
        <w:t>conducting</w:t>
      </w:r>
      <w:r w:rsidRPr="007E1143">
        <w:t xml:space="preserve"> more proactive checking of appropriate tariffs for customers, or ensuring all eligible customers receive help to access concessions or utility relief grants. It was also suggested that these actions be prioritised for customers as a form of early intervention.</w:t>
      </w:r>
    </w:p>
    <w:p w14:paraId="69DF7774" w14:textId="4FBAE2E2" w:rsidR="00C43F4C" w:rsidRDefault="00C43F4C" w:rsidP="00C43F4C">
      <w:pPr>
        <w:pStyle w:val="Heading3"/>
      </w:pPr>
      <w:r>
        <w:t xml:space="preserve">Improving </w:t>
      </w:r>
      <w:r w:rsidR="00E2143E">
        <w:t>the operation</w:t>
      </w:r>
      <w:r>
        <w:t xml:space="preserve"> of the framework: appropriateness of pausing </w:t>
      </w:r>
      <w:r w:rsidR="0015558C">
        <w:t>arrears</w:t>
      </w:r>
      <w:r>
        <w:t xml:space="preserve"> payments</w:t>
      </w:r>
    </w:p>
    <w:p w14:paraId="3CF684B1" w14:textId="50C4798F" w:rsidR="00C43F4C" w:rsidRDefault="00C43F4C" w:rsidP="00C43F4C">
      <w:r>
        <w:t xml:space="preserve">Some customers are entitled under the framework to put a hold on the repayment of their arrears for six months. This may provide helpful short-term relief for some customers. However, a hold on </w:t>
      </w:r>
      <w:r w:rsidR="0015558C">
        <w:t>arrears</w:t>
      </w:r>
      <w:r>
        <w:t xml:space="preserve"> could also worsen the financial position of some customers who have already accrued large levels of arrears.</w:t>
      </w:r>
    </w:p>
    <w:p w14:paraId="584D5530" w14:textId="31292C0C" w:rsidR="00C43F4C" w:rsidRDefault="00C43F4C" w:rsidP="00C43F4C">
      <w:r>
        <w:t>In response, some retailers have voluntarily provided customers with assistance beyond the framework, such as payment matching or debt waivers. This is done at a retailer’s discretion, often for customers considered to be most in need for further support and is not offered by all Victorian retailers.</w:t>
      </w:r>
    </w:p>
    <w:tbl>
      <w:tblPr>
        <w:tblStyle w:val="TwoColumnImage"/>
        <w:tblW w:w="9811" w:type="dxa"/>
        <w:tblBorders>
          <w:top w:val="single" w:sz="24" w:space="0" w:color="6CB59D" w:themeColor="accent5" w:themeTint="80"/>
          <w:left w:val="single" w:sz="24" w:space="0" w:color="6CB59D" w:themeColor="accent5" w:themeTint="80"/>
          <w:bottom w:val="single" w:sz="24" w:space="0" w:color="6CB59D" w:themeColor="accent5" w:themeTint="80"/>
          <w:right w:val="single" w:sz="24" w:space="0" w:color="6CB59D" w:themeColor="accent5" w:themeTint="80"/>
        </w:tblBorders>
        <w:shd w:val="clear" w:color="auto" w:fill="B5DACE" w:themeFill="accent5" w:themeFillTint="40"/>
        <w:tblCellMar>
          <w:top w:w="113" w:type="dxa"/>
          <w:bottom w:w="113" w:type="dxa"/>
        </w:tblCellMar>
        <w:tblLook w:val="04A0" w:firstRow="1" w:lastRow="0" w:firstColumn="1" w:lastColumn="0" w:noHBand="0" w:noVBand="1"/>
      </w:tblPr>
      <w:tblGrid>
        <w:gridCol w:w="1873"/>
        <w:gridCol w:w="6521"/>
        <w:gridCol w:w="1417"/>
      </w:tblGrid>
      <w:tr w:rsidR="006F1802" w:rsidRPr="006F1802" w14:paraId="3713EFAE" w14:textId="77777777" w:rsidTr="006F1802">
        <w:tc>
          <w:tcPr>
            <w:tcW w:w="9811" w:type="dxa"/>
            <w:gridSpan w:val="3"/>
            <w:tcBorders>
              <w:bottom w:val="nil"/>
            </w:tcBorders>
            <w:shd w:val="clear" w:color="auto" w:fill="B5DACE" w:themeFill="accent5" w:themeFillTint="40"/>
          </w:tcPr>
          <w:p w14:paraId="3E615558" w14:textId="76D271AA" w:rsidR="006F1802" w:rsidRPr="006F1802" w:rsidRDefault="00573548" w:rsidP="006A41EF">
            <w:pPr>
              <w:pStyle w:val="TableBody"/>
              <w:keepNext/>
              <w:keepLines/>
              <w:ind w:left="142" w:right="121"/>
              <w:rPr>
                <w:rFonts w:ascii="Tahoma" w:hAnsi="Tahoma" w:cs="Tahoma"/>
                <w:color w:val="262626" w:themeColor="text1" w:themeTint="D9"/>
                <w:sz w:val="26"/>
                <w:szCs w:val="26"/>
              </w:rPr>
            </w:pPr>
            <w:r>
              <w:rPr>
                <w:rFonts w:ascii="Tahoma" w:hAnsi="Tahoma" w:cs="Tahoma"/>
                <w:b/>
                <w:bCs/>
                <w:color w:val="262626" w:themeColor="text1" w:themeTint="D9"/>
                <w:sz w:val="26"/>
                <w:szCs w:val="26"/>
              </w:rPr>
              <w:lastRenderedPageBreak/>
              <w:t>Improving the operation of the framework</w:t>
            </w:r>
          </w:p>
        </w:tc>
      </w:tr>
      <w:tr w:rsidR="00C600CF" w:rsidRPr="000179AE" w14:paraId="0B56AD67" w14:textId="77777777" w:rsidTr="006F1802">
        <w:tblPrEx>
          <w:tblCellMar>
            <w:top w:w="57" w:type="dxa"/>
            <w:bottom w:w="57" w:type="dxa"/>
          </w:tblCellMar>
        </w:tblPrEx>
        <w:tc>
          <w:tcPr>
            <w:tcW w:w="9811" w:type="dxa"/>
            <w:gridSpan w:val="3"/>
            <w:tcBorders>
              <w:top w:val="nil"/>
              <w:bottom w:val="nil"/>
            </w:tcBorders>
            <w:shd w:val="clear" w:color="auto" w:fill="B5DACE" w:themeFill="accent5" w:themeFillTint="40"/>
          </w:tcPr>
          <w:p w14:paraId="2B44D972" w14:textId="77777777" w:rsidR="00C600CF" w:rsidRPr="000179AE" w:rsidRDefault="00C600CF" w:rsidP="006A41EF">
            <w:pPr>
              <w:pStyle w:val="TableBody"/>
              <w:keepNext/>
              <w:keepLines/>
              <w:spacing w:before="80" w:after="80"/>
              <w:ind w:left="142" w:right="119"/>
              <w:rPr>
                <w:rFonts w:ascii="Tahoma" w:hAnsi="Tahoma" w:cs="Tahoma"/>
                <w:b/>
                <w:bCs/>
                <w:color w:val="262626" w:themeColor="text1" w:themeTint="D9"/>
              </w:rPr>
            </w:pPr>
            <w:r>
              <w:rPr>
                <w:rFonts w:ascii="Tahoma" w:hAnsi="Tahoma" w:cs="Tahoma"/>
                <w:b/>
                <w:bCs/>
                <w:color w:val="262626" w:themeColor="text1" w:themeTint="D9"/>
              </w:rPr>
              <w:t>Customer outcomes vary significantly between and within retailers</w:t>
            </w:r>
          </w:p>
        </w:tc>
      </w:tr>
      <w:tr w:rsidR="00C600CF" w:rsidRPr="000179AE" w14:paraId="26201739" w14:textId="77777777" w:rsidTr="006F1802">
        <w:tblPrEx>
          <w:tblCellMar>
            <w:top w:w="57" w:type="dxa"/>
            <w:bottom w:w="57" w:type="dxa"/>
          </w:tblCellMar>
        </w:tblPrEx>
        <w:tc>
          <w:tcPr>
            <w:tcW w:w="1873" w:type="dxa"/>
            <w:tcBorders>
              <w:top w:val="nil"/>
              <w:bottom w:val="nil"/>
            </w:tcBorders>
            <w:shd w:val="clear" w:color="auto" w:fill="B5DACE" w:themeFill="accent5" w:themeFillTint="40"/>
            <w:vAlign w:val="center"/>
          </w:tcPr>
          <w:p w14:paraId="17470ABB" w14:textId="77777777" w:rsidR="00C600CF" w:rsidRPr="000179AE" w:rsidRDefault="00C600CF" w:rsidP="006A41EF">
            <w:pPr>
              <w:pStyle w:val="TableBody"/>
              <w:keepNext/>
              <w:keepLines/>
              <w:ind w:left="284" w:right="-2"/>
              <w:jc w:val="center"/>
              <w:rPr>
                <w:rFonts w:ascii="Tahoma" w:hAnsi="Tahoma" w:cs="Tahoma"/>
                <w:noProof/>
                <w:color w:val="262626" w:themeColor="text1" w:themeTint="D9"/>
              </w:rPr>
            </w:pPr>
            <w:r w:rsidRPr="000179AE">
              <w:rPr>
                <w:rFonts w:ascii="Tahoma" w:hAnsi="Tahoma" w:cs="Tahoma"/>
                <w:noProof/>
                <w:color w:val="262626" w:themeColor="text1" w:themeTint="D9"/>
              </w:rPr>
              <w:drawing>
                <wp:inline distT="0" distB="0" distL="0" distR="0" wp14:anchorId="6544BF28" wp14:editId="52203BFF">
                  <wp:extent cx="864000" cy="864000"/>
                  <wp:effectExtent l="0" t="0" r="0" b="0"/>
                  <wp:docPr id="99999" name="Picture 99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9" name="Picture 99999">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6521" w:type="dxa"/>
            <w:tcBorders>
              <w:top w:val="nil"/>
              <w:bottom w:val="nil"/>
            </w:tcBorders>
            <w:shd w:val="clear" w:color="auto" w:fill="B5DACE" w:themeFill="accent5" w:themeFillTint="40"/>
            <w:vAlign w:val="center"/>
          </w:tcPr>
          <w:p w14:paraId="1B737842" w14:textId="6A07BB2F" w:rsidR="00C600CF" w:rsidRPr="001551CC" w:rsidRDefault="00C600CF" w:rsidP="006A41EF">
            <w:pPr>
              <w:pStyle w:val="ListBullet"/>
              <w:keepNext/>
              <w:keepLines/>
              <w:spacing w:before="0"/>
              <w:ind w:left="357" w:hanging="357"/>
              <w:contextualSpacing w:val="0"/>
            </w:pPr>
            <w:r w:rsidRPr="001551CC">
              <w:t xml:space="preserve">Improve </w:t>
            </w:r>
            <w:r w:rsidR="00573548">
              <w:t xml:space="preserve">retailers’ </w:t>
            </w:r>
            <w:r w:rsidRPr="001551CC">
              <w:t>effectiveness of establishing and reviewing payment arrangements and plans.</w:t>
            </w:r>
          </w:p>
        </w:tc>
        <w:tc>
          <w:tcPr>
            <w:tcW w:w="1417" w:type="dxa"/>
            <w:tcBorders>
              <w:top w:val="nil"/>
              <w:bottom w:val="nil"/>
            </w:tcBorders>
            <w:shd w:val="clear" w:color="auto" w:fill="B5DACE" w:themeFill="accent5" w:themeFillTint="40"/>
            <w:vAlign w:val="center"/>
          </w:tcPr>
          <w:p w14:paraId="37D94B07" w14:textId="77777777" w:rsidR="00C600CF" w:rsidRPr="00C82D1A" w:rsidRDefault="00C600CF" w:rsidP="00D72288">
            <w:pPr>
              <w:pStyle w:val="ListBullet"/>
              <w:keepNext/>
              <w:keepLines/>
              <w:numPr>
                <w:ilvl w:val="0"/>
                <w:numId w:val="0"/>
              </w:numPr>
              <w:spacing w:before="0" w:line="240" w:lineRule="auto"/>
              <w:rPr>
                <w:b/>
                <w:bCs/>
                <w:color w:val="CE0058" w:themeColor="accent2"/>
              </w:rPr>
            </w:pPr>
            <w:r w:rsidRPr="00046BFF">
              <w:rPr>
                <w:b/>
                <w:bCs/>
                <w:color w:val="CE0058" w:themeColor="accent2"/>
              </w:rPr>
              <w:t>Priority</w:t>
            </w:r>
          </w:p>
        </w:tc>
      </w:tr>
      <w:tr w:rsidR="00C600CF" w:rsidRPr="000179AE" w14:paraId="0E4BF643" w14:textId="77777777" w:rsidTr="006F1802">
        <w:tblPrEx>
          <w:tblCellMar>
            <w:top w:w="57" w:type="dxa"/>
            <w:bottom w:w="57" w:type="dxa"/>
          </w:tblCellMar>
        </w:tblPrEx>
        <w:tc>
          <w:tcPr>
            <w:tcW w:w="9811" w:type="dxa"/>
            <w:gridSpan w:val="3"/>
            <w:tcBorders>
              <w:top w:val="nil"/>
              <w:bottom w:val="nil"/>
            </w:tcBorders>
            <w:shd w:val="clear" w:color="auto" w:fill="B5DACE" w:themeFill="accent5" w:themeFillTint="40"/>
          </w:tcPr>
          <w:p w14:paraId="22C8D97B" w14:textId="77777777" w:rsidR="00C600CF" w:rsidRPr="000179AE" w:rsidRDefault="00C600CF" w:rsidP="00D72288">
            <w:pPr>
              <w:pStyle w:val="TableBody"/>
              <w:keepNext/>
              <w:keepLines/>
              <w:spacing w:before="120" w:after="80"/>
              <w:ind w:right="119"/>
              <w:rPr>
                <w:rFonts w:ascii="Tahoma" w:hAnsi="Tahoma" w:cs="Tahoma"/>
                <w:b/>
                <w:bCs/>
                <w:color w:val="262626" w:themeColor="text1" w:themeTint="D9"/>
              </w:rPr>
            </w:pPr>
            <w:r w:rsidRPr="0013353A">
              <w:rPr>
                <w:rFonts w:ascii="Tahoma" w:hAnsi="Tahoma" w:cs="Tahoma"/>
                <w:b/>
                <w:bCs/>
                <w:color w:val="262626" w:themeColor="text1" w:themeTint="D9"/>
              </w:rPr>
              <w:t>Customers who can pay for their ongoing energy use benefit most</w:t>
            </w:r>
          </w:p>
        </w:tc>
      </w:tr>
      <w:tr w:rsidR="00C600CF" w:rsidRPr="000179AE" w14:paraId="5EE07DBE" w14:textId="77777777" w:rsidTr="006F1802">
        <w:tblPrEx>
          <w:tblCellMar>
            <w:top w:w="57" w:type="dxa"/>
            <w:bottom w:w="57" w:type="dxa"/>
          </w:tblCellMar>
        </w:tblPrEx>
        <w:tc>
          <w:tcPr>
            <w:tcW w:w="1873" w:type="dxa"/>
            <w:tcBorders>
              <w:bottom w:val="single" w:sz="24" w:space="0" w:color="6CB59D" w:themeColor="accent5" w:themeTint="80"/>
            </w:tcBorders>
            <w:shd w:val="clear" w:color="auto" w:fill="B5DACE" w:themeFill="accent5" w:themeFillTint="40"/>
            <w:vAlign w:val="center"/>
          </w:tcPr>
          <w:p w14:paraId="1333331F" w14:textId="77777777" w:rsidR="00C600CF" w:rsidRPr="00BA09A0" w:rsidRDefault="00C600CF" w:rsidP="006A41EF">
            <w:pPr>
              <w:pStyle w:val="TableBody"/>
              <w:keepNext/>
              <w:keepLines/>
              <w:ind w:left="284" w:right="-2"/>
              <w:jc w:val="center"/>
              <w:rPr>
                <w:rFonts w:ascii="Tahoma" w:hAnsi="Tahoma" w:cs="Tahoma"/>
                <w:b/>
                <w:bCs/>
                <w:noProof/>
                <w:color w:val="262626" w:themeColor="text1" w:themeTint="D9"/>
              </w:rPr>
            </w:pPr>
            <w:r w:rsidRPr="00BA09A0">
              <w:rPr>
                <w:rFonts w:ascii="Tahoma" w:hAnsi="Tahoma" w:cs="Tahoma"/>
                <w:b/>
                <w:bCs/>
                <w:noProof/>
                <w:color w:val="262626" w:themeColor="text1" w:themeTint="D9"/>
              </w:rPr>
              <w:drawing>
                <wp:inline distT="0" distB="0" distL="0" distR="0" wp14:anchorId="3ACC9D5C" wp14:editId="39AA8F23">
                  <wp:extent cx="720000" cy="720000"/>
                  <wp:effectExtent l="0" t="0" r="4445" b="0"/>
                  <wp:docPr id="100002" name="Picture 100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Picture 100002">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521" w:type="dxa"/>
            <w:tcBorders>
              <w:top w:val="nil"/>
              <w:bottom w:val="single" w:sz="24" w:space="0" w:color="6CB59D" w:themeColor="accent5" w:themeTint="80"/>
            </w:tcBorders>
            <w:shd w:val="clear" w:color="auto" w:fill="B5DACE" w:themeFill="accent5" w:themeFillTint="40"/>
            <w:vAlign w:val="center"/>
          </w:tcPr>
          <w:p w14:paraId="2E3CEA61" w14:textId="04B04F00" w:rsidR="00C600CF" w:rsidRPr="0013353A" w:rsidRDefault="00C600CF" w:rsidP="006A41EF">
            <w:pPr>
              <w:pStyle w:val="ListBullet"/>
              <w:keepNext/>
              <w:keepLines/>
              <w:spacing w:before="0"/>
              <w:ind w:left="357" w:hanging="357"/>
              <w:contextualSpacing w:val="0"/>
            </w:pPr>
            <w:r w:rsidRPr="0013353A">
              <w:t xml:space="preserve">Consider alternative approaches to support customers prior to disconnection, particularly for those who cannot pay </w:t>
            </w:r>
            <w:r>
              <w:t xml:space="preserve">for </w:t>
            </w:r>
            <w:r w:rsidRPr="0013353A">
              <w:t>on-going use</w:t>
            </w:r>
            <w:r w:rsidR="00573548">
              <w:t>.</w:t>
            </w:r>
          </w:p>
        </w:tc>
        <w:tc>
          <w:tcPr>
            <w:tcW w:w="1417" w:type="dxa"/>
            <w:tcBorders>
              <w:top w:val="nil"/>
              <w:bottom w:val="single" w:sz="24" w:space="0" w:color="6CB59D" w:themeColor="accent5" w:themeTint="80"/>
            </w:tcBorders>
            <w:shd w:val="clear" w:color="auto" w:fill="B5DACE" w:themeFill="accent5" w:themeFillTint="40"/>
            <w:vAlign w:val="center"/>
          </w:tcPr>
          <w:p w14:paraId="71F854F7" w14:textId="77777777" w:rsidR="00C600CF" w:rsidRDefault="00C600CF" w:rsidP="00D72288">
            <w:pPr>
              <w:pStyle w:val="ListBullet"/>
              <w:keepNext/>
              <w:keepLines/>
              <w:numPr>
                <w:ilvl w:val="0"/>
                <w:numId w:val="0"/>
              </w:numPr>
              <w:spacing w:before="0" w:line="240" w:lineRule="auto"/>
            </w:pPr>
          </w:p>
        </w:tc>
      </w:tr>
    </w:tbl>
    <w:p w14:paraId="6A944C7F" w14:textId="77777777" w:rsidR="00C43F4C" w:rsidRDefault="00C43F4C" w:rsidP="00C43F4C">
      <w:pPr>
        <w:spacing w:before="0" w:line="259" w:lineRule="auto"/>
        <w:rPr>
          <w:rFonts w:ascii="Tahoma" w:eastAsiaTheme="majorEastAsia" w:hAnsi="Tahoma" w:cstheme="majorBidi"/>
          <w:b/>
          <w:sz w:val="26"/>
          <w:szCs w:val="26"/>
          <w:highlight w:val="yellow"/>
        </w:rPr>
      </w:pPr>
      <w:r>
        <w:rPr>
          <w:highlight w:val="yellow"/>
        </w:rPr>
        <w:br w:type="page"/>
      </w:r>
    </w:p>
    <w:p w14:paraId="56479B59" w14:textId="77777777" w:rsidR="00C43F4C" w:rsidRDefault="00C43F4C" w:rsidP="00C43F4C">
      <w:pPr>
        <w:pStyle w:val="Heading1"/>
        <w:sectPr w:rsidR="00C43F4C" w:rsidSect="00DC3F20">
          <w:footerReference w:type="default" r:id="rId106"/>
          <w:pgSz w:w="11906" w:h="16838"/>
          <w:pgMar w:top="1134" w:right="1134" w:bottom="1134" w:left="1134" w:header="709" w:footer="692" w:gutter="0"/>
          <w:cols w:space="720"/>
          <w:docGrid w:linePitch="299"/>
        </w:sectPr>
      </w:pPr>
    </w:p>
    <w:p w14:paraId="141F7ECD" w14:textId="77777777" w:rsidR="00C43F4C" w:rsidRPr="00445D9A" w:rsidRDefault="00C43F4C" w:rsidP="00C43F4C">
      <w:pPr>
        <w:pStyle w:val="Heading1"/>
      </w:pPr>
      <w:bookmarkStart w:id="216" w:name="_Toc104850138"/>
      <w:r w:rsidRPr="00445D9A">
        <w:lastRenderedPageBreak/>
        <w:t>Are residential energy customers only disconnected for non-payment as a last resort?</w:t>
      </w:r>
      <w:bookmarkEnd w:id="216"/>
    </w:p>
    <w:p w14:paraId="17502D4E" w14:textId="77777777" w:rsidR="00C43F4C" w:rsidRDefault="00C43F4C" w:rsidP="00C43F4C">
      <w:pPr>
        <w:pStyle w:val="Introductionsentence"/>
      </w:pPr>
      <w:r>
        <w:t>The framework includes several obligations for retailers to ensure disconnecting a customer for non-payment of an energy bill is only ever a measure of last resort.</w:t>
      </w:r>
    </w:p>
    <w:p w14:paraId="79E6D0F7" w14:textId="77777777" w:rsidR="00C43F4C" w:rsidRDefault="00C43F4C" w:rsidP="006A2F02">
      <w:pPr>
        <w:pStyle w:val="Heading2"/>
      </w:pPr>
      <w:bookmarkStart w:id="217" w:name="_Toc104850139"/>
      <w:r>
        <w:t>Our key findings: disconnection as a last resort</w:t>
      </w:r>
      <w:bookmarkEnd w:id="217"/>
    </w:p>
    <w:tbl>
      <w:tblPr>
        <w:tblStyle w:val="TwoColumnImage"/>
        <w:tblW w:w="9639" w:type="dxa"/>
        <w:tblBorders>
          <w:top w:val="single" w:sz="24" w:space="0" w:color="FFBA5B" w:themeColor="accent4" w:themeTint="99"/>
          <w:left w:val="single" w:sz="24" w:space="0" w:color="FFBA5B" w:themeColor="accent4" w:themeTint="99"/>
          <w:bottom w:val="single" w:sz="24" w:space="0" w:color="FFBA5B" w:themeColor="accent4" w:themeTint="99"/>
          <w:right w:val="single" w:sz="24" w:space="0" w:color="FFBA5B" w:themeColor="accent4" w:themeTint="99"/>
          <w:insideH w:val="single" w:sz="24" w:space="0" w:color="FFBA5B" w:themeColor="accent4" w:themeTint="99"/>
        </w:tblBorders>
        <w:shd w:val="clear" w:color="auto" w:fill="FFD191" w:themeFill="accent4" w:themeFillTint="66"/>
        <w:tblCellMar>
          <w:top w:w="113" w:type="dxa"/>
          <w:bottom w:w="113" w:type="dxa"/>
        </w:tblCellMar>
        <w:tblLook w:val="04A0" w:firstRow="1" w:lastRow="0" w:firstColumn="1" w:lastColumn="0" w:noHBand="0" w:noVBand="1"/>
      </w:tblPr>
      <w:tblGrid>
        <w:gridCol w:w="2144"/>
        <w:gridCol w:w="7495"/>
      </w:tblGrid>
      <w:tr w:rsidR="00E533E1" w:rsidRPr="000179AE" w14:paraId="5629A2FE" w14:textId="77777777" w:rsidTr="00DE7EF4">
        <w:trPr>
          <w:trHeight w:val="964"/>
        </w:trPr>
        <w:tc>
          <w:tcPr>
            <w:tcW w:w="2144" w:type="dxa"/>
            <w:shd w:val="clear" w:color="auto" w:fill="FFD191" w:themeFill="accent4" w:themeFillTint="66"/>
            <w:vAlign w:val="center"/>
          </w:tcPr>
          <w:p w14:paraId="645059DF" w14:textId="77777777" w:rsidR="00E533E1" w:rsidRPr="000179AE" w:rsidRDefault="00E533E1" w:rsidP="00DE7EF4">
            <w:pPr>
              <w:pStyle w:val="TableBody"/>
              <w:keepNext/>
              <w:spacing w:after="120"/>
              <w:ind w:left="284" w:right="-2"/>
              <w:jc w:val="center"/>
              <w:rPr>
                <w:rFonts w:ascii="Tahoma" w:hAnsi="Tahoma" w:cs="Tahoma"/>
                <w:noProof/>
                <w:color w:val="262626" w:themeColor="text1" w:themeTint="D9"/>
              </w:rPr>
            </w:pPr>
            <w:r w:rsidRPr="000179AE">
              <w:rPr>
                <w:rFonts w:ascii="Tahoma" w:hAnsi="Tahoma" w:cs="Tahoma"/>
                <w:noProof/>
                <w:color w:val="262626" w:themeColor="text1" w:themeTint="D9"/>
              </w:rPr>
              <w:drawing>
                <wp:inline distT="0" distB="0" distL="0" distR="0" wp14:anchorId="0252DA46" wp14:editId="5F4201F6">
                  <wp:extent cx="720000" cy="720000"/>
                  <wp:effectExtent l="0" t="0" r="4445" b="4445"/>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495" w:type="dxa"/>
            <w:shd w:val="clear" w:color="auto" w:fill="FFD191" w:themeFill="accent4" w:themeFillTint="66"/>
            <w:vAlign w:val="center"/>
          </w:tcPr>
          <w:p w14:paraId="0888BC39" w14:textId="6511CB36" w:rsidR="00E533E1" w:rsidRDefault="00E533E1" w:rsidP="00DE7EF4">
            <w:pPr>
              <w:pStyle w:val="Pull-out2"/>
              <w:keepNext/>
              <w:spacing w:before="0" w:after="120"/>
              <w:ind w:left="0" w:right="108"/>
              <w:rPr>
                <w:rFonts w:ascii="Tahoma" w:hAnsi="Tahoma" w:cs="Tahoma"/>
                <w:b/>
                <w:bCs/>
                <w:color w:val="262626" w:themeColor="text1" w:themeTint="D9"/>
                <w:sz w:val="24"/>
                <w:szCs w:val="24"/>
              </w:rPr>
            </w:pPr>
            <w:r>
              <w:rPr>
                <w:rFonts w:ascii="Tahoma" w:hAnsi="Tahoma" w:cs="Tahoma"/>
                <w:b/>
                <w:bCs/>
                <w:color w:val="262626" w:themeColor="text1" w:themeTint="D9"/>
                <w:sz w:val="24"/>
                <w:szCs w:val="24"/>
              </w:rPr>
              <w:t xml:space="preserve">Key finding: </w:t>
            </w:r>
            <w:r w:rsidRPr="000179AE">
              <w:rPr>
                <w:rFonts w:ascii="Tahoma" w:hAnsi="Tahoma" w:cs="Tahoma"/>
                <w:b/>
                <w:bCs/>
                <w:color w:val="262626" w:themeColor="text1" w:themeTint="D9"/>
                <w:sz w:val="24"/>
                <w:szCs w:val="24"/>
              </w:rPr>
              <w:t>Implementation of the framework is broadly meeting its objectives</w:t>
            </w:r>
          </w:p>
          <w:p w14:paraId="00A990C8" w14:textId="76ADC210" w:rsidR="00A56766" w:rsidRPr="001A5413" w:rsidRDefault="00A56766" w:rsidP="00B60674">
            <w:pPr>
              <w:rPr>
                <w:rFonts w:asciiTheme="majorHAnsi" w:hAnsiTheme="majorHAnsi" w:cstheme="majorHAnsi"/>
              </w:rPr>
            </w:pPr>
            <w:r w:rsidRPr="00FC533C">
              <w:t>There have been fewer disconnections since the commencem</w:t>
            </w:r>
            <w:r w:rsidRPr="001A5413">
              <w:rPr>
                <w:rFonts w:asciiTheme="majorHAnsi" w:hAnsiTheme="majorHAnsi" w:cstheme="majorHAnsi"/>
              </w:rPr>
              <w:t>ent of the framework compared to the peak seen in 2013-14. This reduction was observed even prior to the pandemic</w:t>
            </w:r>
            <w:r w:rsidR="00970453">
              <w:rPr>
                <w:rFonts w:asciiTheme="majorHAnsi" w:hAnsiTheme="majorHAnsi" w:cstheme="majorHAnsi"/>
              </w:rPr>
              <w:t>. N</w:t>
            </w:r>
            <w:r w:rsidRPr="001A5413">
              <w:rPr>
                <w:rFonts w:asciiTheme="majorHAnsi" w:hAnsiTheme="majorHAnsi" w:cstheme="majorHAnsi"/>
              </w:rPr>
              <w:t xml:space="preserve">o disconnections occurred during stay-at-home restrictions in Victorian. </w:t>
            </w:r>
          </w:p>
          <w:p w14:paraId="7994A277" w14:textId="3517FCF9" w:rsidR="005976B9" w:rsidRPr="003A2C3A" w:rsidRDefault="00A56766" w:rsidP="00B60674">
            <w:r w:rsidRPr="00FC533C">
              <w:t>However, more than half of customers disconnected for non-payment had not received assistance beforehand. This is despite customers receiving information about ways to prevent disconnection and about available assistance (in the form of a disconnection warning notice required by the rules).</w:t>
            </w:r>
          </w:p>
        </w:tc>
      </w:tr>
      <w:tr w:rsidR="00E533E1" w:rsidRPr="000179AE" w14:paraId="2D53C900" w14:textId="77777777" w:rsidTr="00DE7EF4">
        <w:trPr>
          <w:trHeight w:val="964"/>
        </w:trPr>
        <w:tc>
          <w:tcPr>
            <w:tcW w:w="2144" w:type="dxa"/>
            <w:shd w:val="clear" w:color="auto" w:fill="FFD191" w:themeFill="accent4" w:themeFillTint="66"/>
            <w:vAlign w:val="center"/>
          </w:tcPr>
          <w:p w14:paraId="165EDC8B" w14:textId="77777777" w:rsidR="00E533E1" w:rsidRPr="000179AE" w:rsidRDefault="00E533E1" w:rsidP="00DE7EF4">
            <w:pPr>
              <w:pStyle w:val="TableBody"/>
              <w:keepNext/>
              <w:spacing w:after="120"/>
              <w:ind w:left="142" w:right="119"/>
              <w:jc w:val="center"/>
              <w:rPr>
                <w:noProof/>
                <w:color w:val="262626" w:themeColor="text1" w:themeTint="D9"/>
              </w:rPr>
            </w:pPr>
            <w:r w:rsidRPr="000179AE">
              <w:rPr>
                <w:noProof/>
                <w:color w:val="262626" w:themeColor="text1" w:themeTint="D9"/>
              </w:rPr>
              <w:drawing>
                <wp:inline distT="0" distB="0" distL="0" distR="0" wp14:anchorId="060C035C" wp14:editId="025228D1">
                  <wp:extent cx="720000" cy="720000"/>
                  <wp:effectExtent l="0" t="0" r="0" b="4445"/>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495" w:type="dxa"/>
            <w:shd w:val="clear" w:color="auto" w:fill="FFD191" w:themeFill="accent4" w:themeFillTint="66"/>
            <w:vAlign w:val="bottom"/>
          </w:tcPr>
          <w:p w14:paraId="2A534D09" w14:textId="549798EC" w:rsidR="00E533E1" w:rsidRDefault="00E533E1" w:rsidP="00DE7EF4">
            <w:pPr>
              <w:pStyle w:val="Heading2"/>
              <w:outlineLvl w:val="1"/>
            </w:pPr>
            <w:bookmarkStart w:id="218" w:name="_Toc104850140"/>
            <w:r w:rsidRPr="00F907C4">
              <w:rPr>
                <w:rFonts w:eastAsiaTheme="minorHAnsi" w:cs="Tahoma"/>
                <w:bCs/>
                <w:color w:val="262626" w:themeColor="text1" w:themeTint="D9"/>
                <w:sz w:val="24"/>
                <w:szCs w:val="24"/>
              </w:rPr>
              <w:t>Key finding: The level and quality of retailer-customer engagement affects customer outcomes</w:t>
            </w:r>
            <w:bookmarkEnd w:id="218"/>
            <w:r w:rsidRPr="000179AE">
              <w:t xml:space="preserve"> </w:t>
            </w:r>
          </w:p>
          <w:p w14:paraId="503F740C" w14:textId="520E408E" w:rsidR="00A56766" w:rsidRPr="00CB3569" w:rsidRDefault="004B7A54" w:rsidP="00E04581">
            <w:r>
              <w:rPr>
                <w:rFonts w:asciiTheme="majorHAnsi" w:hAnsiTheme="majorHAnsi" w:cstheme="majorHAnsi"/>
              </w:rPr>
              <w:t>Timely and appropriate c</w:t>
            </w:r>
            <w:r w:rsidR="00EC1D24">
              <w:rPr>
                <w:rFonts w:asciiTheme="majorHAnsi" w:hAnsiTheme="majorHAnsi" w:cstheme="majorHAnsi"/>
              </w:rPr>
              <w:t xml:space="preserve">ommunication from retailers </w:t>
            </w:r>
            <w:r w:rsidR="00586532">
              <w:rPr>
                <w:rFonts w:asciiTheme="majorHAnsi" w:hAnsiTheme="majorHAnsi" w:cstheme="majorHAnsi"/>
              </w:rPr>
              <w:t xml:space="preserve">prior </w:t>
            </w:r>
            <w:r w:rsidR="00EC1D24">
              <w:rPr>
                <w:rFonts w:asciiTheme="majorHAnsi" w:hAnsiTheme="majorHAnsi" w:cstheme="majorHAnsi"/>
              </w:rPr>
              <w:t xml:space="preserve">to disconnection </w:t>
            </w:r>
            <w:r w:rsidR="00260C44">
              <w:rPr>
                <w:rFonts w:asciiTheme="majorHAnsi" w:hAnsiTheme="majorHAnsi" w:cstheme="majorHAnsi"/>
              </w:rPr>
              <w:t>remains</w:t>
            </w:r>
            <w:r w:rsidR="00EC1D24">
              <w:rPr>
                <w:rFonts w:asciiTheme="majorHAnsi" w:hAnsiTheme="majorHAnsi" w:cstheme="majorHAnsi"/>
              </w:rPr>
              <w:t xml:space="preserve"> important. </w:t>
            </w:r>
            <w:r w:rsidR="00BF071D">
              <w:rPr>
                <w:rFonts w:asciiTheme="majorHAnsi" w:hAnsiTheme="majorHAnsi" w:cstheme="majorHAnsi"/>
              </w:rPr>
              <w:t xml:space="preserve">While many disconnection warning notices are sent by retailers, we recognise that different retailers utilise various methods to more effectively reach out and support customers </w:t>
            </w:r>
            <w:r w:rsidR="008E1AAD">
              <w:rPr>
                <w:rFonts w:asciiTheme="majorHAnsi" w:hAnsiTheme="majorHAnsi" w:cstheme="majorHAnsi"/>
              </w:rPr>
              <w:t xml:space="preserve">to receive assistance </w:t>
            </w:r>
            <w:r w:rsidR="00BF071D">
              <w:rPr>
                <w:rFonts w:asciiTheme="majorHAnsi" w:hAnsiTheme="majorHAnsi" w:cstheme="majorHAnsi"/>
              </w:rPr>
              <w:t>prior to disconnection.</w:t>
            </w:r>
          </w:p>
        </w:tc>
      </w:tr>
    </w:tbl>
    <w:p w14:paraId="14BBD076" w14:textId="77777777" w:rsidR="00F10D84" w:rsidRDefault="00C43F4C" w:rsidP="00C43F4C">
      <w:r>
        <w:t xml:space="preserve">The framework was designed so that the disconnection of a customer for non-payment (not paying their bills on time) is only ever a last resort by retailers. </w:t>
      </w:r>
    </w:p>
    <w:p w14:paraId="47DA3B8B" w14:textId="2F5CC344" w:rsidR="00C43F4C" w:rsidRDefault="00C43F4C" w:rsidP="00C43F4C">
      <w:r>
        <w:lastRenderedPageBreak/>
        <w:t>Disconnection for non-payment was intended to only be a last resort measure after appropriate steps have been taken by the retailer. This includes communicating to customers the assistance they are entitled to and assisting customer</w:t>
      </w:r>
      <w:r w:rsidR="00B20D3C">
        <w:t>s</w:t>
      </w:r>
      <w:r>
        <w:t xml:space="preserve"> who requests it.</w:t>
      </w:r>
    </w:p>
    <w:p w14:paraId="1A2B1F5C" w14:textId="77777777" w:rsidR="00C43F4C" w:rsidRDefault="00C43F4C" w:rsidP="00C43F4C">
      <w:r>
        <w:t>The provision of information and support to customers of standard and tailored assistance was discussed in the previous chapters. This chapter focuses on how customers are disconnected for non-payment under the framework.</w:t>
      </w:r>
    </w:p>
    <w:p w14:paraId="035EDA6D" w14:textId="77777777" w:rsidR="00C43F4C" w:rsidRDefault="00C43F4C" w:rsidP="00C43F4C">
      <w:pPr>
        <w:pStyle w:val="Heading2"/>
      </w:pPr>
      <w:bookmarkStart w:id="219" w:name="_Toc104850141"/>
      <w:r>
        <w:t>Disconnection for non-payment under the framework</w:t>
      </w:r>
      <w:bookmarkEnd w:id="219"/>
    </w:p>
    <w:p w14:paraId="68EE3E71" w14:textId="744C7331" w:rsidR="00C43F4C" w:rsidRDefault="00C43F4C" w:rsidP="00C43F4C">
      <w:r>
        <w:t xml:space="preserve">The framework introduced specific safeguards for customers prior to being disconnected for non-payment. These safeguards were included as various retailer obligations. </w:t>
      </w:r>
    </w:p>
    <w:p w14:paraId="16DE73C2" w14:textId="1D2D0629" w:rsidR="00C43F4C" w:rsidRDefault="00C43F4C" w:rsidP="00C43F4C">
      <w:pPr>
        <w:pStyle w:val="Pull-outHeading"/>
        <w:keepNext/>
        <w:keepLines/>
      </w:pPr>
      <w:r>
        <w:t xml:space="preserve">Disconnection safeguards </w:t>
      </w:r>
    </w:p>
    <w:p w14:paraId="6F0B92DE" w14:textId="1C41C25F" w:rsidR="00C43F4C" w:rsidRDefault="00C43F4C" w:rsidP="00C43F4C">
      <w:pPr>
        <w:pStyle w:val="Pull-out"/>
        <w:keepNext/>
        <w:keepLines/>
      </w:pPr>
      <w:r>
        <w:t xml:space="preserve">In Victoria, retailers must follow obligations prior to disconnecting a residential customer for non-payment. These obligations are </w:t>
      </w:r>
      <w:r w:rsidR="00F478DA">
        <w:t>that the retailer must</w:t>
      </w:r>
      <w:r>
        <w:t>:</w:t>
      </w:r>
      <w:r>
        <w:rPr>
          <w:rStyle w:val="FootnoteReference"/>
        </w:rPr>
        <w:footnoteReference w:id="131"/>
      </w:r>
    </w:p>
    <w:p w14:paraId="2A0E5419" w14:textId="022D2E7D" w:rsidR="00C43F4C" w:rsidRDefault="00C43F4C" w:rsidP="00C43F4C">
      <w:pPr>
        <w:pStyle w:val="Pull-outBullet1"/>
      </w:pPr>
      <w:r>
        <w:t xml:space="preserve">have provided </w:t>
      </w:r>
      <w:r w:rsidR="00EE0B48">
        <w:t xml:space="preserve">clear </w:t>
      </w:r>
      <w:r>
        <w:t>and unambiguous information about the customer</w:t>
      </w:r>
      <w:r w:rsidR="0044373F">
        <w:t>’</w:t>
      </w:r>
      <w:r>
        <w:t>s entitlements to assistance</w:t>
      </w:r>
    </w:p>
    <w:p w14:paraId="02BD09E5" w14:textId="042E97C9" w:rsidR="00C43F4C" w:rsidRDefault="00C43F4C" w:rsidP="00C43F4C">
      <w:pPr>
        <w:pStyle w:val="Pull-outBullet1"/>
      </w:pPr>
      <w:r>
        <w:t>have exercised its best endeavours to provide assistance to the customer</w:t>
      </w:r>
    </w:p>
    <w:p w14:paraId="29313C42" w14:textId="3F572290" w:rsidR="00C43F4C" w:rsidRDefault="00C43F4C" w:rsidP="00C43F4C">
      <w:pPr>
        <w:pStyle w:val="Pull-outBullet1"/>
      </w:pPr>
      <w:r>
        <w:t>have treated the customer fairly and reasonably</w:t>
      </w:r>
    </w:p>
    <w:p w14:paraId="60E16DF1" w14:textId="48DBB9D8" w:rsidR="00C43F4C" w:rsidRDefault="00C43F4C" w:rsidP="00C43F4C">
      <w:pPr>
        <w:pStyle w:val="Pull-outBullet1"/>
      </w:pPr>
      <w:r>
        <w:t>have taken the customer</w:t>
      </w:r>
      <w:r w:rsidR="00CD4B68">
        <w:t>’</w:t>
      </w:r>
      <w:r>
        <w:t>s circumstances into account when making assistance available, and before deciding to proceed to disconnection</w:t>
      </w:r>
    </w:p>
    <w:p w14:paraId="4343AFB6" w14:textId="4BEDDD00" w:rsidR="00C43F4C" w:rsidRDefault="00C43F4C" w:rsidP="00C43F4C">
      <w:pPr>
        <w:pStyle w:val="Pull-outBullet1"/>
      </w:pPr>
      <w:r>
        <w:t>have cooperated with the Energy and Water Ombudsman (Victoria) in resolving any relevant dispute the customer raised with the Ombudsman</w:t>
      </w:r>
    </w:p>
    <w:p w14:paraId="16B8A7F2" w14:textId="743E7AB4" w:rsidR="00C43F4C" w:rsidRDefault="00C43F4C" w:rsidP="00C43F4C">
      <w:pPr>
        <w:pStyle w:val="Pull-outBullet1"/>
      </w:pPr>
      <w:r>
        <w:t>have issued a reminder notice to the customer</w:t>
      </w:r>
    </w:p>
    <w:p w14:paraId="450FA5B0" w14:textId="6D94FE27" w:rsidR="00C43F4C" w:rsidRDefault="00C43F4C" w:rsidP="00C43F4C">
      <w:pPr>
        <w:pStyle w:val="Pull-outBullet1"/>
      </w:pPr>
      <w:r>
        <w:t>have provided the customer with a disconnection warning notice</w:t>
      </w:r>
    </w:p>
    <w:p w14:paraId="04542250" w14:textId="7890D897" w:rsidR="00C43F4C" w:rsidRDefault="0012611D" w:rsidP="00C43F4C">
      <w:pPr>
        <w:pStyle w:val="Pull-outBullet1"/>
      </w:pPr>
      <w:r>
        <w:t xml:space="preserve">have taken all reasonable steps to provide </w:t>
      </w:r>
      <w:r w:rsidR="00F95CE4">
        <w:t xml:space="preserve">a customer with clear and </w:t>
      </w:r>
      <w:r w:rsidR="00E85E34">
        <w:t>unambiguous information</w:t>
      </w:r>
      <w:r w:rsidR="00F95CE4">
        <w:t xml:space="preserve"> about the available assistance after issuing a disconnection warning notice </w:t>
      </w:r>
    </w:p>
    <w:p w14:paraId="2AB51495" w14:textId="67D20726" w:rsidR="00C43F4C" w:rsidRDefault="00C43F4C" w:rsidP="00C43F4C">
      <w:pPr>
        <w:pStyle w:val="Pull-outBullet1"/>
      </w:pPr>
      <w:r>
        <w:t>be able to demonstrate that the customer has not taken reasonable action towards paying for their energy and repaying their arrears</w:t>
      </w:r>
    </w:p>
    <w:p w14:paraId="7FE35079" w14:textId="69A677EA" w:rsidR="00C43F4C" w:rsidRDefault="00C43F4C" w:rsidP="00C43F4C">
      <w:pPr>
        <w:pStyle w:val="Pull-outBullet1"/>
      </w:pPr>
      <w:r w:rsidRPr="00841F5A">
        <w:lastRenderedPageBreak/>
        <w:t>have records evidencing compliance with all these requirements</w:t>
      </w:r>
      <w:r>
        <w:t>.</w:t>
      </w:r>
    </w:p>
    <w:p w14:paraId="6DDB7883" w14:textId="2C2601E5" w:rsidR="002A51EE" w:rsidRDefault="00C43F4C" w:rsidP="00DF3E00">
      <w:r>
        <w:t xml:space="preserve">In addition, a retailer cannot disconnect a customer who has arrears less than $300, including GST. It should be also noted that in August 2021, as part of the Victorian government’s legislative amendments under the </w:t>
      </w:r>
      <w:r w:rsidRPr="001E6D4B">
        <w:rPr>
          <w:i/>
          <w:iCs/>
        </w:rPr>
        <w:t>Energy Legislation Amendment (Energy Fairness) Act 2021</w:t>
      </w:r>
      <w:r>
        <w:t xml:space="preserve">, many of these disconnections safeguards have been incorporated into the Electricity Industry Act 2000 and Gas Industry Act 2001. </w:t>
      </w:r>
    </w:p>
    <w:p w14:paraId="3F0B2B37" w14:textId="6ED56A24" w:rsidR="00052677" w:rsidRPr="00A63DC3" w:rsidRDefault="00052677" w:rsidP="00052677">
      <w:r w:rsidRPr="00A63DC3">
        <w:t>These safeguards are to ensure that a customer experiencing payment difficulty has reasonable opportunities to engage with a retailer and receive assistance, so that disconnection for non-payment is only a last resort measure.</w:t>
      </w:r>
    </w:p>
    <w:tbl>
      <w:tblPr>
        <w:tblStyle w:val="TableGrid"/>
        <w:tblW w:w="0" w:type="auto"/>
        <w:tblInd w:w="227" w:type="dxa"/>
        <w:tblCellMar>
          <w:top w:w="0" w:type="dxa"/>
          <w:left w:w="227" w:type="dxa"/>
          <w:right w:w="227" w:type="dxa"/>
        </w:tblCellMar>
        <w:tblLook w:val="04A0" w:firstRow="1" w:lastRow="0" w:firstColumn="1" w:lastColumn="0" w:noHBand="0" w:noVBand="1"/>
      </w:tblPr>
      <w:tblGrid>
        <w:gridCol w:w="9411"/>
      </w:tblGrid>
      <w:tr w:rsidR="00C26BEF" w:rsidRPr="00A63DC3" w14:paraId="66B97813" w14:textId="77777777" w:rsidTr="00534F90">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B2CFDC" w:themeFill="accent3" w:themeFillTint="66"/>
          </w:tcPr>
          <w:p w14:paraId="191439C0" w14:textId="77777777" w:rsidR="00C26BEF" w:rsidRPr="00A63DC3" w:rsidRDefault="00C26BEF" w:rsidP="00534F90">
            <w:pPr>
              <w:rPr>
                <w:color w:val="000000" w:themeColor="text1"/>
              </w:rPr>
            </w:pPr>
            <w:r w:rsidRPr="00A63DC3">
              <w:rPr>
                <w:color w:val="000000" w:themeColor="text1"/>
              </w:rPr>
              <w:t>Increased consequences for wrongfully and recklessly disconnecting customers</w:t>
            </w:r>
          </w:p>
          <w:p w14:paraId="37F83977" w14:textId="77777777" w:rsidR="00C26BEF" w:rsidRPr="00A63DC3" w:rsidRDefault="00C26BEF" w:rsidP="00534F90">
            <w:pPr>
              <w:rPr>
                <w:b w:val="0"/>
                <w:bCs/>
                <w:color w:val="000000" w:themeColor="text1"/>
              </w:rPr>
            </w:pPr>
            <w:r w:rsidRPr="00A63DC3">
              <w:rPr>
                <w:b w:val="0"/>
                <w:bCs/>
                <w:color w:val="000000" w:themeColor="text1"/>
              </w:rPr>
              <w:t xml:space="preserve">The Victorian parliament recently signalled the importance of complying with the law in relation to disconnections. Legislation has been passed that has changed the nature of wrongful disconnections to become characterised as potentially criminal conduct, and increased the seriousness of its consequences. </w:t>
            </w:r>
          </w:p>
          <w:p w14:paraId="48C16558" w14:textId="16119A2D" w:rsidR="00C26BEF" w:rsidRPr="00A63DC3" w:rsidRDefault="00C26BEF" w:rsidP="00534F90">
            <w:pPr>
              <w:rPr>
                <w:b w:val="0"/>
                <w:bCs/>
                <w:color w:val="000000" w:themeColor="text1"/>
              </w:rPr>
            </w:pPr>
            <w:r w:rsidRPr="00A63DC3">
              <w:rPr>
                <w:b w:val="0"/>
                <w:bCs/>
                <w:color w:val="000000" w:themeColor="text1"/>
              </w:rPr>
              <w:t>As a consequence of legislation that came into effect on 1 December 2021 and further legislation that took effect on 1 March 2022, energy retailers who:</w:t>
            </w:r>
          </w:p>
          <w:p w14:paraId="3E59B603" w14:textId="77777777" w:rsidR="00C26BEF" w:rsidRPr="00A63DC3" w:rsidRDefault="00C26BEF" w:rsidP="00C26BEF">
            <w:pPr>
              <w:pStyle w:val="ListParagraph"/>
              <w:numPr>
                <w:ilvl w:val="0"/>
                <w:numId w:val="45"/>
              </w:numPr>
              <w:rPr>
                <w:b w:val="0"/>
                <w:bCs/>
                <w:color w:val="000000" w:themeColor="text1"/>
              </w:rPr>
            </w:pPr>
            <w:r w:rsidRPr="00A63DC3">
              <w:rPr>
                <w:b w:val="0"/>
                <w:bCs/>
                <w:color w:val="000000" w:themeColor="text1"/>
              </w:rPr>
              <w:t>Disconnect, other than in accordance with the law, may be subject to a broader range of enforcement action that could include:</w:t>
            </w:r>
          </w:p>
          <w:p w14:paraId="12A87127" w14:textId="77777777" w:rsidR="00C26BEF" w:rsidRPr="00A63DC3" w:rsidRDefault="00C26BEF" w:rsidP="00534F90">
            <w:pPr>
              <w:pStyle w:val="ListBullet2"/>
              <w:ind w:left="768"/>
              <w:rPr>
                <w:b w:val="0"/>
                <w:bCs/>
                <w:color w:val="000000" w:themeColor="text1"/>
              </w:rPr>
            </w:pPr>
            <w:r w:rsidRPr="00A63DC3">
              <w:rPr>
                <w:b w:val="0"/>
                <w:bCs/>
                <w:color w:val="000000" w:themeColor="text1"/>
              </w:rPr>
              <w:t>penalty notices of more than $36,000 per contravention or the commencement of civil proceedings with the potential for civil penalty orders of up to $200,000 per contravention, and</w:t>
            </w:r>
          </w:p>
          <w:p w14:paraId="63099366" w14:textId="77777777" w:rsidR="00C26BEF" w:rsidRPr="00A63DC3" w:rsidRDefault="00C26BEF" w:rsidP="00534F90">
            <w:pPr>
              <w:pStyle w:val="ListBullet2"/>
              <w:ind w:left="768"/>
              <w:rPr>
                <w:b w:val="0"/>
                <w:bCs/>
                <w:color w:val="000000" w:themeColor="text1"/>
              </w:rPr>
            </w:pPr>
            <w:r w:rsidRPr="00A63DC3">
              <w:rPr>
                <w:b w:val="0"/>
                <w:bCs/>
                <w:color w:val="000000" w:themeColor="text1"/>
              </w:rPr>
              <w:t>criminal prosecution with potential maximum penalties of up to $1 million.</w:t>
            </w:r>
          </w:p>
          <w:p w14:paraId="01688CAC" w14:textId="77777777" w:rsidR="00C26BEF" w:rsidRPr="00A63DC3" w:rsidRDefault="00C26BEF" w:rsidP="00C26BEF">
            <w:pPr>
              <w:pStyle w:val="ListParagraph"/>
              <w:numPr>
                <w:ilvl w:val="0"/>
                <w:numId w:val="45"/>
              </w:numPr>
              <w:rPr>
                <w:b w:val="0"/>
                <w:bCs/>
                <w:color w:val="000000" w:themeColor="text1"/>
              </w:rPr>
            </w:pPr>
            <w:r w:rsidRPr="00A63DC3">
              <w:rPr>
                <w:b w:val="0"/>
                <w:bCs/>
                <w:color w:val="000000" w:themeColor="text1"/>
              </w:rPr>
              <w:t>Knowingly or recklessly disconnect a customer other than in accordance with the law may be found to have committed a criminal offence, with potential penalties of up to approximately $1 million per contravention.</w:t>
            </w:r>
          </w:p>
          <w:p w14:paraId="22E94315" w14:textId="77777777" w:rsidR="00C26BEF" w:rsidRPr="00A63DC3" w:rsidRDefault="00C26BEF" w:rsidP="00ED3A64">
            <w:pPr>
              <w:keepNext/>
              <w:rPr>
                <w:b w:val="0"/>
                <w:bCs/>
                <w:color w:val="000000" w:themeColor="text1"/>
              </w:rPr>
            </w:pPr>
            <w:r w:rsidRPr="00A63DC3">
              <w:rPr>
                <w:b w:val="0"/>
                <w:bCs/>
                <w:color w:val="000000" w:themeColor="text1"/>
              </w:rPr>
              <w:t>Officers involved in contraventions may also be subject to enforcement action by the commission in certain circumstances</w:t>
            </w:r>
            <w:r w:rsidRPr="00A63DC3">
              <w:rPr>
                <w:b w:val="0"/>
                <w:color w:val="000000" w:themeColor="text1"/>
              </w:rPr>
              <w:t xml:space="preserve"> and consequences could include a potential maximum jail term of up to 10 years.</w:t>
            </w:r>
          </w:p>
          <w:p w14:paraId="69BF30A1" w14:textId="77777777" w:rsidR="00C26BEF" w:rsidRPr="00A63DC3" w:rsidRDefault="00C26BEF" w:rsidP="00ED3A64">
            <w:pPr>
              <w:keepNext/>
              <w:keepLines/>
              <w:rPr>
                <w:b w:val="0"/>
                <w:bCs/>
                <w:color w:val="000000" w:themeColor="text1"/>
              </w:rPr>
            </w:pPr>
            <w:r w:rsidRPr="00A63DC3">
              <w:rPr>
                <w:b w:val="0"/>
                <w:bCs/>
                <w:color w:val="000000" w:themeColor="text1"/>
              </w:rPr>
              <w:t xml:space="preserve">These potential consequences highlight the importance of retailers only disconnecting customers as a measure of last resort and in accordance with the laws. We prefer that Victorian retailers are proactive in ensuring compliance. We also expect the new enforcement framework and serious consequences of non-compliance will incentivise retailers to invest in </w:t>
            </w:r>
            <w:r w:rsidRPr="00A63DC3">
              <w:rPr>
                <w:b w:val="0"/>
                <w:bCs/>
                <w:color w:val="000000" w:themeColor="text1"/>
              </w:rPr>
              <w:lastRenderedPageBreak/>
              <w:t>enhancing compliance systems, processes and cultures. Investment in these areas will particularly support customers accessing and receiving assistance under the payment difficulty framework.</w:t>
            </w:r>
          </w:p>
        </w:tc>
      </w:tr>
    </w:tbl>
    <w:p w14:paraId="624D7E44" w14:textId="77777777" w:rsidR="00C43F4C" w:rsidRDefault="00C43F4C" w:rsidP="003A1B23">
      <w:pPr>
        <w:pStyle w:val="Heading2"/>
        <w:spacing w:before="360"/>
      </w:pPr>
      <w:bookmarkStart w:id="220" w:name="_Toc104850142"/>
      <w:r w:rsidRPr="00A63DC3">
        <w:lastRenderedPageBreak/>
        <w:t>Levels of</w:t>
      </w:r>
      <w:r>
        <w:t xml:space="preserve"> disconnection of residential energy customers</w:t>
      </w:r>
      <w:bookmarkEnd w:id="220"/>
    </w:p>
    <w:p w14:paraId="51F1D45D" w14:textId="77777777" w:rsidR="00C43F4C" w:rsidRDefault="00C43F4C" w:rsidP="00C43F4C">
      <w:r>
        <w:t xml:space="preserve">Since the commencement of the framework, the number of customers being disconnected for non-payment has substantively decreased, compared to the peak in 2013-14. </w:t>
      </w:r>
    </w:p>
    <w:p w14:paraId="456CCF93" w14:textId="4F9D1B61" w:rsidR="00C43F4C" w:rsidRDefault="00C43F4C" w:rsidP="00C43F4C">
      <w:r>
        <w:t xml:space="preserve">This is particularly clear when looking at disconnection levels throughout the full year of 2019 and the first months of 2020, where the reduction in disconnections occurred before the onset of the coronavirus </w:t>
      </w:r>
      <w:r w:rsidRPr="00E74914">
        <w:t>pandemic (</w:t>
      </w:r>
      <w:r w:rsidR="00E74914" w:rsidRPr="00374D22">
        <w:fldChar w:fldCharType="begin"/>
      </w:r>
      <w:r w:rsidR="00E74914" w:rsidRPr="00374D22">
        <w:instrText xml:space="preserve"> REF _Ref103696471 \h  \* MERGEFORMAT </w:instrText>
      </w:r>
      <w:r w:rsidR="00E74914" w:rsidRPr="00374D22">
        <w:fldChar w:fldCharType="separate"/>
      </w:r>
      <w:r w:rsidR="00357DD7" w:rsidRPr="00357DD7">
        <w:t xml:space="preserve">Figure </w:t>
      </w:r>
      <w:r w:rsidR="00357DD7">
        <w:t>34</w:t>
      </w:r>
      <w:r w:rsidR="00E74914" w:rsidRPr="00374D22">
        <w:fldChar w:fldCharType="end"/>
      </w:r>
      <w:r w:rsidRPr="00374D22">
        <w:t>).</w:t>
      </w:r>
      <w:r w:rsidRPr="00E74914">
        <w:t xml:space="preserve"> However,</w:t>
      </w:r>
      <w:r>
        <w:t xml:space="preserve"> we recognise that during most of 2020 and 2021, retailers halted any disconnections in line with our expectations during stay-at-home restrictions, resulting in lower annual disconnection levels than in the past.</w:t>
      </w:r>
    </w:p>
    <w:p w14:paraId="51C39A31" w14:textId="5D31580E" w:rsidR="00DE457D" w:rsidRPr="00007844" w:rsidRDefault="00C43F4C" w:rsidP="004A0A71">
      <w:pPr>
        <w:pStyle w:val="Figureheading"/>
        <w:keepNext/>
        <w:rPr>
          <w:rStyle w:val="FigureheadingChar"/>
          <w:b/>
          <w:lang w:val="en-AU"/>
        </w:rPr>
      </w:pPr>
      <w:bookmarkStart w:id="221" w:name="_Ref103696471"/>
      <w:bookmarkStart w:id="222" w:name="_Toc103943804"/>
      <w:r w:rsidRPr="00007844">
        <w:rPr>
          <w:rStyle w:val="FigureheadingChar"/>
          <w:b/>
        </w:rPr>
        <w:t xml:space="preserve">Figure </w:t>
      </w:r>
      <w:r w:rsidRPr="00007844">
        <w:rPr>
          <w:rStyle w:val="FigureheadingChar"/>
          <w:b/>
        </w:rPr>
        <w:fldChar w:fldCharType="begin"/>
      </w:r>
      <w:r w:rsidRPr="00007844">
        <w:instrText>SEQ Figure \* ARABIC</w:instrText>
      </w:r>
      <w:r w:rsidRPr="00007844">
        <w:rPr>
          <w:rStyle w:val="FigureheadingChar"/>
          <w:b/>
        </w:rPr>
        <w:fldChar w:fldCharType="separate"/>
      </w:r>
      <w:r w:rsidR="00357DD7">
        <w:rPr>
          <w:noProof/>
        </w:rPr>
        <w:t>34</w:t>
      </w:r>
      <w:r w:rsidRPr="00007844">
        <w:rPr>
          <w:rStyle w:val="FigureheadingChar"/>
          <w:b/>
        </w:rPr>
        <w:fldChar w:fldCharType="end"/>
      </w:r>
      <w:bookmarkEnd w:id="221"/>
      <w:r w:rsidR="007E5C4A" w:rsidRPr="00007844">
        <w:rPr>
          <w:rStyle w:val="FigureheadingChar"/>
          <w:b/>
        </w:rPr>
        <w:tab/>
      </w:r>
      <w:r w:rsidRPr="00007844">
        <w:rPr>
          <w:rStyle w:val="FigureheadingChar"/>
          <w:b/>
        </w:rPr>
        <w:t>Levels of disconnections of residential energy customers from 2013 to 2021</w:t>
      </w:r>
      <w:bookmarkEnd w:id="222"/>
    </w:p>
    <w:p w14:paraId="7A64016E" w14:textId="57698918" w:rsidR="00C43F4C" w:rsidRDefault="00C43F4C" w:rsidP="00DE457D">
      <w:r w:rsidRPr="00416320">
        <w:rPr>
          <w:rStyle w:val="Figure-Table-BoxHeadingChar"/>
          <w:rFonts w:asciiTheme="minorHAnsi" w:eastAsiaTheme="minorHAnsi" w:hAnsiTheme="minorHAnsi" w:cstheme="minorBidi"/>
          <w:b w:val="0"/>
          <w:noProof/>
          <w:color w:val="auto"/>
          <w:szCs w:val="22"/>
        </w:rPr>
        <w:drawing>
          <wp:inline distT="0" distB="0" distL="0" distR="0" wp14:anchorId="379FCC07" wp14:editId="1A108285">
            <wp:extent cx="6120130" cy="2512695"/>
            <wp:effectExtent l="0" t="0" r="0" b="1905"/>
            <wp:docPr id="100004" name="Picture 100004" descr="Line chart showing levels of disconnections of residential energy customers from 2013-2021. Disconnections decreased during the pandemic and after the introduction of the framework. They increased in the third quarter of 2020-21, but dropped again in the beginning of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Picture 100004" descr="Line chart showing levels of disconnections of residential energy customers from 2013-2021. Disconnections decreased during the pandemic and after the introduction of the framework. They increased in the third quarter of 2020-21, but dropped again in the beginning of 2021-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0130" cy="2512695"/>
                    </a:xfrm>
                    <a:prstGeom prst="rect">
                      <a:avLst/>
                    </a:prstGeom>
                    <a:noFill/>
                    <a:ln>
                      <a:noFill/>
                    </a:ln>
                  </pic:spPr>
                </pic:pic>
              </a:graphicData>
            </a:graphic>
          </wp:inline>
        </w:drawing>
      </w:r>
    </w:p>
    <w:p w14:paraId="6997E0A7" w14:textId="77777777" w:rsidR="00C43F4C" w:rsidRDefault="00C43F4C" w:rsidP="00C43F4C">
      <w:r>
        <w:t>The Energy and Water Ombudsman also reported a significant reduction in disconnection-related complaints it had received since the framework was introduced, with this reduction occurring even before the pandemic.</w:t>
      </w:r>
      <w:r>
        <w:rPr>
          <w:rStyle w:val="FootnoteReference"/>
        </w:rPr>
        <w:footnoteReference w:id="132"/>
      </w:r>
      <w:r>
        <w:t xml:space="preserve"> Community support workers have also reported seeing a reduction in customers presenting to them for disconnection-related reasons.</w:t>
      </w:r>
      <w:r>
        <w:rPr>
          <w:rStyle w:val="FootnoteReference"/>
        </w:rPr>
        <w:footnoteReference w:id="133"/>
      </w:r>
    </w:p>
    <w:p w14:paraId="25193346" w14:textId="5B79C653" w:rsidR="00C43F4C" w:rsidRDefault="00C43F4C" w:rsidP="00C43F4C">
      <w:r>
        <w:lastRenderedPageBreak/>
        <w:t xml:space="preserve">We also note that customers who are disconnected for non-payment represent a small proportion of </w:t>
      </w:r>
      <w:r w:rsidR="00B65F3B">
        <w:t xml:space="preserve">all </w:t>
      </w:r>
      <w:r>
        <w:t xml:space="preserve">Victorian </w:t>
      </w:r>
      <w:r w:rsidR="00B65F3B">
        <w:t xml:space="preserve">electricity </w:t>
      </w:r>
      <w:r w:rsidR="00EF7691">
        <w:t>customers. Approximately </w:t>
      </w:r>
      <w:r>
        <w:t>0.</w:t>
      </w:r>
      <w:r w:rsidR="004C02A5">
        <w:t xml:space="preserve">70 </w:t>
      </w:r>
      <w:r w:rsidR="00E22C38">
        <w:t>per cent</w:t>
      </w:r>
      <w:r>
        <w:t xml:space="preserve"> of all Victorian electricity customers </w:t>
      </w:r>
      <w:r w:rsidR="00EF7691">
        <w:t>were</w:t>
      </w:r>
      <w:r>
        <w:t xml:space="preserve"> disconnected </w:t>
      </w:r>
      <w:r w:rsidR="00EF7691">
        <w:t xml:space="preserve">for non-payment </w:t>
      </w:r>
      <w:r>
        <w:t>in 2019-20.</w:t>
      </w:r>
      <w:r w:rsidR="00EF7691">
        <w:rPr>
          <w:rStyle w:val="FootnoteReference"/>
        </w:rPr>
        <w:footnoteReference w:id="134"/>
      </w:r>
      <w:r w:rsidRPr="00F826C3">
        <w:t xml:space="preserve"> </w:t>
      </w:r>
    </w:p>
    <w:p w14:paraId="453C4DCA" w14:textId="7843D718" w:rsidR="00C43F4C" w:rsidRDefault="00C43F4C" w:rsidP="00C43F4C">
      <w:r>
        <w:t xml:space="preserve">Retailers can only disconnect customers after </w:t>
      </w:r>
      <w:r w:rsidR="00C32FA2">
        <w:t>complying</w:t>
      </w:r>
      <w:r>
        <w:t xml:space="preserve"> with </w:t>
      </w:r>
      <w:r w:rsidR="00C32FA2">
        <w:t xml:space="preserve">all of their obligations under the code, including providing the required notices and </w:t>
      </w:r>
      <w:r>
        <w:t xml:space="preserve">information </w:t>
      </w:r>
      <w:r w:rsidR="00C32FA2">
        <w:t>about available</w:t>
      </w:r>
      <w:r>
        <w:t xml:space="preserve"> assistance</w:t>
      </w:r>
      <w:r w:rsidR="00C32FA2">
        <w:t>. If a customer does not respond they may be disconnected as a last resort for non-payment.</w:t>
      </w:r>
      <w:r>
        <w:t xml:space="preserve"> As shown in </w:t>
      </w:r>
      <w:r>
        <w:fldChar w:fldCharType="begin"/>
      </w:r>
      <w:r>
        <w:instrText xml:space="preserve"> REF _Ref103665548 \h </w:instrText>
      </w:r>
      <w:r>
        <w:fldChar w:fldCharType="separate"/>
      </w:r>
      <w:r w:rsidR="00357DD7">
        <w:t xml:space="preserve">Figure </w:t>
      </w:r>
      <w:r w:rsidR="00357DD7">
        <w:rPr>
          <w:noProof/>
        </w:rPr>
        <w:t>35</w:t>
      </w:r>
      <w:r>
        <w:fldChar w:fldCharType="end"/>
      </w:r>
      <w:r>
        <w:t>, only a small proportion of customers who receive reminder notices or disconnection warning notices are subsequently disconnected.</w:t>
      </w:r>
    </w:p>
    <w:p w14:paraId="35810797" w14:textId="1FE638D5" w:rsidR="00C43F4C" w:rsidRPr="00255450" w:rsidRDefault="00C43F4C" w:rsidP="004826C5">
      <w:pPr>
        <w:pStyle w:val="Figure-Table-BoxHeading"/>
        <w:keepNext/>
        <w:keepLines/>
        <w:numPr>
          <w:ilvl w:val="0"/>
          <w:numId w:val="0"/>
        </w:numPr>
      </w:pPr>
      <w:bookmarkStart w:id="223" w:name="_Ref103665548"/>
      <w:bookmarkStart w:id="224" w:name="_Toc103943805"/>
      <w:r>
        <w:t xml:space="preserve">Figure </w:t>
      </w:r>
      <w:r>
        <w:fldChar w:fldCharType="begin"/>
      </w:r>
      <w:r>
        <w:instrText>SEQ Figure \* ARABIC</w:instrText>
      </w:r>
      <w:r>
        <w:fldChar w:fldCharType="separate"/>
      </w:r>
      <w:r w:rsidR="00357DD7">
        <w:rPr>
          <w:noProof/>
        </w:rPr>
        <w:t>35</w:t>
      </w:r>
      <w:r>
        <w:fldChar w:fldCharType="end"/>
      </w:r>
      <w:bookmarkEnd w:id="223"/>
      <w:r>
        <w:tab/>
        <w:t>Total number of Victorian electricity customers compared to customers</w:t>
      </w:r>
      <w:r w:rsidR="004826C5">
        <w:t xml:space="preserve"> </w:t>
      </w:r>
      <w:r>
        <w:t>participating in the framework (average per month</w:t>
      </w:r>
      <w:r w:rsidR="004A3A04">
        <w:t>,</w:t>
      </w:r>
      <w:r>
        <w:t xml:space="preserve"> 2019 to 2021)</w:t>
      </w:r>
      <w:bookmarkEnd w:id="224"/>
    </w:p>
    <w:p w14:paraId="320D0818" w14:textId="50D11AAA" w:rsidR="00C43F4C" w:rsidRPr="00255450" w:rsidRDefault="00C43F4C" w:rsidP="00C43F4C">
      <w:r w:rsidRPr="0019286A">
        <w:rPr>
          <w:noProof/>
        </w:rPr>
        <w:drawing>
          <wp:inline distT="0" distB="0" distL="0" distR="0" wp14:anchorId="5A1732FF" wp14:editId="5B74B1E8">
            <wp:extent cx="6120130" cy="2874645"/>
            <wp:effectExtent l="0" t="0" r="0" b="1905"/>
            <wp:docPr id="37" name="Picture 37" descr="Bar chart comparing total number of people in different parts of the framework. The highest proportion of people within the framework receive standard as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ar chart comparing total number of people in different parts of the framework. The highest proportion of people within the framework receive standard assistance.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38FC4B33" w14:textId="1BF2469B" w:rsidR="00C43F4C" w:rsidRDefault="00C43F4C" w:rsidP="00C43F4C">
      <w:r>
        <w:t xml:space="preserve">We have also seen a general reduction in wrongful disconnection payments made by retailers. In 2020-21, </w:t>
      </w:r>
      <w:r w:rsidR="00B77300">
        <w:t xml:space="preserve">retailers reported that </w:t>
      </w:r>
      <w:r w:rsidR="007F15C4">
        <w:t xml:space="preserve">430 </w:t>
      </w:r>
      <w:r>
        <w:t>customers were paid a total of $</w:t>
      </w:r>
      <w:r w:rsidR="007F15C4">
        <w:t>487,403</w:t>
      </w:r>
      <w:r>
        <w:t xml:space="preserve"> in compensation, the lowest </w:t>
      </w:r>
      <w:r w:rsidR="00047652">
        <w:t>number of</w:t>
      </w:r>
      <w:r>
        <w:t xml:space="preserve"> customers </w:t>
      </w:r>
      <w:r w:rsidR="005F601A">
        <w:t>affected,</w:t>
      </w:r>
      <w:r>
        <w:t xml:space="preserve"> and compensation payments made in five years. Despite this observed reduction, over 400 customers </w:t>
      </w:r>
      <w:r w:rsidR="00B77300">
        <w:t>were</w:t>
      </w:r>
      <w:r>
        <w:t xml:space="preserve"> still affected by being wrongfully disconnected </w:t>
      </w:r>
      <w:r w:rsidR="00B77300">
        <w:t>in 2020-21</w:t>
      </w:r>
      <w:r>
        <w:t>, despite the specific rules we designed to ensure that disconnections are only a last resort.</w:t>
      </w:r>
    </w:p>
    <w:p w14:paraId="51C213CD" w14:textId="4155B6FE" w:rsidR="00A05550" w:rsidRDefault="00C43F4C" w:rsidP="005F601A">
      <w:pPr>
        <w:keepLines/>
      </w:pPr>
      <w:r>
        <w:lastRenderedPageBreak/>
        <w:t xml:space="preserve">The commission will continue to act on non-compliance in wrongful disconnection, and we note the Victorian government’s introduction of higher penalties for reckless disconnection of customers. </w:t>
      </w:r>
      <w:r w:rsidR="005976C0">
        <w:t xml:space="preserve">In February 2022, Sumo paid $500,000 </w:t>
      </w:r>
      <w:r w:rsidR="00571209">
        <w:t xml:space="preserve">in penalty notices we issued, </w:t>
      </w:r>
      <w:r w:rsidR="005976C0">
        <w:t>for allegedly wrongfully disconnecting 142 customers.</w:t>
      </w:r>
      <w:r w:rsidR="005976C0" w:rsidRPr="00BA2079">
        <w:t xml:space="preserve"> </w:t>
      </w:r>
    </w:p>
    <w:p w14:paraId="41DDAC22" w14:textId="2ABE4A3D" w:rsidR="00C43F4C" w:rsidRDefault="00C43F4C" w:rsidP="00C43F4C">
      <w:r>
        <w:t xml:space="preserve">We will continue to resolve wrongful disconnections referred to the commission where an outcome cannot be </w:t>
      </w:r>
      <w:r w:rsidR="000345F8">
        <w:t>reached</w:t>
      </w:r>
      <w:r>
        <w:t xml:space="preserve"> between the retailer, customer and the Energy and Water Ombudsman of Victoria. In 2020-21, we resolved nine cases relating to potential wrongful disconnection, resulting in $21,525 in compensation being paid to four customers.</w:t>
      </w:r>
    </w:p>
    <w:p w14:paraId="70216E90" w14:textId="79834485" w:rsidR="00C43F4C" w:rsidRDefault="00C43F4C" w:rsidP="00C43F4C">
      <w:r>
        <w:t>Our key findings show that many customers do receive assistance to manage their arrears and are subsequently protected from disconnection. However, the framework and retailers’ support measures have limits to their effectiveness for customers who are unable to engage or cannot pay for their ongoing energy use.</w:t>
      </w:r>
    </w:p>
    <w:p w14:paraId="4D9B7ED3" w14:textId="77777777" w:rsidR="00C43F4C" w:rsidRDefault="00C43F4C" w:rsidP="00C43F4C">
      <w:r>
        <w:t>The following sections consider the framework’s implementation in terms of communication to a customer immediately prior to disconnection, and the degree to which customers are supported with assistance before disconnection.</w:t>
      </w:r>
    </w:p>
    <w:p w14:paraId="615D4FDF" w14:textId="77777777" w:rsidR="00C43F4C" w:rsidRDefault="00C43F4C" w:rsidP="00C43F4C">
      <w:pPr>
        <w:pStyle w:val="Heading3"/>
      </w:pPr>
      <w:r>
        <w:t>Attempts to engage with customers prior to disconnection</w:t>
      </w:r>
    </w:p>
    <w:p w14:paraId="53CE1B71" w14:textId="77777777" w:rsidR="00C43F4C" w:rsidRDefault="00C43F4C" w:rsidP="00C43F4C">
      <w:r>
        <w:t>Under the code, retailers must send disconnection warning notices to customers for non-payment of a bill no less than six days before the date of disconnection.</w:t>
      </w:r>
      <w:r>
        <w:rPr>
          <w:rStyle w:val="FootnoteReference"/>
        </w:rPr>
        <w:footnoteReference w:id="135"/>
      </w:r>
      <w:r>
        <w:t xml:space="preserve"> Disconnection warning notices must include:</w:t>
      </w:r>
      <w:r>
        <w:rPr>
          <w:rStyle w:val="FootnoteReference"/>
        </w:rPr>
        <w:footnoteReference w:id="136"/>
      </w:r>
    </w:p>
    <w:p w14:paraId="24FF9A70" w14:textId="77777777" w:rsidR="00C43F4C" w:rsidRDefault="00C43F4C" w:rsidP="00C43F4C">
      <w:pPr>
        <w:pStyle w:val="ListBullet"/>
        <w:tabs>
          <w:tab w:val="clear" w:pos="360"/>
        </w:tabs>
        <w:ind w:left="284" w:hanging="284"/>
      </w:pPr>
      <w:r>
        <w:t>the date of issue</w:t>
      </w:r>
    </w:p>
    <w:p w14:paraId="7CD49319" w14:textId="77777777" w:rsidR="00C43F4C" w:rsidRDefault="00C43F4C" w:rsidP="00C43F4C">
      <w:pPr>
        <w:pStyle w:val="ListBullet"/>
        <w:tabs>
          <w:tab w:val="clear" w:pos="360"/>
        </w:tabs>
        <w:ind w:left="284" w:hanging="284"/>
      </w:pPr>
      <w:r>
        <w:t>the matter giving rise to the potential disconnection of the relevant customer’s premises</w:t>
      </w:r>
    </w:p>
    <w:p w14:paraId="021C332D" w14:textId="77777777" w:rsidR="00C43F4C" w:rsidRDefault="00C43F4C" w:rsidP="00C43F4C">
      <w:pPr>
        <w:pStyle w:val="ListBullet"/>
        <w:tabs>
          <w:tab w:val="clear" w:pos="360"/>
        </w:tabs>
        <w:ind w:left="284" w:hanging="284"/>
      </w:pPr>
      <w:r>
        <w:t>an explanation in plain language as to why it is being issued</w:t>
      </w:r>
    </w:p>
    <w:p w14:paraId="0EE3FA07" w14:textId="77777777" w:rsidR="00C43F4C" w:rsidRDefault="00C43F4C" w:rsidP="00C43F4C">
      <w:pPr>
        <w:pStyle w:val="ListBullet"/>
        <w:tabs>
          <w:tab w:val="clear" w:pos="360"/>
        </w:tabs>
        <w:ind w:left="284" w:hanging="284"/>
      </w:pPr>
      <w:r>
        <w:t>clear and unambiguous advice about what a customer needs to do to avoid being disconnected from their energy supply, including their entitlement to further assistance</w:t>
      </w:r>
    </w:p>
    <w:p w14:paraId="5AFB8642" w14:textId="16AF0913" w:rsidR="00C43F4C" w:rsidRDefault="00C43F4C" w:rsidP="00C43F4C">
      <w:pPr>
        <w:pStyle w:val="ListBullet"/>
        <w:tabs>
          <w:tab w:val="clear" w:pos="360"/>
        </w:tabs>
        <w:ind w:left="284" w:hanging="284"/>
      </w:pPr>
      <w:r>
        <w:t xml:space="preserve">clear information on how to access assistance provided by government or community service </w:t>
      </w:r>
      <w:r w:rsidR="0050476E">
        <w:t>providers if</w:t>
      </w:r>
      <w:r>
        <w:t xml:space="preserve"> they are eligible.</w:t>
      </w:r>
    </w:p>
    <w:p w14:paraId="7E5A66CB" w14:textId="77777777" w:rsidR="00C43F4C" w:rsidRDefault="00C43F4C" w:rsidP="00C43F4C">
      <w:r>
        <w:t>Based on call recordings analysed, customers were 68 per cent more likely to mention payment difficulty to their retailer if they were prompted to engage</w:t>
      </w:r>
      <w:r w:rsidRPr="00E42ABF">
        <w:t xml:space="preserve"> the </w:t>
      </w:r>
      <w:r>
        <w:t>retailer via disconnection warning notices.</w:t>
      </w:r>
      <w:r>
        <w:rPr>
          <w:rStyle w:val="FootnoteReference"/>
        </w:rPr>
        <w:footnoteReference w:id="137"/>
      </w:r>
    </w:p>
    <w:p w14:paraId="5BBC0D4F" w14:textId="6E07EA10" w:rsidR="009B6807" w:rsidRDefault="00C43F4C" w:rsidP="009B6807">
      <w:r>
        <w:lastRenderedPageBreak/>
        <w:t>However</w:t>
      </w:r>
      <w:r w:rsidRPr="00E42ABF">
        <w:t xml:space="preserve">, we have seen a general increase in disconnection </w:t>
      </w:r>
      <w:r w:rsidR="00E27EAF">
        <w:t xml:space="preserve">warning </w:t>
      </w:r>
      <w:r w:rsidRPr="00E42ABF">
        <w:t>notices since 2019, as shown in</w:t>
      </w:r>
      <w:r w:rsidR="009B6807">
        <w:t xml:space="preserve"> </w:t>
      </w:r>
      <w:r w:rsidR="009B6807">
        <w:fldChar w:fldCharType="begin"/>
      </w:r>
      <w:r w:rsidR="009B6807">
        <w:instrText xml:space="preserve"> REF _Ref103942538 \h </w:instrText>
      </w:r>
      <w:r w:rsidR="009B6807">
        <w:fldChar w:fldCharType="separate"/>
      </w:r>
      <w:r w:rsidR="00357DD7">
        <w:t xml:space="preserve">Figure </w:t>
      </w:r>
      <w:r w:rsidR="00357DD7">
        <w:rPr>
          <w:noProof/>
        </w:rPr>
        <w:t>36</w:t>
      </w:r>
      <w:r w:rsidR="009B6807">
        <w:fldChar w:fldCharType="end"/>
      </w:r>
      <w:r w:rsidRPr="00E42ABF">
        <w:t xml:space="preserve">. </w:t>
      </w:r>
      <w:r>
        <w:t>W</w:t>
      </w:r>
      <w:r w:rsidRPr="00E42ABF">
        <w:t>e also note a reduction in disconnection warning notices in 2020, which coincided with a pause of disconnections during stay-at home restrictions in Victoria.</w:t>
      </w:r>
    </w:p>
    <w:p w14:paraId="75EDCA5E" w14:textId="65927C1F" w:rsidR="00C43F4C" w:rsidRDefault="009B6807" w:rsidP="009B6807">
      <w:pPr>
        <w:pStyle w:val="Figureheading"/>
        <w:keepNext/>
      </w:pPr>
      <w:bookmarkStart w:id="225" w:name="_Ref103942538"/>
      <w:bookmarkStart w:id="226" w:name="_Toc103943806"/>
      <w:r>
        <w:t xml:space="preserve">Figure </w:t>
      </w:r>
      <w:r>
        <w:fldChar w:fldCharType="begin"/>
      </w:r>
      <w:r>
        <w:instrText>SEQ Figure \* ARABIC</w:instrText>
      </w:r>
      <w:r>
        <w:fldChar w:fldCharType="separate"/>
      </w:r>
      <w:r w:rsidR="00357DD7">
        <w:rPr>
          <w:noProof/>
        </w:rPr>
        <w:t>36</w:t>
      </w:r>
      <w:r>
        <w:fldChar w:fldCharType="end"/>
      </w:r>
      <w:bookmarkEnd w:id="225"/>
      <w:r>
        <w:tab/>
      </w:r>
      <w:r w:rsidR="00C43F4C">
        <w:t>Total disconnection warning notices issued since 2019</w:t>
      </w:r>
      <w:bookmarkEnd w:id="226"/>
      <w:r w:rsidR="004A3A04">
        <w:t>, per quarter</w:t>
      </w:r>
    </w:p>
    <w:p w14:paraId="3E79810B" w14:textId="359B9434" w:rsidR="00C43F4C" w:rsidRDefault="00C43F4C" w:rsidP="00C43F4C">
      <w:r w:rsidRPr="00E42ABF">
        <w:rPr>
          <w:noProof/>
        </w:rPr>
        <w:drawing>
          <wp:inline distT="0" distB="0" distL="0" distR="0" wp14:anchorId="3BD2E47E" wp14:editId="3513B388">
            <wp:extent cx="6120000" cy="1801682"/>
            <wp:effectExtent l="0" t="0" r="0" b="8255"/>
            <wp:docPr id="77" name="Picture 77" descr="Bar chart of total disconnection warning notices issues per quarter since 2019. The number of notices have been consistent, with the exception of they last two quarters of 2020 where notices dropped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Bar chart of total disconnection warning notices issues per quarter since 2019. The number of notices have been consistent, with the exception of they last two quarters of 2020 where notices dropped significantly."/>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0000" cy="1801682"/>
                    </a:xfrm>
                    <a:prstGeom prst="rect">
                      <a:avLst/>
                    </a:prstGeom>
                    <a:noFill/>
                    <a:ln>
                      <a:noFill/>
                    </a:ln>
                  </pic:spPr>
                </pic:pic>
              </a:graphicData>
            </a:graphic>
          </wp:inline>
        </w:drawing>
      </w:r>
      <w:r>
        <w:t xml:space="preserve"> </w:t>
      </w:r>
      <w:r w:rsidRPr="00E550D3">
        <w:t>Stakeholders recognise that the</w:t>
      </w:r>
      <w:r>
        <w:t xml:space="preserve"> consequence of late intervention or engagement from customers is more likely to lead to an accumulation of arrears, which could increase </w:t>
      </w:r>
      <w:r w:rsidR="00B26258">
        <w:t>the</w:t>
      </w:r>
      <w:r>
        <w:t xml:space="preserve"> stress experienced by customers and ultimately result in disconnection. For example, when disconnection </w:t>
      </w:r>
      <w:r w:rsidR="00E27EAF">
        <w:t xml:space="preserve">warning </w:t>
      </w:r>
      <w:r>
        <w:t>notices ceased during movement restrictions in Victoria during 2020 and 2021, retailers noted that an unintended outcome was an increase in arrears and a decrease in engagement for many customers.</w:t>
      </w:r>
      <w:r>
        <w:rPr>
          <w:rStyle w:val="FootnoteReference"/>
        </w:rPr>
        <w:footnoteReference w:id="138"/>
      </w:r>
      <w:r>
        <w:t xml:space="preserve"> </w:t>
      </w:r>
    </w:p>
    <w:p w14:paraId="6455A0D7" w14:textId="5309D008" w:rsidR="00C43F4C" w:rsidRPr="0091523F" w:rsidRDefault="00C43F4C" w:rsidP="003A61D9">
      <w:pPr>
        <w:rPr>
          <w:i/>
          <w:iCs/>
        </w:rPr>
      </w:pPr>
      <w:r>
        <w:t>However, not all customers respond to disconnection warning notices to receive assistance, which can result in some customers being disconnected without having received assistance beforehand. In 2020, we also clarified that retailers must check whether a customer is receiving any form of assistance under the framework, before arranging for a disconnection.</w:t>
      </w:r>
      <w:r>
        <w:rPr>
          <w:rStyle w:val="FootnoteReference"/>
        </w:rPr>
        <w:footnoteReference w:id="139"/>
      </w:r>
    </w:p>
    <w:p w14:paraId="44083DDC" w14:textId="68D2D9EC" w:rsidR="00C43F4C" w:rsidRDefault="00C43F4C" w:rsidP="00C43F4C">
      <w:r>
        <w:t xml:space="preserve">Since the implementation of the framework, more than half of the customers disconnected </w:t>
      </w:r>
      <w:r w:rsidRPr="00F7466E">
        <w:t>had not received assistance in the six months prior</w:t>
      </w:r>
      <w:r>
        <w:t xml:space="preserve"> (</w:t>
      </w:r>
      <w:r w:rsidR="004F51C6">
        <w:fldChar w:fldCharType="begin"/>
      </w:r>
      <w:r w:rsidR="004F51C6">
        <w:instrText xml:space="preserve"> REF _Ref103738607 \h </w:instrText>
      </w:r>
      <w:r w:rsidR="004F51C6">
        <w:fldChar w:fldCharType="separate"/>
      </w:r>
      <w:r w:rsidR="00357DD7">
        <w:t xml:space="preserve">Figure </w:t>
      </w:r>
      <w:r w:rsidR="00357DD7">
        <w:rPr>
          <w:noProof/>
        </w:rPr>
        <w:t>37</w:t>
      </w:r>
      <w:r w:rsidR="004F51C6">
        <w:fldChar w:fldCharType="end"/>
      </w:r>
      <w:r w:rsidR="004F51C6">
        <w:t>).</w:t>
      </w:r>
      <w:r>
        <w:t xml:space="preserve"> This proportion increased between 2020 </w:t>
      </w:r>
      <w:r>
        <w:lastRenderedPageBreak/>
        <w:t>and 2021, as retailers focused on disconnecting customers who had not engaged with that retailer for an extended period</w:t>
      </w:r>
      <w:r w:rsidRPr="00F7466E">
        <w:t>.</w:t>
      </w:r>
      <w:r w:rsidRPr="00F7466E">
        <w:rPr>
          <w:rStyle w:val="FootnoteReference"/>
        </w:rPr>
        <w:footnoteReference w:id="140"/>
      </w:r>
    </w:p>
    <w:p w14:paraId="0B39EE07" w14:textId="4637DAAA" w:rsidR="00C43F4C" w:rsidRDefault="00A15FCB" w:rsidP="004F51C6">
      <w:pPr>
        <w:pStyle w:val="Figure-Table-BoxHeading"/>
        <w:keepNext/>
        <w:keepLines/>
        <w:numPr>
          <w:ilvl w:val="0"/>
          <w:numId w:val="0"/>
        </w:numPr>
      </w:pPr>
      <w:bookmarkStart w:id="227" w:name="_Ref103738607"/>
      <w:bookmarkStart w:id="228" w:name="_Toc85053606"/>
      <w:bookmarkStart w:id="229" w:name="_Toc100134514"/>
      <w:bookmarkStart w:id="230" w:name="_Toc100137076"/>
      <w:bookmarkStart w:id="231" w:name="_Ref103738603"/>
      <w:bookmarkStart w:id="232" w:name="_Toc103943807"/>
      <w:r>
        <w:t xml:space="preserve">Figure </w:t>
      </w:r>
      <w:r>
        <w:fldChar w:fldCharType="begin"/>
      </w:r>
      <w:r>
        <w:instrText>SEQ Figure \* ARABIC</w:instrText>
      </w:r>
      <w:r>
        <w:fldChar w:fldCharType="separate"/>
      </w:r>
      <w:r w:rsidR="00357DD7">
        <w:rPr>
          <w:noProof/>
        </w:rPr>
        <w:t>37</w:t>
      </w:r>
      <w:r>
        <w:fldChar w:fldCharType="end"/>
      </w:r>
      <w:bookmarkEnd w:id="227"/>
      <w:r>
        <w:tab/>
      </w:r>
      <w:r w:rsidR="00C43F4C">
        <w:t xml:space="preserve">Proportion of disconnected </w:t>
      </w:r>
      <w:r w:rsidR="00C43F4C" w:rsidRPr="002B5F1C">
        <w:t>customer</w:t>
      </w:r>
      <w:r w:rsidR="00C43F4C">
        <w:t>s who did not receive</w:t>
      </w:r>
      <w:r w:rsidR="004826C5">
        <w:t xml:space="preserve"> </w:t>
      </w:r>
      <w:r w:rsidR="00C43F4C">
        <w:t>assistance</w:t>
      </w:r>
      <w:bookmarkEnd w:id="228"/>
      <w:bookmarkEnd w:id="229"/>
      <w:bookmarkEnd w:id="230"/>
      <w:bookmarkEnd w:id="231"/>
      <w:bookmarkEnd w:id="232"/>
      <w:r w:rsidR="008F059F">
        <w:t xml:space="preserve"> </w:t>
      </w:r>
      <w:r w:rsidR="006E3088">
        <w:t>six months</w:t>
      </w:r>
      <w:r w:rsidR="008F059F">
        <w:t xml:space="preserve"> prior to disconnection</w:t>
      </w:r>
    </w:p>
    <w:p w14:paraId="486D327F" w14:textId="25862C73" w:rsidR="00C43F4C" w:rsidRDefault="00C43F4C" w:rsidP="00C43F4C">
      <w:pPr>
        <w:keepNext/>
        <w:keepLines/>
      </w:pPr>
      <w:r w:rsidRPr="00083408">
        <w:rPr>
          <w:noProof/>
        </w:rPr>
        <w:drawing>
          <wp:inline distT="0" distB="0" distL="0" distR="0" wp14:anchorId="70F1DBBE" wp14:editId="5CA37C7C">
            <wp:extent cx="6120000" cy="2345047"/>
            <wp:effectExtent l="0" t="0" r="0" b="0"/>
            <wp:docPr id="41" name="Picture 41" descr="Bar chart of the proportion of disconnected customers who did not previously receive assistance. Disconnections have steadily decreased after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Bar chart of the proportion of disconnected customers who did not previously receive assistance. Disconnections have steadily decreased after 2019-20.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0000" cy="2345047"/>
                    </a:xfrm>
                    <a:prstGeom prst="rect">
                      <a:avLst/>
                    </a:prstGeom>
                    <a:noFill/>
                    <a:ln>
                      <a:noFill/>
                    </a:ln>
                  </pic:spPr>
                </pic:pic>
              </a:graphicData>
            </a:graphic>
          </wp:inline>
        </w:drawing>
      </w:r>
    </w:p>
    <w:p w14:paraId="20371592" w14:textId="77777777" w:rsidR="00C43F4C" w:rsidRDefault="00C43F4C" w:rsidP="00C43F4C">
      <w:pPr>
        <w:pStyle w:val="Caption"/>
        <w:keepNext/>
        <w:keepLines/>
      </w:pPr>
      <w:r>
        <w:t>Note: * covers the period of January to June for 2018-19 and July to December for 2021-22.</w:t>
      </w:r>
    </w:p>
    <w:p w14:paraId="7C4336EF" w14:textId="4386FF06" w:rsidR="00C43F4C" w:rsidRDefault="00C43F4C" w:rsidP="00C43F4C">
      <w:r>
        <w:t xml:space="preserve">While disconnection </w:t>
      </w:r>
      <w:r w:rsidR="00E27EAF">
        <w:t xml:space="preserve">warning </w:t>
      </w:r>
      <w:r>
        <w:t xml:space="preserve">notices can act as a prompt for customers to engage with their retailers, these notices tend to occur late in the customer journey. We heard that many customers see disconnection </w:t>
      </w:r>
      <w:r w:rsidR="00E27EAF">
        <w:t xml:space="preserve">warning </w:t>
      </w:r>
      <w:r>
        <w:t>notices as threatening, which does not build trust between customers and retailers, and could work against any future engagement with a current or even future retailer.</w:t>
      </w:r>
      <w:r>
        <w:rPr>
          <w:rStyle w:val="FootnoteReference"/>
        </w:rPr>
        <w:footnoteReference w:id="141"/>
      </w:r>
      <w:r>
        <w:t xml:space="preserve"> </w:t>
      </w:r>
      <w:r w:rsidR="004820E1">
        <w:t xml:space="preserve">When </w:t>
      </w:r>
      <w:r w:rsidR="00124790">
        <w:t xml:space="preserve">we made our </w:t>
      </w:r>
      <w:r w:rsidR="00E27EAF">
        <w:t>final decision on the framework, disconnection warning</w:t>
      </w:r>
      <w:r w:rsidRPr="00A82CC3">
        <w:t xml:space="preserve"> notices </w:t>
      </w:r>
      <w:r w:rsidR="00E27EAF">
        <w:t>were</w:t>
      </w:r>
      <w:r w:rsidRPr="00A82CC3">
        <w:t xml:space="preserve"> not intended as the primary mode of engagement with customers, but as a final step to give customers clear advice of what a customer can do to avoid being disconnected.</w:t>
      </w:r>
      <w:r w:rsidRPr="00A82CC3">
        <w:rPr>
          <w:rStyle w:val="FootnoteReference"/>
        </w:rPr>
        <w:footnoteReference w:id="142"/>
      </w:r>
    </w:p>
    <w:p w14:paraId="399F782B" w14:textId="77777777" w:rsidR="00C43F4C" w:rsidRDefault="00C43F4C" w:rsidP="00C43F4C">
      <w:r>
        <w:t>Feedback to our review also suggested the tone of these notices should make the retailer seem approachable. The provision of complex and difficult to understand information, which is a particular issue for customers with low English literacy levels, was also raised by stakeholders.</w:t>
      </w:r>
      <w:r>
        <w:rPr>
          <w:rStyle w:val="FootnoteReference"/>
        </w:rPr>
        <w:footnoteReference w:id="143"/>
      </w:r>
    </w:p>
    <w:p w14:paraId="35D1E183" w14:textId="77777777" w:rsidR="00C43F4C" w:rsidRDefault="00C43F4C" w:rsidP="00C43F4C">
      <w:pPr>
        <w:pStyle w:val="Heading3"/>
      </w:pPr>
      <w:r>
        <w:lastRenderedPageBreak/>
        <w:t>Extent of customers at greater risk of disconnection for non-payment</w:t>
      </w:r>
    </w:p>
    <w:p w14:paraId="4FC53AE7" w14:textId="77777777" w:rsidR="00C43F4C" w:rsidRDefault="00C43F4C" w:rsidP="00C43F4C">
      <w:r>
        <w:t>Under the framework, customers who are unable to comply with their payment arrangements are considered as no longer receiving tailored assistance. These customers are then in arrears with their retailer, and therefore at greater risk of disconnection.</w:t>
      </w:r>
    </w:p>
    <w:p w14:paraId="5C71815D" w14:textId="316284E7" w:rsidR="00C43F4C" w:rsidRDefault="00C43F4C" w:rsidP="00C43F4C">
      <w:r>
        <w:t>Throughout 2020-21, more than 172,000 electricity customers exited tailored assistance with their retailer. Around 30 per cent of these customers successfully paid off their arrears and no longer required assistance. However, more than third of customers exiting tailored assistance were considered by retailers as having not complied with the terms of their payment arrangement (</w:t>
      </w:r>
      <w:r>
        <w:fldChar w:fldCharType="begin"/>
      </w:r>
      <w:r>
        <w:instrText xml:space="preserve"> REF _Ref86404676 \h  \* MERGEFORMAT </w:instrText>
      </w:r>
      <w:r>
        <w:fldChar w:fldCharType="separate"/>
      </w:r>
      <w:r w:rsidR="00357DD7" w:rsidRPr="000A1E91" w:rsidDel="00B5068A">
        <w:t xml:space="preserve">Figure </w:t>
      </w:r>
      <w:r w:rsidR="00357DD7">
        <w:rPr>
          <w:noProof/>
        </w:rPr>
        <w:t>38</w:t>
      </w:r>
      <w:r>
        <w:fldChar w:fldCharType="end"/>
      </w:r>
      <w:r>
        <w:t xml:space="preserve">). </w:t>
      </w:r>
    </w:p>
    <w:p w14:paraId="097CB7A3" w14:textId="6697539D" w:rsidR="00C43F4C" w:rsidRPr="000A1E91" w:rsidRDefault="00C43F4C" w:rsidP="004A0A71">
      <w:pPr>
        <w:pStyle w:val="Figure-Table-BoxHeading"/>
        <w:keepNext/>
        <w:keepLines/>
        <w:numPr>
          <w:ilvl w:val="0"/>
          <w:numId w:val="0"/>
        </w:numPr>
      </w:pPr>
      <w:bookmarkStart w:id="233" w:name="_Ref86404676"/>
      <w:bookmarkStart w:id="234" w:name="_Toc100134507"/>
      <w:bookmarkStart w:id="235" w:name="_Toc100137069"/>
      <w:bookmarkStart w:id="236" w:name="_Toc103943808"/>
      <w:r w:rsidRPr="000A1E91" w:rsidDel="00B5068A">
        <w:t xml:space="preserve">Figure </w:t>
      </w:r>
      <w:r w:rsidRPr="00825203" w:rsidDel="00B5068A">
        <w:fldChar w:fldCharType="begin"/>
      </w:r>
      <w:r w:rsidRPr="001A4E38" w:rsidDel="00B5068A">
        <w:instrText>SEQ Figure \* ARABIC</w:instrText>
      </w:r>
      <w:r w:rsidRPr="00825203" w:rsidDel="00B5068A">
        <w:fldChar w:fldCharType="separate"/>
      </w:r>
      <w:r w:rsidR="00357DD7">
        <w:rPr>
          <w:noProof/>
        </w:rPr>
        <w:t>38</w:t>
      </w:r>
      <w:r w:rsidRPr="00825203" w:rsidDel="00B5068A">
        <w:fldChar w:fldCharType="end"/>
      </w:r>
      <w:bookmarkEnd w:id="233"/>
      <w:r>
        <w:tab/>
      </w:r>
      <w:r w:rsidRPr="000A1E91" w:rsidDel="00B5068A">
        <w:t>Proportion of electricity customers exiting assistance in 2020</w:t>
      </w:r>
      <w:r w:rsidDel="00B5068A">
        <w:t>–</w:t>
      </w:r>
      <w:r w:rsidRPr="000A1E91" w:rsidDel="00B5068A">
        <w:t>21</w:t>
      </w:r>
      <w:bookmarkEnd w:id="234"/>
      <w:bookmarkEnd w:id="235"/>
      <w:bookmarkEnd w:id="236"/>
      <w:r w:rsidR="0005670A">
        <w:t>, by reason for exit</w:t>
      </w:r>
    </w:p>
    <w:p w14:paraId="109D9C71" w14:textId="11435499" w:rsidR="00C43F4C" w:rsidRPr="00D57A4A" w:rsidRDefault="00C43F4C" w:rsidP="00C43F4C">
      <w:r w:rsidRPr="00083408">
        <w:rPr>
          <w:noProof/>
        </w:rPr>
        <w:drawing>
          <wp:inline distT="0" distB="0" distL="0" distR="0" wp14:anchorId="3EB6D899" wp14:editId="1F6940B7">
            <wp:extent cx="6120000" cy="1801682"/>
            <wp:effectExtent l="0" t="0" r="0" b="8255"/>
            <wp:docPr id="42" name="Picture 42" descr="Bar chart showing the proportion of electricity customers' reason for exiting assistance in 2020-21. The most common reason was not complying with requirements (38 per cent) and least common reason was exiting due to transferring retailer (6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ar chart showing the proportion of electricity customers' reason for exiting assistance in 2020-21. The most common reason was not complying with requirements (38 per cent) and least common reason was exiting due to transferring retailer (6 per cen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0000" cy="1801682"/>
                    </a:xfrm>
                    <a:prstGeom prst="rect">
                      <a:avLst/>
                    </a:prstGeom>
                    <a:noFill/>
                    <a:ln>
                      <a:noFill/>
                    </a:ln>
                  </pic:spPr>
                </pic:pic>
              </a:graphicData>
            </a:graphic>
          </wp:inline>
        </w:drawing>
      </w:r>
    </w:p>
    <w:p w14:paraId="098765AF" w14:textId="54BF320E" w:rsidR="00C43F4C" w:rsidRDefault="00C43F4C" w:rsidP="00C43F4C">
      <w:r>
        <w:t>Many of the customers being disconnected for non-payment also appear to have also accrued high amounts of arrears.</w:t>
      </w:r>
      <w:r w:rsidDel="61FDE58F">
        <w:t xml:space="preserve"> </w:t>
      </w:r>
      <w:r>
        <w:t>Around 65 per cent had arrears greater than $1,000 in 2021 (</w:t>
      </w:r>
      <w:r>
        <w:fldChar w:fldCharType="begin"/>
      </w:r>
      <w:r>
        <w:instrText xml:space="preserve"> REF _Ref87002065 \h  \* MERGEFORMAT </w:instrText>
      </w:r>
      <w:r>
        <w:fldChar w:fldCharType="separate"/>
      </w:r>
      <w:r w:rsidR="00357DD7">
        <w:t xml:space="preserve">Figure </w:t>
      </w:r>
      <w:r w:rsidR="00357DD7">
        <w:rPr>
          <w:noProof/>
        </w:rPr>
        <w:t>39</w:t>
      </w:r>
      <w:r>
        <w:fldChar w:fldCharType="end"/>
      </w:r>
      <w:r>
        <w:t>). The proportion of electricity customers with more than $5,000 in arrears also increased to 16 per cent in 2021-22.</w:t>
      </w:r>
    </w:p>
    <w:p w14:paraId="2A549AC1" w14:textId="6A0A224C" w:rsidR="00C43F4C" w:rsidRDefault="00C43F4C" w:rsidP="00A2089A">
      <w:pPr>
        <w:pStyle w:val="Figure-Table-BoxHeading"/>
        <w:keepNext/>
        <w:keepLines/>
        <w:numPr>
          <w:ilvl w:val="0"/>
          <w:numId w:val="0"/>
        </w:numPr>
        <w:ind w:left="851" w:hanging="851"/>
      </w:pPr>
      <w:bookmarkStart w:id="237" w:name="_Ref87002065"/>
      <w:bookmarkStart w:id="238" w:name="_Toc100134515"/>
      <w:bookmarkStart w:id="239" w:name="_Toc100137077"/>
      <w:bookmarkStart w:id="240" w:name="_Toc103943809"/>
      <w:r>
        <w:lastRenderedPageBreak/>
        <w:t xml:space="preserve">Figure </w:t>
      </w:r>
      <w:r>
        <w:fldChar w:fldCharType="begin"/>
      </w:r>
      <w:r>
        <w:instrText>SEQ Figure \* ARABIC</w:instrText>
      </w:r>
      <w:r>
        <w:fldChar w:fldCharType="separate"/>
      </w:r>
      <w:r w:rsidR="00357DD7">
        <w:rPr>
          <w:noProof/>
        </w:rPr>
        <w:t>39</w:t>
      </w:r>
      <w:r>
        <w:fldChar w:fldCharType="end"/>
      </w:r>
      <w:bookmarkEnd w:id="237"/>
      <w:r>
        <w:tab/>
        <w:t>Total arrears of customers disconnected for non-payment in 2020–21</w:t>
      </w:r>
      <w:bookmarkEnd w:id="238"/>
      <w:bookmarkEnd w:id="239"/>
      <w:bookmarkEnd w:id="240"/>
    </w:p>
    <w:p w14:paraId="0AC1B017" w14:textId="0EF20A75" w:rsidR="00C43F4C" w:rsidRDefault="00C43F4C" w:rsidP="00C43F4C">
      <w:pPr>
        <w:keepNext/>
        <w:keepLines/>
      </w:pPr>
      <w:r w:rsidRPr="0007157B">
        <w:rPr>
          <w:noProof/>
        </w:rPr>
        <w:drawing>
          <wp:inline distT="0" distB="0" distL="0" distR="0" wp14:anchorId="2AD036D9" wp14:editId="123EDD3B">
            <wp:extent cx="6120130" cy="2157095"/>
            <wp:effectExtent l="0" t="0" r="0" b="0"/>
            <wp:docPr id="43" name="Picture 43" descr="Bar chart of total arrears of customers disconnected for non-payment in 2020-21. Most common was greater than 55  dollars but less than or equal to one thousand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ar chart of total arrears of customers disconnected for non-payment in 2020-21. Most common was greater than 55  dollars but less than or equal to one thousand dollar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20130" cy="2157095"/>
                    </a:xfrm>
                    <a:prstGeom prst="rect">
                      <a:avLst/>
                    </a:prstGeom>
                    <a:noFill/>
                    <a:ln>
                      <a:noFill/>
                    </a:ln>
                  </pic:spPr>
                </pic:pic>
              </a:graphicData>
            </a:graphic>
          </wp:inline>
        </w:drawing>
      </w:r>
    </w:p>
    <w:p w14:paraId="438D0AE4" w14:textId="77777777" w:rsidR="00C43F4C" w:rsidRDefault="00C43F4C" w:rsidP="00C43F4C">
      <w:r>
        <w:t>These observations suggest that retailers are disconnecting customers after attempts to engage with the customer. Most disconnections appear to only occur after the accrual of large amounts of arrears, or due to customers having attempted to manage their arrears through tailored assistance, but ultimately being unsuccessful in repaying the full amount of their arrears.</w:t>
      </w:r>
    </w:p>
    <w:p w14:paraId="14E7B0EF" w14:textId="6CC4525C" w:rsidR="00C43F4C" w:rsidRDefault="00C43F4C" w:rsidP="00C43F4C">
      <w:r>
        <w:t xml:space="preserve">However, we have observed </w:t>
      </w:r>
      <w:r w:rsidRPr="0095292F">
        <w:t xml:space="preserve">significant variation between retailers for the reasons why customers exit from tailored assistance. For customers who </w:t>
      </w:r>
      <w:r w:rsidR="00F26BAF">
        <w:t>can</w:t>
      </w:r>
      <w:r w:rsidRPr="0095292F">
        <w:t xml:space="preserve"> pay their ongoing usage, it is notable that for two large retailers</w:t>
      </w:r>
      <w:r w:rsidR="002469AB">
        <w:t xml:space="preserve"> and </w:t>
      </w:r>
      <w:r w:rsidR="00F26BAF">
        <w:t xml:space="preserve">two </w:t>
      </w:r>
      <w:r>
        <w:t>medium</w:t>
      </w:r>
      <w:r w:rsidRPr="0095292F">
        <w:t xml:space="preserve"> </w:t>
      </w:r>
      <w:r w:rsidR="00F26BAF">
        <w:t>retailers</w:t>
      </w:r>
      <w:r w:rsidRPr="0095292F">
        <w:t xml:space="preserve">, </w:t>
      </w:r>
      <w:r w:rsidR="002469AB">
        <w:t>more</w:t>
      </w:r>
      <w:r w:rsidRPr="0095292F">
        <w:t xml:space="preserve"> than </w:t>
      </w:r>
      <w:r w:rsidR="002469AB">
        <w:t>50</w:t>
      </w:r>
      <w:r w:rsidRPr="0095292F">
        <w:t xml:space="preserve"> per cent of customers </w:t>
      </w:r>
      <w:r w:rsidR="002469AB">
        <w:t>have exited tailored assistance due to non</w:t>
      </w:r>
      <w:r w:rsidR="004709E6">
        <w:t>-compliance with</w:t>
      </w:r>
      <w:r w:rsidRPr="0095292F">
        <w:t xml:space="preserve"> their </w:t>
      </w:r>
      <w:r w:rsidR="004709E6">
        <w:t>payment arrange</w:t>
      </w:r>
      <w:r w:rsidR="004709E6" w:rsidRPr="00973B35">
        <w:t>ments</w:t>
      </w:r>
      <w:r w:rsidRPr="0095292F">
        <w:t xml:space="preserve"> </w:t>
      </w:r>
      <w:r w:rsidRPr="006E33E5">
        <w:t>(</w:t>
      </w:r>
      <w:r w:rsidR="006E33E5" w:rsidRPr="006E33E5">
        <w:t>as previously discussed</w:t>
      </w:r>
      <w:r w:rsidR="00ED2664">
        <w:t xml:space="preserve"> and </w:t>
      </w:r>
      <w:r w:rsidR="006E33E5" w:rsidRPr="006E33E5">
        <w:t>referred to in</w:t>
      </w:r>
      <w:r w:rsidR="00F465A5">
        <w:t xml:space="preserve"> </w:t>
      </w:r>
      <w:r w:rsidR="00F465A5">
        <w:fldChar w:fldCharType="begin"/>
      </w:r>
      <w:r w:rsidR="00F465A5">
        <w:instrText xml:space="preserve"> REF _Ref103671190 \h </w:instrText>
      </w:r>
      <w:r w:rsidR="00F465A5">
        <w:fldChar w:fldCharType="separate"/>
      </w:r>
      <w:r w:rsidR="00357DD7">
        <w:t xml:space="preserve">Figure </w:t>
      </w:r>
      <w:r w:rsidR="00357DD7">
        <w:rPr>
          <w:noProof/>
        </w:rPr>
        <w:t>22</w:t>
      </w:r>
      <w:r w:rsidR="00F465A5">
        <w:fldChar w:fldCharType="end"/>
      </w:r>
      <w:r w:rsidR="00F465A5">
        <w:t xml:space="preserve"> on p. </w:t>
      </w:r>
      <w:r w:rsidR="00F465A5">
        <w:fldChar w:fldCharType="begin"/>
      </w:r>
      <w:r w:rsidR="00F465A5">
        <w:instrText xml:space="preserve"> PAGEREF _Ref103942667 \h </w:instrText>
      </w:r>
      <w:r w:rsidR="00F465A5">
        <w:fldChar w:fldCharType="separate"/>
      </w:r>
      <w:r w:rsidR="00357DD7">
        <w:rPr>
          <w:noProof/>
        </w:rPr>
        <w:t>71</w:t>
      </w:r>
      <w:r w:rsidR="00F465A5">
        <w:fldChar w:fldCharType="end"/>
      </w:r>
      <w:r w:rsidRPr="006E33E5">
        <w:t>).</w:t>
      </w:r>
    </w:p>
    <w:p w14:paraId="482D835E" w14:textId="77777777" w:rsidR="00C43F4C" w:rsidRDefault="00C43F4C" w:rsidP="00C43F4C">
      <w:pPr>
        <w:pStyle w:val="Heading3"/>
      </w:pPr>
      <w:r>
        <w:t xml:space="preserve">Disconnection levels vary widely across retailers </w:t>
      </w:r>
    </w:p>
    <w:p w14:paraId="15157E00" w14:textId="3AC98850" w:rsidR="00C43F4C" w:rsidRDefault="00C43F4C" w:rsidP="00C43F4C">
      <w:r>
        <w:t>However, there is notable differences in retailers’ approaches to disconnecting customers, as shown in</w:t>
      </w:r>
      <w:r w:rsidR="000F5B71">
        <w:t xml:space="preserve"> </w:t>
      </w:r>
      <w:r w:rsidR="000F5B71">
        <w:fldChar w:fldCharType="begin"/>
      </w:r>
      <w:r w:rsidR="000F5B71">
        <w:instrText xml:space="preserve"> REF _Ref103690572 \h </w:instrText>
      </w:r>
      <w:r w:rsidR="000F5B71">
        <w:fldChar w:fldCharType="separate"/>
      </w:r>
      <w:r w:rsidR="00357DD7">
        <w:t xml:space="preserve">Figure </w:t>
      </w:r>
      <w:r w:rsidR="00357DD7">
        <w:rPr>
          <w:noProof/>
        </w:rPr>
        <w:t>40</w:t>
      </w:r>
      <w:r w:rsidR="000F5B71">
        <w:fldChar w:fldCharType="end"/>
      </w:r>
      <w:r>
        <w:t xml:space="preserve">. This suggests that some retailers may have found ways to implement the framework in a way that leads to fewer </w:t>
      </w:r>
      <w:r w:rsidR="00223D39">
        <w:t>disconnections or</w:t>
      </w:r>
      <w:r>
        <w:t xml:space="preserve"> have different levels of discretion when considering and carrying out the disconnection of a customer.</w:t>
      </w:r>
    </w:p>
    <w:p w14:paraId="748F7919" w14:textId="5B7F94DC" w:rsidR="00C43F4C" w:rsidRDefault="00C43F4C" w:rsidP="009D25D0">
      <w:pPr>
        <w:pStyle w:val="Figure-Table-BoxHeading"/>
        <w:keepNext/>
        <w:numPr>
          <w:ilvl w:val="0"/>
          <w:numId w:val="0"/>
        </w:numPr>
      </w:pPr>
      <w:bookmarkStart w:id="241" w:name="_Ref103690572"/>
      <w:bookmarkStart w:id="242" w:name="_Ref103940653"/>
      <w:bookmarkStart w:id="243" w:name="_Toc103943810"/>
      <w:r>
        <w:lastRenderedPageBreak/>
        <w:t xml:space="preserve">Figure </w:t>
      </w:r>
      <w:r>
        <w:fldChar w:fldCharType="begin"/>
      </w:r>
      <w:r>
        <w:instrText>SEQ Figure \* ARABIC</w:instrText>
      </w:r>
      <w:r>
        <w:fldChar w:fldCharType="separate"/>
      </w:r>
      <w:r w:rsidR="00357DD7">
        <w:rPr>
          <w:noProof/>
        </w:rPr>
        <w:t>40</w:t>
      </w:r>
      <w:r>
        <w:fldChar w:fldCharType="end"/>
      </w:r>
      <w:bookmarkEnd w:id="241"/>
      <w:r>
        <w:tab/>
      </w:r>
      <w:r w:rsidR="00EE55B9">
        <w:t xml:space="preserve">Residential </w:t>
      </w:r>
      <w:r w:rsidR="000678BF">
        <w:t xml:space="preserve">electricity </w:t>
      </w:r>
      <w:r w:rsidR="00EE55B9">
        <w:t xml:space="preserve">disconnections for non-payment (per 100 customers) from 2019 to 2021, by retailer, </w:t>
      </w:r>
      <w:bookmarkEnd w:id="242"/>
      <w:bookmarkEnd w:id="243"/>
      <w:r w:rsidR="00EE55B9">
        <w:t>deidentified</w:t>
      </w:r>
    </w:p>
    <w:p w14:paraId="3F25AFA4" w14:textId="050A19C1" w:rsidR="00C43F4C" w:rsidRPr="00ED6CAB" w:rsidRDefault="00F0086B" w:rsidP="00C43F4C">
      <w:r w:rsidRPr="00F0086B">
        <w:rPr>
          <w:noProof/>
        </w:rPr>
        <w:drawing>
          <wp:inline distT="0" distB="0" distL="0" distR="0" wp14:anchorId="7DF384FB" wp14:editId="453B7367">
            <wp:extent cx="6120130" cy="2794000"/>
            <wp:effectExtent l="0" t="0" r="0" b="6350"/>
            <wp:docPr id="19" name="Picture 19" descr="Bar chart showing residential disconnections for non-payment per 100 customers from 2019 to 2021. The chart is sorted by retailer. There is variance in the outcomes, but small retailers have less disconnections and 2020 has had less disconnections in most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chart showing residential disconnections for non-payment per 100 customers from 2019 to 2021. The chart is sorted by retailer. There is variance in the outcomes, but small retailers have less disconnections and 2020 has had less disconnections in most case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130" cy="2794000"/>
                    </a:xfrm>
                    <a:prstGeom prst="rect">
                      <a:avLst/>
                    </a:prstGeom>
                    <a:noFill/>
                    <a:ln>
                      <a:noFill/>
                    </a:ln>
                  </pic:spPr>
                </pic:pic>
              </a:graphicData>
            </a:graphic>
          </wp:inline>
        </w:drawing>
      </w:r>
    </w:p>
    <w:p w14:paraId="2CB8C659" w14:textId="77777777" w:rsidR="00C43F4C" w:rsidRDefault="00C43F4C" w:rsidP="00C43F4C">
      <w:pPr>
        <w:pStyle w:val="Heading3"/>
      </w:pPr>
      <w:r>
        <w:t>After disconnection</w:t>
      </w:r>
    </w:p>
    <w:p w14:paraId="479E04B2" w14:textId="3F40B39D" w:rsidR="00C43F4C" w:rsidRDefault="00C43F4C" w:rsidP="00C43F4C">
      <w:pPr>
        <w:rPr>
          <w:rFonts w:ascii="Arial" w:hAnsi="Arial" w:cs="Arial"/>
          <w:lang w:val="it-IT"/>
        </w:rPr>
      </w:pPr>
      <w:r w:rsidRPr="00922053">
        <w:rPr>
          <w:rFonts w:ascii="Arial" w:hAnsi="Arial" w:cs="Arial"/>
          <w:lang w:val="it-IT"/>
        </w:rPr>
        <w:t xml:space="preserve">If a customer is disconnected for non-payment and subsequently engages or enters into a payment arrangement with their retailer, the retailer can </w:t>
      </w:r>
      <w:r w:rsidR="00B77300">
        <w:rPr>
          <w:rFonts w:ascii="Arial" w:hAnsi="Arial" w:cs="Arial"/>
          <w:lang w:val="it-IT"/>
        </w:rPr>
        <w:t>raise a service order of the</w:t>
      </w:r>
      <w:r w:rsidRPr="00922053">
        <w:rPr>
          <w:rFonts w:ascii="Arial" w:hAnsi="Arial" w:cs="Arial"/>
          <w:lang w:val="it-IT"/>
        </w:rPr>
        <w:t xml:space="preserve"> customer’s energy supply</w:t>
      </w:r>
      <w:r w:rsidR="00B77300">
        <w:rPr>
          <w:rFonts w:ascii="Arial" w:hAnsi="Arial" w:cs="Arial"/>
          <w:lang w:val="it-IT"/>
        </w:rPr>
        <w:t xml:space="preserve"> to be reconnected by their distributor</w:t>
      </w:r>
      <w:r w:rsidRPr="00922053">
        <w:rPr>
          <w:rFonts w:ascii="Arial" w:hAnsi="Arial" w:cs="Arial"/>
          <w:lang w:val="it-IT"/>
        </w:rPr>
        <w:t xml:space="preserve">. </w:t>
      </w:r>
    </w:p>
    <w:p w14:paraId="1426FBA1" w14:textId="0672D134" w:rsidR="00C43F4C" w:rsidRDefault="00C43F4C" w:rsidP="00C43F4C">
      <w:pPr>
        <w:rPr>
          <w:rFonts w:ascii="Arial" w:hAnsi="Arial" w:cs="Arial"/>
          <w:lang w:val="it-IT"/>
        </w:rPr>
      </w:pPr>
      <w:r w:rsidRPr="00922053">
        <w:rPr>
          <w:rFonts w:ascii="Arial" w:hAnsi="Arial" w:cs="Arial"/>
          <w:lang w:val="it-IT"/>
        </w:rPr>
        <w:t xml:space="preserve">Since 2019-20, </w:t>
      </w:r>
      <w:r w:rsidR="00164EC2">
        <w:rPr>
          <w:rFonts w:ascii="Arial" w:hAnsi="Arial" w:cs="Arial"/>
          <w:lang w:val="it-IT"/>
        </w:rPr>
        <w:t>65 per cent</w:t>
      </w:r>
      <w:r w:rsidRPr="00922053">
        <w:rPr>
          <w:rFonts w:ascii="Arial" w:hAnsi="Arial" w:cs="Arial"/>
          <w:lang w:val="it-IT"/>
        </w:rPr>
        <w:t xml:space="preserve"> of customers disconnected for non-payment are reconnected within seven days of disconnection, and this has been relatively the same compared to before the framework</w:t>
      </w:r>
      <w:r>
        <w:rPr>
          <w:rFonts w:ascii="Arial" w:hAnsi="Arial" w:cs="Arial"/>
          <w:lang w:val="it-IT"/>
        </w:rPr>
        <w:t xml:space="preserve"> (</w:t>
      </w:r>
      <w:r>
        <w:rPr>
          <w:rFonts w:ascii="Arial" w:hAnsi="Arial" w:cs="Arial"/>
          <w:lang w:val="it-IT"/>
        </w:rPr>
        <w:fldChar w:fldCharType="begin"/>
      </w:r>
      <w:r>
        <w:rPr>
          <w:rFonts w:ascii="Arial" w:hAnsi="Arial" w:cs="Arial"/>
          <w:lang w:val="it-IT"/>
        </w:rPr>
        <w:instrText xml:space="preserve"> REF _Ref103667716 \h </w:instrText>
      </w:r>
      <w:r>
        <w:rPr>
          <w:rFonts w:ascii="Arial" w:hAnsi="Arial" w:cs="Arial"/>
          <w:lang w:val="it-IT"/>
        </w:rPr>
      </w:r>
      <w:r>
        <w:rPr>
          <w:rFonts w:ascii="Arial" w:hAnsi="Arial" w:cs="Arial"/>
          <w:lang w:val="it-IT"/>
        </w:rPr>
        <w:fldChar w:fldCharType="separate"/>
      </w:r>
      <w:r w:rsidR="00357DD7">
        <w:t xml:space="preserve">Figure </w:t>
      </w:r>
      <w:r w:rsidR="00357DD7">
        <w:rPr>
          <w:noProof/>
        </w:rPr>
        <w:t>41</w:t>
      </w:r>
      <w:r>
        <w:rPr>
          <w:rFonts w:ascii="Arial" w:hAnsi="Arial" w:cs="Arial"/>
          <w:lang w:val="it-IT"/>
        </w:rPr>
        <w:fldChar w:fldCharType="end"/>
      </w:r>
      <w:r>
        <w:rPr>
          <w:rFonts w:ascii="Arial" w:hAnsi="Arial" w:cs="Arial"/>
          <w:lang w:val="it-IT"/>
        </w:rPr>
        <w:t>)</w:t>
      </w:r>
      <w:r w:rsidRPr="00922053">
        <w:rPr>
          <w:rFonts w:ascii="Arial" w:hAnsi="Arial" w:cs="Arial"/>
          <w:lang w:val="it-IT"/>
        </w:rPr>
        <w:t>.</w:t>
      </w:r>
      <w:r>
        <w:rPr>
          <w:rFonts w:ascii="Arial" w:hAnsi="Arial" w:cs="Arial"/>
          <w:lang w:val="it-IT"/>
        </w:rPr>
        <w:t xml:space="preserve"> </w:t>
      </w:r>
      <w:r w:rsidR="00164EC2">
        <w:rPr>
          <w:rFonts w:ascii="Arial" w:hAnsi="Arial" w:cs="Arial"/>
          <w:lang w:val="it-IT"/>
        </w:rPr>
        <w:t>M</w:t>
      </w:r>
      <w:r>
        <w:rPr>
          <w:rFonts w:ascii="Arial" w:hAnsi="Arial" w:cs="Arial"/>
          <w:lang w:val="it-IT"/>
        </w:rPr>
        <w:t>ost customers</w:t>
      </w:r>
      <w:r w:rsidR="0036167E">
        <w:rPr>
          <w:rFonts w:ascii="Arial" w:hAnsi="Arial" w:cs="Arial"/>
          <w:lang w:val="it-IT"/>
        </w:rPr>
        <w:t>, 63 per cent,</w:t>
      </w:r>
      <w:r>
        <w:rPr>
          <w:rFonts w:ascii="Arial" w:hAnsi="Arial" w:cs="Arial"/>
          <w:lang w:val="it-IT"/>
        </w:rPr>
        <w:t xml:space="preserve"> are reconnected with the same retailer they were disconn</w:t>
      </w:r>
      <w:r w:rsidR="00572D32">
        <w:rPr>
          <w:rFonts w:ascii="Arial" w:hAnsi="Arial" w:cs="Arial"/>
          <w:lang w:val="it-IT"/>
        </w:rPr>
        <w:t>e</w:t>
      </w:r>
      <w:r>
        <w:rPr>
          <w:rFonts w:ascii="Arial" w:hAnsi="Arial" w:cs="Arial"/>
          <w:lang w:val="it-IT"/>
        </w:rPr>
        <w:t xml:space="preserve">cted </w:t>
      </w:r>
      <w:r w:rsidR="0036167E">
        <w:rPr>
          <w:rFonts w:ascii="Arial" w:hAnsi="Arial" w:cs="Arial"/>
          <w:lang w:val="it-IT"/>
        </w:rPr>
        <w:t>by</w:t>
      </w:r>
      <w:r>
        <w:rPr>
          <w:rFonts w:ascii="Arial" w:hAnsi="Arial" w:cs="Arial"/>
          <w:lang w:val="it-IT"/>
        </w:rPr>
        <w:t xml:space="preserve">. </w:t>
      </w:r>
      <w:r w:rsidRPr="00922053">
        <w:rPr>
          <w:rFonts w:ascii="Arial" w:hAnsi="Arial" w:cs="Arial"/>
          <w:lang w:val="it-IT"/>
        </w:rPr>
        <w:t xml:space="preserve">We also found that </w:t>
      </w:r>
      <w:r w:rsidRPr="00922053">
        <w:t xml:space="preserve">76 per cent of electricity customers who were reconnected </w:t>
      </w:r>
      <w:r>
        <w:t>also commenced</w:t>
      </w:r>
      <w:r w:rsidRPr="00922053">
        <w:t xml:space="preserve"> tailored assistance within a month </w:t>
      </w:r>
      <w:r>
        <w:t xml:space="preserve">of being reconnected </w:t>
      </w:r>
      <w:r w:rsidRPr="00922053">
        <w:t>(</w:t>
      </w:r>
      <w:r>
        <w:fldChar w:fldCharType="begin"/>
      </w:r>
      <w:r>
        <w:instrText xml:space="preserve"> REF _Ref103667708 \h </w:instrText>
      </w:r>
      <w:r>
        <w:fldChar w:fldCharType="separate"/>
      </w:r>
      <w:r w:rsidR="00357DD7">
        <w:t xml:space="preserve">Figure </w:t>
      </w:r>
      <w:r w:rsidR="00357DD7">
        <w:rPr>
          <w:noProof/>
        </w:rPr>
        <w:t>42</w:t>
      </w:r>
      <w:r>
        <w:fldChar w:fldCharType="end"/>
      </w:r>
      <w:r w:rsidRPr="00922053">
        <w:t>).</w:t>
      </w:r>
    </w:p>
    <w:p w14:paraId="36901699" w14:textId="33FBA527" w:rsidR="00C43F4C" w:rsidRDefault="00C43F4C" w:rsidP="00127C22">
      <w:pPr>
        <w:pStyle w:val="Figure-Table-BoxHeading"/>
        <w:keepNext/>
        <w:keepLines/>
        <w:numPr>
          <w:ilvl w:val="0"/>
          <w:numId w:val="0"/>
        </w:numPr>
      </w:pPr>
      <w:bookmarkStart w:id="244" w:name="_Ref103667716"/>
      <w:bookmarkStart w:id="245" w:name="_Toc103943811"/>
      <w:r>
        <w:lastRenderedPageBreak/>
        <w:t xml:space="preserve">Figure </w:t>
      </w:r>
      <w:r>
        <w:fldChar w:fldCharType="begin"/>
      </w:r>
      <w:r>
        <w:instrText>SEQ Figure \* ARABIC</w:instrText>
      </w:r>
      <w:r>
        <w:fldChar w:fldCharType="separate"/>
      </w:r>
      <w:r w:rsidR="00357DD7">
        <w:rPr>
          <w:noProof/>
        </w:rPr>
        <w:t>41</w:t>
      </w:r>
      <w:r>
        <w:fldChar w:fldCharType="end"/>
      </w:r>
      <w:bookmarkEnd w:id="244"/>
      <w:r>
        <w:tab/>
        <w:t>Proportion of disconnected electricity customers reconnected within certain time periods, June 2019 to June 2021</w:t>
      </w:r>
      <w:bookmarkEnd w:id="245"/>
    </w:p>
    <w:p w14:paraId="50BFAD85" w14:textId="1C78B67B" w:rsidR="00C43F4C" w:rsidRDefault="004B04C3" w:rsidP="004D552F">
      <w:r w:rsidRPr="004B04C3">
        <w:rPr>
          <w:noProof/>
        </w:rPr>
        <w:drawing>
          <wp:inline distT="0" distB="0" distL="0" distR="0" wp14:anchorId="304B106C" wp14:editId="1D6770AF">
            <wp:extent cx="6120130" cy="2731770"/>
            <wp:effectExtent l="0" t="0" r="0" b="0"/>
            <wp:docPr id="27" name="Picture 27" descr="Bar chart showing the proportion of disconnected electricity customers reconnected based on time periods from June 2019 to June 2021. The most common time period is same day for reconnection with the same retailer and beyond 90 days for reconnection with a different ret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r chart showing the proportion of disconnected electricity customers reconnected based on time periods from June 2019 to June 2021. The most common time period is same day for reconnection with the same retailer and beyond 90 days for reconnection with a different retaile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20130" cy="2731770"/>
                    </a:xfrm>
                    <a:prstGeom prst="rect">
                      <a:avLst/>
                    </a:prstGeom>
                    <a:noFill/>
                    <a:ln>
                      <a:noFill/>
                    </a:ln>
                  </pic:spPr>
                </pic:pic>
              </a:graphicData>
            </a:graphic>
          </wp:inline>
        </w:drawing>
      </w:r>
    </w:p>
    <w:p w14:paraId="344D2A1A" w14:textId="5492C1AB" w:rsidR="00CA00BA" w:rsidRPr="00CA00BA" w:rsidRDefault="000E3F08" w:rsidP="00F10D84">
      <w:pPr>
        <w:pStyle w:val="Caption"/>
        <w:spacing w:after="360"/>
        <w:rPr>
          <w:lang w:val="en-US"/>
        </w:rPr>
      </w:pPr>
      <w:r>
        <w:t xml:space="preserve">Source: </w:t>
      </w:r>
      <w:r w:rsidR="00CA00BA">
        <w:t>Voluntary data request to distributors to inform the review.</w:t>
      </w:r>
    </w:p>
    <w:p w14:paraId="64709B29" w14:textId="67D49B73" w:rsidR="00C43F4C" w:rsidRDefault="00C43F4C" w:rsidP="004D552F">
      <w:pPr>
        <w:pStyle w:val="Figure-Table-BoxHeading"/>
        <w:numPr>
          <w:ilvl w:val="0"/>
          <w:numId w:val="0"/>
        </w:numPr>
      </w:pPr>
      <w:bookmarkStart w:id="246" w:name="_Ref103667708"/>
      <w:bookmarkStart w:id="247" w:name="_Toc103943812"/>
      <w:r>
        <w:t xml:space="preserve">Figure </w:t>
      </w:r>
      <w:r>
        <w:fldChar w:fldCharType="begin"/>
      </w:r>
      <w:r>
        <w:instrText>SEQ Figure \* ARABIC</w:instrText>
      </w:r>
      <w:r>
        <w:fldChar w:fldCharType="separate"/>
      </w:r>
      <w:r w:rsidR="00357DD7">
        <w:rPr>
          <w:noProof/>
        </w:rPr>
        <w:t>42</w:t>
      </w:r>
      <w:r>
        <w:fldChar w:fldCharType="end"/>
      </w:r>
      <w:bookmarkEnd w:id="246"/>
      <w:r>
        <w:tab/>
        <w:t xml:space="preserve">Proportion of disconnected customers who were reconnected within seven days and commenced tailored assistance within 30 days </w:t>
      </w:r>
      <w:r w:rsidR="00BE4B47">
        <w:t>of being reconnected,</w:t>
      </w:r>
      <w:r w:rsidR="007B7C34">
        <w:t xml:space="preserve"> in 2020-21</w:t>
      </w:r>
      <w:bookmarkEnd w:id="247"/>
      <w:r>
        <w:t xml:space="preserve"> </w:t>
      </w:r>
    </w:p>
    <w:p w14:paraId="4EFD578C" w14:textId="7AEB6067" w:rsidR="00C43F4C" w:rsidRDefault="009342B2" w:rsidP="00C43F4C">
      <w:r w:rsidRPr="009342B2">
        <w:rPr>
          <w:noProof/>
        </w:rPr>
        <w:drawing>
          <wp:inline distT="0" distB="0" distL="0" distR="0" wp14:anchorId="3920B6E8" wp14:editId="45EFB8DB">
            <wp:extent cx="6120130" cy="1722755"/>
            <wp:effectExtent l="0" t="0" r="0" b="0"/>
            <wp:docPr id="39" name="Picture 39" descr="Bar chart showing the proportion of disconnected customers who were reconnected within seven days and commenced tailored assistance within 30 days of being reconnected in 2020-21. 52 per cent of electricity customers commenced assistance within 30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r chart showing the proportion of disconnected customers who were reconnected within seven days and commenced tailored assistance within 30 days of being reconnected in 2020-21. 52 per cent of electricity customers commenced assistance within 30 days. "/>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20130" cy="1722755"/>
                    </a:xfrm>
                    <a:prstGeom prst="rect">
                      <a:avLst/>
                    </a:prstGeom>
                    <a:noFill/>
                    <a:ln>
                      <a:noFill/>
                    </a:ln>
                  </pic:spPr>
                </pic:pic>
              </a:graphicData>
            </a:graphic>
          </wp:inline>
        </w:drawing>
      </w:r>
    </w:p>
    <w:p w14:paraId="34599F94" w14:textId="480620B7" w:rsidR="00CA00BA" w:rsidRPr="00CA00BA" w:rsidRDefault="000E3F08" w:rsidP="00714CDD">
      <w:pPr>
        <w:pStyle w:val="Caption"/>
        <w:rPr>
          <w:lang w:val="en-US"/>
        </w:rPr>
      </w:pPr>
      <w:r>
        <w:t xml:space="preserve">Source: </w:t>
      </w:r>
      <w:r w:rsidR="00CA00BA">
        <w:t>Voluntary data request to distributors to inform the review.</w:t>
      </w:r>
    </w:p>
    <w:p w14:paraId="68148606" w14:textId="19732D0A" w:rsidR="00C43F4C" w:rsidRDefault="00C43F4C" w:rsidP="00C43F4C">
      <w:pPr>
        <w:pStyle w:val="Heading2"/>
      </w:pPr>
      <w:bookmarkStart w:id="248" w:name="_Toc104850143"/>
      <w:r w:rsidRPr="00A74446">
        <w:lastRenderedPageBreak/>
        <w:t xml:space="preserve">Improving </w:t>
      </w:r>
      <w:r w:rsidR="00E2143E">
        <w:t>the operation</w:t>
      </w:r>
      <w:r w:rsidRPr="00A74446">
        <w:t xml:space="preserve"> of the framework: disconnections</w:t>
      </w:r>
      <w:bookmarkEnd w:id="248"/>
    </w:p>
    <w:p w14:paraId="76669128" w14:textId="54E9E4F7" w:rsidR="00C43F4C" w:rsidRDefault="00C43F4C" w:rsidP="00DE4772">
      <w:pPr>
        <w:keepNext/>
        <w:keepLines/>
      </w:pPr>
      <w:r>
        <w:t>Disconnections</w:t>
      </w:r>
      <w:r w:rsidRPr="00151A6C">
        <w:t xml:space="preserve"> have decreased since the </w:t>
      </w:r>
      <w:r>
        <w:t>commencement</w:t>
      </w:r>
      <w:r w:rsidRPr="00151A6C">
        <w:t xml:space="preserve"> of the framework – </w:t>
      </w:r>
      <w:r>
        <w:t>an outcome</w:t>
      </w:r>
      <w:r w:rsidRPr="00151A6C">
        <w:t xml:space="preserve"> evident prior to the coronavirus pandemic. It also appears that</w:t>
      </w:r>
      <w:r>
        <w:t xml:space="preserve"> most</w:t>
      </w:r>
      <w:r w:rsidRPr="00151A6C">
        <w:t xml:space="preserve"> customers are being disconnected for either being unable to engage with their retailer beforehand to receive assistance or having been unsuccessful in repaying their arrears through tailored assistance.</w:t>
      </w:r>
      <w:r>
        <w:t xml:space="preserve"> </w:t>
      </w:r>
    </w:p>
    <w:p w14:paraId="57DBAAD5" w14:textId="043F4574" w:rsidR="00C43F4C" w:rsidRDefault="00C43F4C" w:rsidP="00DE4772">
      <w:pPr>
        <w:keepNext/>
        <w:keepLines/>
      </w:pPr>
      <w:r>
        <w:t>Our study of call recordings also highlights the importance of maintaining customer and retailer engagement to help support customer</w:t>
      </w:r>
      <w:r w:rsidR="002F31C5">
        <w:t>s</w:t>
      </w:r>
      <w:r>
        <w:t xml:space="preserve"> pay for their energy and to prevent disconnection. Furthermore, earlier intervention and engagement between customers and retailers better assists customers, and generally leads to improved outcomes for both parties.</w:t>
      </w:r>
    </w:p>
    <w:p w14:paraId="69469D29" w14:textId="0265DF94" w:rsidR="009547E3" w:rsidRDefault="00C43F4C" w:rsidP="00DE4772">
      <w:pPr>
        <w:keepNext/>
        <w:keepLines/>
      </w:pPr>
      <w:r>
        <w:t xml:space="preserve">We have observed significant variation between individual retailers on the extent that customers are disconnected for non-payment, which indicates that some retailers may be more effective in supporting customers before considering disconnection. </w:t>
      </w:r>
    </w:p>
    <w:p w14:paraId="21359E99" w14:textId="0DDCC38C" w:rsidR="00C43F4C" w:rsidRDefault="00C43F4C" w:rsidP="00DE4772">
      <w:pPr>
        <w:keepNext/>
        <w:keepLines/>
      </w:pPr>
      <w:r>
        <w:t>We will also continue to monitor and act on non-compliance for wrongful disconnection, particularly given the increased penalties associated with reckless disconnection.</w:t>
      </w:r>
    </w:p>
    <w:tbl>
      <w:tblPr>
        <w:tblStyle w:val="TwoColumnImage"/>
        <w:tblW w:w="9669" w:type="dxa"/>
        <w:tblBorders>
          <w:top w:val="single" w:sz="24" w:space="0" w:color="6CB59D" w:themeColor="accent5" w:themeTint="80"/>
          <w:left w:val="single" w:sz="24" w:space="0" w:color="6CB59D" w:themeColor="accent5" w:themeTint="80"/>
          <w:bottom w:val="single" w:sz="24" w:space="0" w:color="6CB59D" w:themeColor="accent5" w:themeTint="80"/>
          <w:right w:val="single" w:sz="24" w:space="0" w:color="6CB59D" w:themeColor="accent5" w:themeTint="80"/>
        </w:tblBorders>
        <w:shd w:val="clear" w:color="auto" w:fill="B5DACE" w:themeFill="accent5" w:themeFillTint="40"/>
        <w:tblCellMar>
          <w:top w:w="113" w:type="dxa"/>
          <w:bottom w:w="113" w:type="dxa"/>
        </w:tblCellMar>
        <w:tblLook w:val="04A0" w:firstRow="1" w:lastRow="0" w:firstColumn="1" w:lastColumn="0" w:noHBand="0" w:noVBand="1"/>
      </w:tblPr>
      <w:tblGrid>
        <w:gridCol w:w="1873"/>
        <w:gridCol w:w="6521"/>
        <w:gridCol w:w="1275"/>
      </w:tblGrid>
      <w:tr w:rsidR="006F1802" w:rsidRPr="006F1802" w14:paraId="7ED43546" w14:textId="77777777" w:rsidTr="006F1802">
        <w:tc>
          <w:tcPr>
            <w:tcW w:w="9669" w:type="dxa"/>
            <w:gridSpan w:val="3"/>
            <w:tcBorders>
              <w:bottom w:val="nil"/>
            </w:tcBorders>
            <w:shd w:val="clear" w:color="auto" w:fill="B5DACE" w:themeFill="accent5" w:themeFillTint="40"/>
          </w:tcPr>
          <w:p w14:paraId="4D7AE5F1" w14:textId="4BA59781" w:rsidR="006F1802" w:rsidRPr="006F1802" w:rsidRDefault="00573548" w:rsidP="00821C80">
            <w:pPr>
              <w:pStyle w:val="TableBody"/>
              <w:ind w:left="142" w:right="121"/>
              <w:rPr>
                <w:rFonts w:ascii="Tahoma" w:hAnsi="Tahoma" w:cs="Tahoma"/>
                <w:color w:val="262626" w:themeColor="text1" w:themeTint="D9"/>
                <w:sz w:val="26"/>
                <w:szCs w:val="26"/>
              </w:rPr>
            </w:pPr>
            <w:r>
              <w:rPr>
                <w:rFonts w:ascii="Tahoma" w:hAnsi="Tahoma" w:cs="Tahoma"/>
                <w:b/>
                <w:bCs/>
                <w:color w:val="262626" w:themeColor="text1" w:themeTint="D9"/>
                <w:sz w:val="26"/>
                <w:szCs w:val="26"/>
              </w:rPr>
              <w:t>Improving the operation of the framework</w:t>
            </w:r>
          </w:p>
        </w:tc>
      </w:tr>
      <w:tr w:rsidR="006F1802" w:rsidRPr="000179AE" w14:paraId="2136816D" w14:textId="77777777" w:rsidTr="006F1802">
        <w:tblPrEx>
          <w:tblCellMar>
            <w:top w:w="57" w:type="dxa"/>
            <w:bottom w:w="57" w:type="dxa"/>
          </w:tblCellMar>
        </w:tblPrEx>
        <w:tc>
          <w:tcPr>
            <w:tcW w:w="9669" w:type="dxa"/>
            <w:gridSpan w:val="3"/>
            <w:tcBorders>
              <w:top w:val="nil"/>
              <w:bottom w:val="nil"/>
            </w:tcBorders>
            <w:shd w:val="clear" w:color="auto" w:fill="B5DACE" w:themeFill="accent5" w:themeFillTint="40"/>
          </w:tcPr>
          <w:p w14:paraId="42F3E21E" w14:textId="77777777" w:rsidR="006F1802" w:rsidRPr="000179AE" w:rsidRDefault="006F1802" w:rsidP="00821C80">
            <w:pPr>
              <w:pStyle w:val="TableBody"/>
              <w:spacing w:before="120" w:after="80"/>
              <w:ind w:left="142" w:right="119"/>
              <w:rPr>
                <w:rFonts w:ascii="Tahoma" w:hAnsi="Tahoma" w:cs="Tahoma"/>
                <w:b/>
                <w:bCs/>
                <w:color w:val="262626" w:themeColor="text1" w:themeTint="D9"/>
              </w:rPr>
            </w:pPr>
            <w:r w:rsidRPr="0013353A">
              <w:rPr>
                <w:rFonts w:ascii="Tahoma" w:hAnsi="Tahoma" w:cs="Tahoma"/>
                <w:b/>
                <w:bCs/>
                <w:color w:val="262626" w:themeColor="text1" w:themeTint="D9"/>
              </w:rPr>
              <w:t xml:space="preserve">The level and quality of retailer-customer engagement </w:t>
            </w:r>
            <w:r>
              <w:rPr>
                <w:rFonts w:ascii="Tahoma" w:hAnsi="Tahoma" w:cs="Tahoma"/>
                <w:b/>
                <w:bCs/>
                <w:color w:val="262626" w:themeColor="text1" w:themeTint="D9"/>
              </w:rPr>
              <w:t>a</w:t>
            </w:r>
            <w:r w:rsidRPr="0013353A">
              <w:rPr>
                <w:rFonts w:ascii="Tahoma" w:hAnsi="Tahoma" w:cs="Tahoma"/>
                <w:b/>
                <w:bCs/>
                <w:color w:val="262626" w:themeColor="text1" w:themeTint="D9"/>
              </w:rPr>
              <w:t>ffects customer outcomes</w:t>
            </w:r>
          </w:p>
        </w:tc>
      </w:tr>
      <w:tr w:rsidR="006F1802" w:rsidRPr="000179AE" w14:paraId="2736EA53" w14:textId="77777777" w:rsidTr="006F1802">
        <w:tblPrEx>
          <w:tblCellMar>
            <w:top w:w="57" w:type="dxa"/>
            <w:bottom w:w="57" w:type="dxa"/>
          </w:tblCellMar>
        </w:tblPrEx>
        <w:tc>
          <w:tcPr>
            <w:tcW w:w="1873" w:type="dxa"/>
            <w:tcBorders>
              <w:top w:val="nil"/>
            </w:tcBorders>
            <w:shd w:val="clear" w:color="auto" w:fill="B5DACE" w:themeFill="accent5" w:themeFillTint="40"/>
            <w:vAlign w:val="center"/>
          </w:tcPr>
          <w:p w14:paraId="430FF4FC" w14:textId="77777777" w:rsidR="006F1802" w:rsidRPr="000179AE" w:rsidRDefault="006F1802" w:rsidP="00821C80">
            <w:pPr>
              <w:pStyle w:val="TableBody"/>
              <w:ind w:left="284" w:right="-2"/>
              <w:jc w:val="center"/>
              <w:rPr>
                <w:noProof/>
                <w:color w:val="262626" w:themeColor="text1" w:themeTint="D9"/>
              </w:rPr>
            </w:pPr>
            <w:r w:rsidRPr="000179AE">
              <w:rPr>
                <w:noProof/>
                <w:color w:val="262626" w:themeColor="text1" w:themeTint="D9"/>
              </w:rPr>
              <w:drawing>
                <wp:inline distT="0" distB="0" distL="0" distR="0" wp14:anchorId="73CB6F2D" wp14:editId="24F4835D">
                  <wp:extent cx="864000" cy="864000"/>
                  <wp:effectExtent l="0" t="0" r="0" b="0"/>
                  <wp:docPr id="100005" name="Picture 100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Picture 100005">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6521" w:type="dxa"/>
            <w:tcBorders>
              <w:top w:val="nil"/>
              <w:bottom w:val="nil"/>
            </w:tcBorders>
            <w:shd w:val="clear" w:color="auto" w:fill="B5DACE" w:themeFill="accent5" w:themeFillTint="40"/>
            <w:vAlign w:val="center"/>
          </w:tcPr>
          <w:p w14:paraId="56363ED6" w14:textId="3CDB97C6" w:rsidR="006F1802" w:rsidRPr="00046BFF" w:rsidRDefault="006F1802" w:rsidP="006F1802">
            <w:pPr>
              <w:pStyle w:val="ListBullet"/>
              <w:spacing w:before="0"/>
              <w:ind w:left="357" w:hanging="357"/>
              <w:contextualSpacing w:val="0"/>
            </w:pPr>
            <w:r w:rsidRPr="001551CC">
              <w:t>Improve retailer interactions with customers, focusing on communication that recognises a customer's circumstances, including the barriers they may be facing.</w:t>
            </w:r>
          </w:p>
        </w:tc>
        <w:tc>
          <w:tcPr>
            <w:tcW w:w="1275" w:type="dxa"/>
            <w:tcBorders>
              <w:top w:val="nil"/>
              <w:bottom w:val="nil"/>
            </w:tcBorders>
            <w:shd w:val="clear" w:color="auto" w:fill="B5DACE" w:themeFill="accent5" w:themeFillTint="40"/>
            <w:vAlign w:val="center"/>
          </w:tcPr>
          <w:p w14:paraId="7A158908" w14:textId="77777777" w:rsidR="006F1802" w:rsidRPr="00046BFF" w:rsidRDefault="006F1802" w:rsidP="00B65D4C">
            <w:pPr>
              <w:pStyle w:val="ListBullet"/>
              <w:numPr>
                <w:ilvl w:val="0"/>
                <w:numId w:val="0"/>
              </w:numPr>
              <w:spacing w:before="0" w:line="240" w:lineRule="auto"/>
              <w:ind w:left="360" w:hanging="360"/>
              <w:rPr>
                <w:b/>
                <w:bCs/>
                <w:color w:val="CE0058" w:themeColor="accent2"/>
              </w:rPr>
            </w:pPr>
            <w:r w:rsidRPr="00046BFF">
              <w:rPr>
                <w:b/>
                <w:bCs/>
                <w:color w:val="CE0058" w:themeColor="accent2"/>
              </w:rPr>
              <w:t>Priority</w:t>
            </w:r>
          </w:p>
        </w:tc>
      </w:tr>
      <w:tr w:rsidR="006F1802" w:rsidRPr="000179AE" w14:paraId="66BC7CC8" w14:textId="77777777" w:rsidTr="006F1802">
        <w:tblPrEx>
          <w:tblCellMar>
            <w:top w:w="57" w:type="dxa"/>
            <w:bottom w:w="57" w:type="dxa"/>
          </w:tblCellMar>
        </w:tblPrEx>
        <w:tc>
          <w:tcPr>
            <w:tcW w:w="9669" w:type="dxa"/>
            <w:gridSpan w:val="3"/>
            <w:tcBorders>
              <w:top w:val="single" w:sz="24" w:space="0" w:color="6CB59D" w:themeColor="accent5" w:themeTint="80"/>
              <w:bottom w:val="nil"/>
            </w:tcBorders>
            <w:shd w:val="clear" w:color="auto" w:fill="B5DACE" w:themeFill="accent5" w:themeFillTint="40"/>
          </w:tcPr>
          <w:p w14:paraId="005562D0" w14:textId="77777777" w:rsidR="006F1802" w:rsidRPr="000179AE" w:rsidRDefault="006F1802" w:rsidP="00B65D4C">
            <w:pPr>
              <w:pStyle w:val="TableBody"/>
              <w:spacing w:before="120" w:after="80"/>
              <w:ind w:right="119"/>
              <w:rPr>
                <w:rFonts w:ascii="Tahoma" w:hAnsi="Tahoma" w:cs="Tahoma"/>
                <w:b/>
                <w:bCs/>
                <w:color w:val="262626" w:themeColor="text1" w:themeTint="D9"/>
              </w:rPr>
            </w:pPr>
            <w:r w:rsidRPr="0013353A">
              <w:rPr>
                <w:rFonts w:ascii="Tahoma" w:hAnsi="Tahoma" w:cs="Tahoma"/>
                <w:b/>
                <w:bCs/>
                <w:color w:val="262626" w:themeColor="text1" w:themeTint="D9"/>
              </w:rPr>
              <w:t>Customers who can pay for their ongoing energy use benefit most</w:t>
            </w:r>
          </w:p>
        </w:tc>
      </w:tr>
      <w:tr w:rsidR="006F1802" w:rsidRPr="000179AE" w14:paraId="6B5FA151" w14:textId="77777777" w:rsidTr="006F1802">
        <w:tblPrEx>
          <w:tblCellMar>
            <w:top w:w="57" w:type="dxa"/>
            <w:bottom w:w="57" w:type="dxa"/>
          </w:tblCellMar>
        </w:tblPrEx>
        <w:tc>
          <w:tcPr>
            <w:tcW w:w="1873" w:type="dxa"/>
            <w:tcBorders>
              <w:bottom w:val="single" w:sz="24" w:space="0" w:color="6CB59D" w:themeColor="accent5" w:themeTint="80"/>
            </w:tcBorders>
            <w:shd w:val="clear" w:color="auto" w:fill="B5DACE" w:themeFill="accent5" w:themeFillTint="40"/>
            <w:vAlign w:val="center"/>
          </w:tcPr>
          <w:p w14:paraId="680BFFD6" w14:textId="77777777" w:rsidR="006F1802" w:rsidRPr="00BA09A0" w:rsidRDefault="006F1802" w:rsidP="00821C80">
            <w:pPr>
              <w:pStyle w:val="TableBody"/>
              <w:ind w:left="284" w:right="-2"/>
              <w:jc w:val="center"/>
              <w:rPr>
                <w:rFonts w:ascii="Tahoma" w:hAnsi="Tahoma" w:cs="Tahoma"/>
                <w:b/>
                <w:bCs/>
                <w:noProof/>
                <w:color w:val="262626" w:themeColor="text1" w:themeTint="D9"/>
              </w:rPr>
            </w:pPr>
            <w:r w:rsidRPr="00BA09A0">
              <w:rPr>
                <w:rFonts w:ascii="Tahoma" w:hAnsi="Tahoma" w:cs="Tahoma"/>
                <w:b/>
                <w:bCs/>
                <w:noProof/>
                <w:color w:val="262626" w:themeColor="text1" w:themeTint="D9"/>
              </w:rPr>
              <w:drawing>
                <wp:inline distT="0" distB="0" distL="0" distR="0" wp14:anchorId="4B8E2736" wp14:editId="53604B6C">
                  <wp:extent cx="720000" cy="720000"/>
                  <wp:effectExtent l="0" t="0" r="4445" b="0"/>
                  <wp:docPr id="100006" name="Picture 100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Picture 100006">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521" w:type="dxa"/>
            <w:tcBorders>
              <w:top w:val="nil"/>
              <w:bottom w:val="single" w:sz="24" w:space="0" w:color="6CB59D" w:themeColor="accent5" w:themeTint="80"/>
            </w:tcBorders>
            <w:shd w:val="clear" w:color="auto" w:fill="B5DACE" w:themeFill="accent5" w:themeFillTint="40"/>
            <w:vAlign w:val="center"/>
          </w:tcPr>
          <w:p w14:paraId="2F62B4A5" w14:textId="2AB2170B" w:rsidR="006F1802" w:rsidRPr="0013353A" w:rsidRDefault="006F1802" w:rsidP="00821C80">
            <w:pPr>
              <w:pStyle w:val="ListBullet"/>
              <w:spacing w:before="0"/>
              <w:ind w:left="357" w:hanging="357"/>
              <w:contextualSpacing w:val="0"/>
            </w:pPr>
            <w:r w:rsidRPr="0013353A">
              <w:t xml:space="preserve">Consider alternative approaches to support customers prior to disconnection, particularly for those who cannot pay </w:t>
            </w:r>
            <w:r>
              <w:t xml:space="preserve">for </w:t>
            </w:r>
            <w:r w:rsidRPr="0013353A">
              <w:t>on-going use</w:t>
            </w:r>
            <w:r w:rsidR="00573548">
              <w:t>.</w:t>
            </w:r>
          </w:p>
        </w:tc>
        <w:tc>
          <w:tcPr>
            <w:tcW w:w="1275" w:type="dxa"/>
            <w:tcBorders>
              <w:top w:val="nil"/>
              <w:bottom w:val="single" w:sz="24" w:space="0" w:color="6CB59D" w:themeColor="accent5" w:themeTint="80"/>
            </w:tcBorders>
            <w:shd w:val="clear" w:color="auto" w:fill="B5DACE" w:themeFill="accent5" w:themeFillTint="40"/>
            <w:vAlign w:val="center"/>
          </w:tcPr>
          <w:p w14:paraId="78B8FA1A" w14:textId="77777777" w:rsidR="006F1802" w:rsidRDefault="006F1802" w:rsidP="00B65D4C">
            <w:pPr>
              <w:pStyle w:val="ListBullet"/>
              <w:numPr>
                <w:ilvl w:val="0"/>
                <w:numId w:val="0"/>
              </w:numPr>
              <w:spacing w:before="0" w:line="240" w:lineRule="auto"/>
              <w:ind w:left="360" w:hanging="360"/>
            </w:pPr>
          </w:p>
        </w:tc>
      </w:tr>
    </w:tbl>
    <w:p w14:paraId="1ADEEFF0" w14:textId="2026E3C7" w:rsidR="00C43F4C" w:rsidRDefault="00A44478" w:rsidP="00C43F4C">
      <w:pPr>
        <w:pStyle w:val="Heading1"/>
      </w:pPr>
      <w:bookmarkStart w:id="249" w:name="_Toc104850144"/>
      <w:bookmarkStart w:id="250" w:name="_Toc482348009"/>
      <w:bookmarkStart w:id="251" w:name="_Ref105019898"/>
      <w:r>
        <w:lastRenderedPageBreak/>
        <w:t>Improving the operation of the framework</w:t>
      </w:r>
      <w:bookmarkEnd w:id="249"/>
      <w:bookmarkEnd w:id="251"/>
    </w:p>
    <w:p w14:paraId="75A785C1" w14:textId="7EB37341" w:rsidR="00C43F4C" w:rsidRDefault="00C43F4C" w:rsidP="00C43F4C">
      <w:pPr>
        <w:pStyle w:val="Introductionsentence"/>
      </w:pPr>
      <w:r>
        <w:t xml:space="preserve">Our key findings show </w:t>
      </w:r>
      <w:r w:rsidR="009547E3">
        <w:t xml:space="preserve">priority </w:t>
      </w:r>
      <w:r>
        <w:t xml:space="preserve">areas where implementation of the framework </w:t>
      </w:r>
      <w:r w:rsidR="00A44478">
        <w:t>could</w:t>
      </w:r>
      <w:r>
        <w:t xml:space="preserve"> be improved for the mutual benefit of both customers and retailers. Ongoing monitoring of the framework is also important to enable us to assess the framework’s implementation, and to respond to issues in an agile and ongoing way. </w:t>
      </w:r>
    </w:p>
    <w:p w14:paraId="36C32677" w14:textId="26C8E593" w:rsidR="00C43F4C" w:rsidRPr="00C805F1" w:rsidRDefault="000245F4" w:rsidP="00C43F4C">
      <w:pPr>
        <w:pStyle w:val="Heading2"/>
      </w:pPr>
      <w:bookmarkStart w:id="252" w:name="_Toc104850145"/>
      <w:r>
        <w:t>Identifying areas to improve the framework’s implementation</w:t>
      </w:r>
      <w:bookmarkEnd w:id="252"/>
    </w:p>
    <w:p w14:paraId="6BF5158F" w14:textId="2FE6A8AE" w:rsidR="00C43F4C" w:rsidRDefault="00C43F4C" w:rsidP="00C43F4C">
      <w:r>
        <w:t>Our review identified several areas to improve the implementation of the framework, as described in the previous chapters. We specifically identified areas for improvement that align with our key findings</w:t>
      </w:r>
      <w:r w:rsidR="003D2E1B">
        <w:t>;</w:t>
      </w:r>
      <w:r>
        <w:t xml:space="preserve"> to find ways to improve the </w:t>
      </w:r>
      <w:r w:rsidR="003D2E1B">
        <w:t>poorer</w:t>
      </w:r>
      <w:r>
        <w:t xml:space="preserve"> customer outcomes experienced with some retailers, to enhance the effectiveness of engagement between retailers and customers, and to c</w:t>
      </w:r>
      <w:r w:rsidRPr="00233212">
        <w:t xml:space="preserve">onsider alternative approaches to </w:t>
      </w:r>
      <w:r>
        <w:t xml:space="preserve">better </w:t>
      </w:r>
      <w:r w:rsidRPr="00233212">
        <w:t xml:space="preserve">support customers who cannot pay </w:t>
      </w:r>
      <w:r>
        <w:t xml:space="preserve">for </w:t>
      </w:r>
      <w:r w:rsidRPr="00233212">
        <w:t>on-going use</w:t>
      </w:r>
      <w:r>
        <w:t>.</w:t>
      </w:r>
    </w:p>
    <w:p w14:paraId="13ED74F5" w14:textId="77777777" w:rsidR="00827187" w:rsidRDefault="00C43F4C" w:rsidP="00C43F4C">
      <w:r>
        <w:t>These customer outcomes can be improved by helping the industry adopt better practice approaches – that is, trialling and implementing new practices and approaches that are found to be more effective. Better practice approaches will require the collective efforts of the commission, energy retailers, community support workers and groups, and relevant government departments.</w:t>
      </w:r>
      <w:r w:rsidRPr="00A93E62">
        <w:t xml:space="preserve"> </w:t>
      </w:r>
    </w:p>
    <w:p w14:paraId="3448FC45" w14:textId="41E1F128" w:rsidR="00C43F4C" w:rsidRDefault="00C43F4C" w:rsidP="00C43F4C">
      <w:r>
        <w:t>At this stage, we do not consider that reform of the framework or the Energy Retail Code of Practice</w:t>
      </w:r>
      <w:r w:rsidRPr="00547736">
        <w:t xml:space="preserve"> is required</w:t>
      </w:r>
      <w:r>
        <w:t xml:space="preserve"> to </w:t>
      </w:r>
      <w:r w:rsidR="00BE4B47">
        <w:t>improve</w:t>
      </w:r>
      <w:r>
        <w:t xml:space="preserve"> outcomes.</w:t>
      </w:r>
    </w:p>
    <w:p w14:paraId="00794718" w14:textId="3B2070AE" w:rsidR="008573E7" w:rsidRPr="003149FA" w:rsidRDefault="00E75DFD" w:rsidP="008573E7">
      <w:r>
        <w:t>T</w:t>
      </w:r>
      <w:r w:rsidR="008573E7">
        <w:t>here is a</w:t>
      </w:r>
      <w:r>
        <w:t>lso</w:t>
      </w:r>
      <w:r w:rsidR="008573E7">
        <w:t xml:space="preserve"> a need to prioritise areas to help focus our collective efforts</w:t>
      </w:r>
      <w:r>
        <w:t xml:space="preserve"> and resources</w:t>
      </w:r>
      <w:r w:rsidR="008573E7">
        <w:t xml:space="preserve">. </w:t>
      </w:r>
      <w:r w:rsidR="008573E7" w:rsidRPr="006F1802">
        <w:t xml:space="preserve">We have identified </w:t>
      </w:r>
      <w:r w:rsidR="006F1802" w:rsidRPr="006F1802">
        <w:t>four</w:t>
      </w:r>
      <w:r w:rsidR="008573E7" w:rsidRPr="006F1802">
        <w:t xml:space="preserve"> areas for improvement as priorities.</w:t>
      </w:r>
      <w:r>
        <w:t xml:space="preserve"> We determined</w:t>
      </w:r>
      <w:r w:rsidR="008573E7">
        <w:t xml:space="preserve"> these priorities</w:t>
      </w:r>
      <w:r>
        <w:t xml:space="preserve"> by considering what is</w:t>
      </w:r>
      <w:r w:rsidR="008573E7">
        <w:t xml:space="preserve"> likely to </w:t>
      </w:r>
      <w:r>
        <w:t xml:space="preserve">most </w:t>
      </w:r>
      <w:r w:rsidR="008573E7">
        <w:t>benefit customers</w:t>
      </w:r>
      <w:r w:rsidR="009547E3">
        <w:t xml:space="preserve"> and </w:t>
      </w:r>
      <w:r w:rsidR="008573E7">
        <w:t xml:space="preserve">our degree of influence in these areas, </w:t>
      </w:r>
      <w:r w:rsidR="00827187">
        <w:t>such as</w:t>
      </w:r>
      <w:r w:rsidR="008573E7">
        <w:t xml:space="preserve"> whether </w:t>
      </w:r>
      <w:r w:rsidR="00827187">
        <w:t>improvements could</w:t>
      </w:r>
      <w:r w:rsidR="008573E7">
        <w:t xml:space="preserve"> be </w:t>
      </w:r>
      <w:r w:rsidR="00827187">
        <w:t>made</w:t>
      </w:r>
      <w:r w:rsidR="008573E7">
        <w:t xml:space="preserve"> within the scope of the payment difficulty framework. Stakeholders’ views have also contributed to the development of our priority areas, including the views expressed at our stakeholder webinar in April 2022.</w:t>
      </w:r>
      <w:r w:rsidR="008573E7">
        <w:rPr>
          <w:rStyle w:val="FootnoteReference"/>
        </w:rPr>
        <w:footnoteReference w:id="144"/>
      </w:r>
      <w:r w:rsidR="008573E7">
        <w:t xml:space="preserve"> </w:t>
      </w:r>
    </w:p>
    <w:p w14:paraId="2C6B1790" w14:textId="04D16A9C" w:rsidR="00BE1D7F" w:rsidRDefault="00C82D1A" w:rsidP="00E84A38">
      <w:pPr>
        <w:spacing w:before="0" w:line="259" w:lineRule="auto"/>
      </w:pPr>
      <w:r>
        <w:br w:type="page"/>
      </w:r>
    </w:p>
    <w:tbl>
      <w:tblPr>
        <w:tblStyle w:val="TwoColumnImage"/>
        <w:tblW w:w="9776" w:type="dxa"/>
        <w:tblBorders>
          <w:top w:val="single" w:sz="24" w:space="0" w:color="6CB59D" w:themeColor="accent5" w:themeTint="80"/>
          <w:left w:val="single" w:sz="24" w:space="0" w:color="6CB59D" w:themeColor="accent5" w:themeTint="80"/>
          <w:bottom w:val="single" w:sz="24" w:space="0" w:color="6CB59D" w:themeColor="accent5" w:themeTint="80"/>
          <w:right w:val="single" w:sz="24" w:space="0" w:color="6CB59D" w:themeColor="accent5" w:themeTint="80"/>
        </w:tblBorders>
        <w:shd w:val="clear" w:color="auto" w:fill="B5DACE" w:themeFill="accent5" w:themeFillTint="40"/>
        <w:tblCellMar>
          <w:top w:w="57" w:type="dxa"/>
          <w:bottom w:w="57" w:type="dxa"/>
        </w:tblCellMar>
        <w:tblLook w:val="04A0" w:firstRow="1" w:lastRow="0" w:firstColumn="1" w:lastColumn="0" w:noHBand="0" w:noVBand="1"/>
      </w:tblPr>
      <w:tblGrid>
        <w:gridCol w:w="1873"/>
        <w:gridCol w:w="6521"/>
        <w:gridCol w:w="1382"/>
      </w:tblGrid>
      <w:tr w:rsidR="00A44478" w:rsidRPr="000179AE" w14:paraId="0F6EA392" w14:textId="77777777" w:rsidTr="00F0336E">
        <w:tc>
          <w:tcPr>
            <w:tcW w:w="9776" w:type="dxa"/>
            <w:gridSpan w:val="3"/>
            <w:shd w:val="clear" w:color="auto" w:fill="B5DACE" w:themeFill="accent5" w:themeFillTint="40"/>
          </w:tcPr>
          <w:p w14:paraId="1298EAA6" w14:textId="77777777" w:rsidR="00A44478" w:rsidRPr="000179AE" w:rsidRDefault="00A44478" w:rsidP="00F0336E">
            <w:pPr>
              <w:pStyle w:val="TableBody"/>
              <w:spacing w:before="80" w:after="80"/>
              <w:ind w:left="142" w:right="119"/>
              <w:rPr>
                <w:rFonts w:ascii="Tahoma" w:hAnsi="Tahoma" w:cs="Tahoma"/>
                <w:color w:val="262626" w:themeColor="text1" w:themeTint="D9"/>
              </w:rPr>
            </w:pPr>
            <w:r>
              <w:rPr>
                <w:rFonts w:ascii="Tahoma" w:hAnsi="Tahoma" w:cs="Tahoma"/>
                <w:b/>
                <w:bCs/>
                <w:color w:val="262626" w:themeColor="text1" w:themeTint="D9"/>
                <w:sz w:val="32"/>
                <w:szCs w:val="32"/>
              </w:rPr>
              <w:lastRenderedPageBreak/>
              <w:t>Improving the operation of the framework</w:t>
            </w:r>
          </w:p>
        </w:tc>
      </w:tr>
      <w:tr w:rsidR="00A44478" w:rsidRPr="000179AE" w14:paraId="0310EACB" w14:textId="77777777" w:rsidTr="00F0336E">
        <w:tc>
          <w:tcPr>
            <w:tcW w:w="9776" w:type="dxa"/>
            <w:gridSpan w:val="3"/>
            <w:tcBorders>
              <w:bottom w:val="nil"/>
            </w:tcBorders>
            <w:shd w:val="clear" w:color="auto" w:fill="B5DACE" w:themeFill="accent5" w:themeFillTint="40"/>
          </w:tcPr>
          <w:p w14:paraId="2285D389" w14:textId="77777777" w:rsidR="00A44478" w:rsidRPr="000179AE" w:rsidRDefault="00A44478" w:rsidP="00F0336E">
            <w:pPr>
              <w:pStyle w:val="TableBody"/>
              <w:spacing w:before="80" w:after="80"/>
              <w:ind w:left="142" w:right="119"/>
              <w:rPr>
                <w:rFonts w:ascii="Tahoma" w:hAnsi="Tahoma" w:cs="Tahoma"/>
                <w:b/>
                <w:bCs/>
                <w:color w:val="262626" w:themeColor="text1" w:themeTint="D9"/>
              </w:rPr>
            </w:pPr>
            <w:r>
              <w:rPr>
                <w:rFonts w:ascii="Tahoma" w:hAnsi="Tahoma" w:cs="Tahoma"/>
                <w:b/>
                <w:bCs/>
                <w:color w:val="262626" w:themeColor="text1" w:themeTint="D9"/>
              </w:rPr>
              <w:t>Customer outcomes vary significantly between and within retailers</w:t>
            </w:r>
          </w:p>
        </w:tc>
      </w:tr>
      <w:tr w:rsidR="00A44478" w:rsidRPr="000179AE" w14:paraId="3296BD7F" w14:textId="77777777" w:rsidTr="00A5797A">
        <w:tc>
          <w:tcPr>
            <w:tcW w:w="1873" w:type="dxa"/>
            <w:vMerge w:val="restart"/>
            <w:shd w:val="clear" w:color="auto" w:fill="B5DACE" w:themeFill="accent5" w:themeFillTint="40"/>
            <w:vAlign w:val="center"/>
          </w:tcPr>
          <w:p w14:paraId="3B0C0DD1" w14:textId="77777777" w:rsidR="00A44478" w:rsidRPr="000179AE" w:rsidRDefault="00A44478" w:rsidP="00F0336E">
            <w:pPr>
              <w:pStyle w:val="TableBody"/>
              <w:ind w:left="284" w:right="-2"/>
              <w:jc w:val="center"/>
              <w:rPr>
                <w:rFonts w:ascii="Tahoma" w:hAnsi="Tahoma" w:cs="Tahoma"/>
                <w:noProof/>
                <w:color w:val="262626" w:themeColor="text1" w:themeTint="D9"/>
              </w:rPr>
            </w:pPr>
            <w:r w:rsidRPr="000179AE">
              <w:rPr>
                <w:rFonts w:ascii="Tahoma" w:hAnsi="Tahoma" w:cs="Tahoma"/>
                <w:noProof/>
                <w:color w:val="262626" w:themeColor="text1" w:themeTint="D9"/>
              </w:rPr>
              <w:drawing>
                <wp:inline distT="0" distB="0" distL="0" distR="0" wp14:anchorId="1A6AF3D0" wp14:editId="303A4766">
                  <wp:extent cx="864000" cy="864000"/>
                  <wp:effectExtent l="0" t="0" r="0" b="0"/>
                  <wp:docPr id="100025" name="Picture 100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Picture 100025">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6521" w:type="dxa"/>
            <w:tcBorders>
              <w:top w:val="nil"/>
              <w:bottom w:val="nil"/>
            </w:tcBorders>
            <w:shd w:val="clear" w:color="auto" w:fill="B5DACE" w:themeFill="accent5" w:themeFillTint="40"/>
            <w:vAlign w:val="center"/>
          </w:tcPr>
          <w:p w14:paraId="587ADAE0" w14:textId="77777777" w:rsidR="00A44478" w:rsidRPr="001551CC" w:rsidRDefault="00A44478" w:rsidP="00F0336E">
            <w:pPr>
              <w:pStyle w:val="ListBullet"/>
              <w:spacing w:before="0"/>
              <w:ind w:left="357" w:hanging="357"/>
              <w:contextualSpacing w:val="0"/>
            </w:pPr>
            <w:r w:rsidRPr="001551CC">
              <w:t xml:space="preserve">Improve </w:t>
            </w:r>
            <w:r>
              <w:t xml:space="preserve">retailers’ </w:t>
            </w:r>
            <w:r w:rsidRPr="001551CC">
              <w:t>effectiveness of establishing and reviewing payment arrangements and plans.</w:t>
            </w:r>
          </w:p>
        </w:tc>
        <w:tc>
          <w:tcPr>
            <w:tcW w:w="1382" w:type="dxa"/>
            <w:tcBorders>
              <w:top w:val="nil"/>
              <w:bottom w:val="nil"/>
            </w:tcBorders>
            <w:shd w:val="clear" w:color="auto" w:fill="B5DACE" w:themeFill="accent5" w:themeFillTint="40"/>
            <w:vAlign w:val="center"/>
          </w:tcPr>
          <w:p w14:paraId="7C2BACF2" w14:textId="77777777" w:rsidR="00A44478" w:rsidRPr="00C82D1A" w:rsidRDefault="00A44478" w:rsidP="008C26EF">
            <w:pPr>
              <w:pStyle w:val="ListBullet"/>
              <w:numPr>
                <w:ilvl w:val="0"/>
                <w:numId w:val="0"/>
              </w:numPr>
              <w:spacing w:before="0" w:line="240" w:lineRule="auto"/>
              <w:jc w:val="center"/>
              <w:rPr>
                <w:b/>
                <w:bCs/>
                <w:color w:val="CE0058" w:themeColor="accent2"/>
              </w:rPr>
            </w:pPr>
            <w:r w:rsidRPr="00046BFF">
              <w:rPr>
                <w:b/>
                <w:bCs/>
                <w:color w:val="CE0058" w:themeColor="accent2"/>
              </w:rPr>
              <w:t>Priority</w:t>
            </w:r>
          </w:p>
        </w:tc>
      </w:tr>
      <w:tr w:rsidR="00A44478" w:rsidRPr="000179AE" w14:paraId="0F75C747" w14:textId="77777777" w:rsidTr="00A5797A">
        <w:tc>
          <w:tcPr>
            <w:tcW w:w="1873" w:type="dxa"/>
            <w:vMerge/>
            <w:shd w:val="clear" w:color="auto" w:fill="B5DACE" w:themeFill="accent5" w:themeFillTint="40"/>
            <w:vAlign w:val="center"/>
          </w:tcPr>
          <w:p w14:paraId="5BF07518" w14:textId="77777777" w:rsidR="00A44478" w:rsidRPr="000179AE" w:rsidRDefault="00A44478" w:rsidP="00F0336E">
            <w:pPr>
              <w:pStyle w:val="TableBody"/>
              <w:ind w:left="284" w:right="-2"/>
              <w:jc w:val="center"/>
              <w:rPr>
                <w:rFonts w:ascii="Tahoma" w:hAnsi="Tahoma" w:cs="Tahoma"/>
                <w:noProof/>
                <w:color w:val="262626" w:themeColor="text1" w:themeTint="D9"/>
              </w:rPr>
            </w:pPr>
          </w:p>
        </w:tc>
        <w:tc>
          <w:tcPr>
            <w:tcW w:w="6521" w:type="dxa"/>
            <w:tcBorders>
              <w:top w:val="nil"/>
              <w:bottom w:val="nil"/>
            </w:tcBorders>
            <w:shd w:val="clear" w:color="auto" w:fill="B5DACE" w:themeFill="accent5" w:themeFillTint="40"/>
            <w:vAlign w:val="center"/>
          </w:tcPr>
          <w:p w14:paraId="32C91042" w14:textId="77777777" w:rsidR="00A44478" w:rsidRPr="001551CC" w:rsidRDefault="00A44478" w:rsidP="00F0336E">
            <w:pPr>
              <w:pStyle w:val="ListBullet"/>
              <w:spacing w:before="0"/>
              <w:ind w:left="357" w:hanging="357"/>
              <w:contextualSpacing w:val="0"/>
            </w:pPr>
            <w:r w:rsidRPr="00C82D1A">
              <w:t xml:space="preserve">Improve customer access to payment arrangements </w:t>
            </w:r>
            <w:r>
              <w:t>from their retailer</w:t>
            </w:r>
            <w:r w:rsidRPr="00C82D1A">
              <w:t>.</w:t>
            </w:r>
          </w:p>
        </w:tc>
        <w:tc>
          <w:tcPr>
            <w:tcW w:w="1382" w:type="dxa"/>
            <w:tcBorders>
              <w:top w:val="nil"/>
              <w:bottom w:val="nil"/>
            </w:tcBorders>
            <w:shd w:val="clear" w:color="auto" w:fill="B5DACE" w:themeFill="accent5" w:themeFillTint="40"/>
            <w:vAlign w:val="center"/>
          </w:tcPr>
          <w:p w14:paraId="66817516" w14:textId="77777777" w:rsidR="00A44478" w:rsidRPr="00C82D1A" w:rsidRDefault="00A44478" w:rsidP="008C26EF">
            <w:pPr>
              <w:pStyle w:val="ListBullet"/>
              <w:numPr>
                <w:ilvl w:val="0"/>
                <w:numId w:val="0"/>
              </w:numPr>
              <w:spacing w:before="0" w:line="240" w:lineRule="auto"/>
              <w:jc w:val="center"/>
              <w:rPr>
                <w:b/>
                <w:bCs/>
                <w:color w:val="CE0058" w:themeColor="accent2"/>
              </w:rPr>
            </w:pPr>
          </w:p>
        </w:tc>
      </w:tr>
      <w:tr w:rsidR="00A44478" w:rsidRPr="000179AE" w14:paraId="08AD7C72" w14:textId="77777777" w:rsidTr="00A5797A">
        <w:tc>
          <w:tcPr>
            <w:tcW w:w="1873" w:type="dxa"/>
            <w:vMerge/>
            <w:shd w:val="clear" w:color="auto" w:fill="B5DACE" w:themeFill="accent5" w:themeFillTint="40"/>
            <w:vAlign w:val="center"/>
          </w:tcPr>
          <w:p w14:paraId="346AB30E" w14:textId="77777777" w:rsidR="00A44478" w:rsidRPr="000179AE" w:rsidRDefault="00A44478" w:rsidP="00F0336E">
            <w:pPr>
              <w:pStyle w:val="TableBody"/>
              <w:ind w:left="284" w:right="-2"/>
              <w:jc w:val="center"/>
              <w:rPr>
                <w:rFonts w:ascii="Tahoma" w:hAnsi="Tahoma" w:cs="Tahoma"/>
                <w:noProof/>
                <w:color w:val="262626" w:themeColor="text1" w:themeTint="D9"/>
              </w:rPr>
            </w:pPr>
          </w:p>
        </w:tc>
        <w:tc>
          <w:tcPr>
            <w:tcW w:w="6521" w:type="dxa"/>
            <w:tcBorders>
              <w:top w:val="nil"/>
              <w:bottom w:val="nil"/>
            </w:tcBorders>
            <w:shd w:val="clear" w:color="auto" w:fill="B5DACE" w:themeFill="accent5" w:themeFillTint="40"/>
            <w:vAlign w:val="center"/>
          </w:tcPr>
          <w:p w14:paraId="7C63E5C4" w14:textId="77777777" w:rsidR="00A44478" w:rsidRDefault="00A44478" w:rsidP="00F0336E">
            <w:pPr>
              <w:pStyle w:val="ListBullet"/>
              <w:spacing w:before="0"/>
              <w:ind w:left="357" w:hanging="357"/>
              <w:contextualSpacing w:val="0"/>
            </w:pPr>
            <w:r w:rsidRPr="001551CC">
              <w:t>Improve retailer processes to ensure eligible customers are receiving concessions and utility relief grants.</w:t>
            </w:r>
          </w:p>
        </w:tc>
        <w:tc>
          <w:tcPr>
            <w:tcW w:w="1382" w:type="dxa"/>
            <w:tcBorders>
              <w:top w:val="nil"/>
              <w:bottom w:val="nil"/>
            </w:tcBorders>
            <w:shd w:val="clear" w:color="auto" w:fill="B5DACE" w:themeFill="accent5" w:themeFillTint="40"/>
            <w:vAlign w:val="center"/>
          </w:tcPr>
          <w:p w14:paraId="1F728D8F" w14:textId="77777777" w:rsidR="00A44478" w:rsidRPr="00C82D1A" w:rsidRDefault="00A44478" w:rsidP="008C26EF">
            <w:pPr>
              <w:pStyle w:val="ListBullet"/>
              <w:numPr>
                <w:ilvl w:val="0"/>
                <w:numId w:val="0"/>
              </w:numPr>
              <w:spacing w:before="0" w:line="240" w:lineRule="auto"/>
              <w:jc w:val="center"/>
              <w:rPr>
                <w:b/>
                <w:bCs/>
                <w:color w:val="CE0058" w:themeColor="accent2"/>
              </w:rPr>
            </w:pPr>
            <w:r w:rsidRPr="00046BFF">
              <w:rPr>
                <w:b/>
                <w:bCs/>
                <w:color w:val="CE0058" w:themeColor="accent2"/>
              </w:rPr>
              <w:t>Priority</w:t>
            </w:r>
          </w:p>
        </w:tc>
      </w:tr>
      <w:tr w:rsidR="00A44478" w:rsidRPr="000179AE" w14:paraId="729B0536" w14:textId="77777777" w:rsidTr="00A5797A">
        <w:tc>
          <w:tcPr>
            <w:tcW w:w="1873" w:type="dxa"/>
            <w:vMerge/>
            <w:shd w:val="clear" w:color="auto" w:fill="B5DACE" w:themeFill="accent5" w:themeFillTint="40"/>
            <w:vAlign w:val="center"/>
          </w:tcPr>
          <w:p w14:paraId="028BDE8F" w14:textId="77777777" w:rsidR="00A44478" w:rsidRPr="000179AE" w:rsidRDefault="00A44478" w:rsidP="00F0336E">
            <w:pPr>
              <w:pStyle w:val="TableBody"/>
              <w:ind w:left="284" w:right="-2"/>
              <w:jc w:val="center"/>
              <w:rPr>
                <w:rFonts w:ascii="Tahoma" w:hAnsi="Tahoma" w:cs="Tahoma"/>
                <w:noProof/>
                <w:color w:val="262626" w:themeColor="text1" w:themeTint="D9"/>
              </w:rPr>
            </w:pPr>
          </w:p>
        </w:tc>
        <w:tc>
          <w:tcPr>
            <w:tcW w:w="6521" w:type="dxa"/>
            <w:tcBorders>
              <w:top w:val="nil"/>
              <w:bottom w:val="nil"/>
            </w:tcBorders>
            <w:shd w:val="clear" w:color="auto" w:fill="B5DACE" w:themeFill="accent5" w:themeFillTint="40"/>
            <w:vAlign w:val="center"/>
          </w:tcPr>
          <w:p w14:paraId="4AE5CFD1" w14:textId="77777777" w:rsidR="00A44478" w:rsidRDefault="00A44478" w:rsidP="00F0336E">
            <w:pPr>
              <w:pStyle w:val="ListBullet"/>
              <w:spacing w:before="0"/>
              <w:ind w:left="357" w:hanging="357"/>
              <w:contextualSpacing w:val="0"/>
            </w:pPr>
            <w:r w:rsidRPr="001551CC">
              <w:t xml:space="preserve">Improve appropriateness and timing of assistance provided </w:t>
            </w:r>
            <w:r>
              <w:t xml:space="preserve">by retailers </w:t>
            </w:r>
            <w:r w:rsidRPr="001551CC">
              <w:t>to customers about lowering energy usage and costs.</w:t>
            </w:r>
          </w:p>
        </w:tc>
        <w:tc>
          <w:tcPr>
            <w:tcW w:w="1382" w:type="dxa"/>
            <w:tcBorders>
              <w:top w:val="nil"/>
              <w:bottom w:val="nil"/>
            </w:tcBorders>
            <w:shd w:val="clear" w:color="auto" w:fill="B5DACE" w:themeFill="accent5" w:themeFillTint="40"/>
            <w:vAlign w:val="center"/>
          </w:tcPr>
          <w:p w14:paraId="6D6263C9" w14:textId="77777777" w:rsidR="00A44478" w:rsidRPr="00C82D1A" w:rsidRDefault="00A44478" w:rsidP="008C26EF">
            <w:pPr>
              <w:pStyle w:val="ListBullet"/>
              <w:numPr>
                <w:ilvl w:val="0"/>
                <w:numId w:val="0"/>
              </w:numPr>
              <w:spacing w:before="0" w:line="240" w:lineRule="auto"/>
              <w:jc w:val="center"/>
              <w:rPr>
                <w:b/>
                <w:bCs/>
                <w:color w:val="CE0058" w:themeColor="accent2"/>
              </w:rPr>
            </w:pPr>
            <w:r w:rsidRPr="00046BFF">
              <w:rPr>
                <w:b/>
                <w:bCs/>
                <w:color w:val="CE0058" w:themeColor="accent2"/>
              </w:rPr>
              <w:t>Priority</w:t>
            </w:r>
          </w:p>
        </w:tc>
      </w:tr>
      <w:tr w:rsidR="00A44478" w:rsidRPr="000179AE" w14:paraId="6029D35C" w14:textId="77777777" w:rsidTr="00A5797A">
        <w:tc>
          <w:tcPr>
            <w:tcW w:w="1873" w:type="dxa"/>
            <w:vMerge/>
            <w:shd w:val="clear" w:color="auto" w:fill="B5DACE" w:themeFill="accent5" w:themeFillTint="40"/>
            <w:vAlign w:val="center"/>
          </w:tcPr>
          <w:p w14:paraId="4023D7BC" w14:textId="77777777" w:rsidR="00A44478" w:rsidRPr="000179AE" w:rsidRDefault="00A44478" w:rsidP="00F0336E">
            <w:pPr>
              <w:pStyle w:val="TableBody"/>
              <w:ind w:left="284" w:right="-2"/>
              <w:jc w:val="center"/>
              <w:rPr>
                <w:rFonts w:ascii="Tahoma" w:hAnsi="Tahoma" w:cs="Tahoma"/>
                <w:noProof/>
                <w:color w:val="262626" w:themeColor="text1" w:themeTint="D9"/>
              </w:rPr>
            </w:pPr>
          </w:p>
        </w:tc>
        <w:tc>
          <w:tcPr>
            <w:tcW w:w="6521" w:type="dxa"/>
            <w:tcBorders>
              <w:top w:val="nil"/>
              <w:bottom w:val="nil"/>
            </w:tcBorders>
            <w:shd w:val="clear" w:color="auto" w:fill="B5DACE" w:themeFill="accent5" w:themeFillTint="40"/>
            <w:vAlign w:val="center"/>
          </w:tcPr>
          <w:p w14:paraId="3A182F86" w14:textId="77777777" w:rsidR="00A44478" w:rsidRDefault="00A44478" w:rsidP="00F0336E">
            <w:pPr>
              <w:pStyle w:val="ListBullet"/>
              <w:spacing w:before="0"/>
              <w:ind w:left="357" w:hanging="357"/>
              <w:contextualSpacing w:val="0"/>
            </w:pPr>
            <w:r>
              <w:t xml:space="preserve">Increase retailers’ </w:t>
            </w:r>
            <w:r w:rsidRPr="001551CC">
              <w:t>understanding of customers in payment difficulty with high energy use, to help to tailor approaches to energy efficiency.</w:t>
            </w:r>
          </w:p>
        </w:tc>
        <w:tc>
          <w:tcPr>
            <w:tcW w:w="1382" w:type="dxa"/>
            <w:tcBorders>
              <w:top w:val="nil"/>
              <w:bottom w:val="nil"/>
            </w:tcBorders>
            <w:shd w:val="clear" w:color="auto" w:fill="B5DACE" w:themeFill="accent5" w:themeFillTint="40"/>
            <w:vAlign w:val="center"/>
          </w:tcPr>
          <w:p w14:paraId="4CE3F48E" w14:textId="77777777" w:rsidR="00A44478" w:rsidRPr="00C82D1A" w:rsidRDefault="00A44478" w:rsidP="008C26EF">
            <w:pPr>
              <w:pStyle w:val="ListBullet"/>
              <w:numPr>
                <w:ilvl w:val="0"/>
                <w:numId w:val="0"/>
              </w:numPr>
              <w:spacing w:before="0" w:line="240" w:lineRule="auto"/>
              <w:jc w:val="center"/>
              <w:rPr>
                <w:b/>
                <w:bCs/>
                <w:color w:val="CE0058" w:themeColor="accent2"/>
              </w:rPr>
            </w:pPr>
          </w:p>
        </w:tc>
      </w:tr>
      <w:tr w:rsidR="00A44478" w:rsidRPr="000179AE" w14:paraId="5DD9D251" w14:textId="77777777" w:rsidTr="00A5797A">
        <w:tc>
          <w:tcPr>
            <w:tcW w:w="1873" w:type="dxa"/>
            <w:vMerge/>
            <w:shd w:val="clear" w:color="auto" w:fill="B5DACE" w:themeFill="accent5" w:themeFillTint="40"/>
            <w:vAlign w:val="center"/>
          </w:tcPr>
          <w:p w14:paraId="3F9E6037" w14:textId="77777777" w:rsidR="00A44478" w:rsidRPr="000179AE" w:rsidRDefault="00A44478" w:rsidP="00F0336E">
            <w:pPr>
              <w:pStyle w:val="TableBody"/>
              <w:ind w:left="284" w:right="-2"/>
              <w:jc w:val="center"/>
              <w:rPr>
                <w:rFonts w:ascii="Tahoma" w:hAnsi="Tahoma" w:cs="Tahoma"/>
                <w:noProof/>
                <w:color w:val="262626" w:themeColor="text1" w:themeTint="D9"/>
              </w:rPr>
            </w:pPr>
          </w:p>
        </w:tc>
        <w:tc>
          <w:tcPr>
            <w:tcW w:w="6521" w:type="dxa"/>
            <w:tcBorders>
              <w:top w:val="nil"/>
              <w:bottom w:val="nil"/>
            </w:tcBorders>
            <w:shd w:val="clear" w:color="auto" w:fill="B5DACE" w:themeFill="accent5" w:themeFillTint="40"/>
            <w:vAlign w:val="center"/>
          </w:tcPr>
          <w:p w14:paraId="39DDF81F" w14:textId="77777777" w:rsidR="00A44478" w:rsidRDefault="00A44478" w:rsidP="00F0336E">
            <w:pPr>
              <w:pStyle w:val="ListBullet"/>
              <w:spacing w:before="0"/>
              <w:ind w:left="357" w:hanging="357"/>
              <w:contextualSpacing w:val="0"/>
            </w:pPr>
            <w:r>
              <w:t xml:space="preserve">Improve the way that retailers link customers </w:t>
            </w:r>
            <w:r w:rsidRPr="001551CC">
              <w:t>to existing energy efficiency and usage schemes and programs.</w:t>
            </w:r>
          </w:p>
        </w:tc>
        <w:tc>
          <w:tcPr>
            <w:tcW w:w="1382" w:type="dxa"/>
            <w:tcBorders>
              <w:top w:val="nil"/>
              <w:bottom w:val="nil"/>
            </w:tcBorders>
            <w:shd w:val="clear" w:color="auto" w:fill="B5DACE" w:themeFill="accent5" w:themeFillTint="40"/>
            <w:vAlign w:val="center"/>
          </w:tcPr>
          <w:p w14:paraId="13848472" w14:textId="77777777" w:rsidR="00A44478" w:rsidRPr="00C82D1A" w:rsidRDefault="00A44478" w:rsidP="008C26EF">
            <w:pPr>
              <w:pStyle w:val="ListBullet"/>
              <w:numPr>
                <w:ilvl w:val="0"/>
                <w:numId w:val="0"/>
              </w:numPr>
              <w:spacing w:before="0" w:line="240" w:lineRule="auto"/>
              <w:jc w:val="center"/>
              <w:rPr>
                <w:b/>
                <w:bCs/>
                <w:color w:val="CE0058" w:themeColor="accent2"/>
              </w:rPr>
            </w:pPr>
          </w:p>
        </w:tc>
      </w:tr>
      <w:tr w:rsidR="00A44478" w:rsidRPr="000179AE" w14:paraId="5B047C9E" w14:textId="77777777" w:rsidTr="00F0336E">
        <w:tc>
          <w:tcPr>
            <w:tcW w:w="9776" w:type="dxa"/>
            <w:gridSpan w:val="3"/>
            <w:tcBorders>
              <w:top w:val="single" w:sz="24" w:space="0" w:color="6CB59D" w:themeColor="accent5" w:themeTint="80"/>
              <w:bottom w:val="nil"/>
            </w:tcBorders>
            <w:shd w:val="clear" w:color="auto" w:fill="B5DACE" w:themeFill="accent5" w:themeFillTint="40"/>
          </w:tcPr>
          <w:p w14:paraId="08666384" w14:textId="77777777" w:rsidR="00A44478" w:rsidRPr="000179AE" w:rsidRDefault="00A44478" w:rsidP="00F0336E">
            <w:pPr>
              <w:pStyle w:val="TableBody"/>
              <w:spacing w:before="120" w:after="80"/>
              <w:ind w:left="142" w:right="119"/>
              <w:rPr>
                <w:rFonts w:ascii="Tahoma" w:hAnsi="Tahoma" w:cs="Tahoma"/>
                <w:b/>
                <w:bCs/>
                <w:color w:val="262626" w:themeColor="text1" w:themeTint="D9"/>
              </w:rPr>
            </w:pPr>
            <w:r w:rsidRPr="0013353A">
              <w:rPr>
                <w:rFonts w:ascii="Tahoma" w:hAnsi="Tahoma" w:cs="Tahoma"/>
                <w:b/>
                <w:bCs/>
                <w:color w:val="262626" w:themeColor="text1" w:themeTint="D9"/>
              </w:rPr>
              <w:t xml:space="preserve">The level and quality of retailer-customer engagement </w:t>
            </w:r>
            <w:r>
              <w:rPr>
                <w:rFonts w:ascii="Tahoma" w:hAnsi="Tahoma" w:cs="Tahoma"/>
                <w:b/>
                <w:bCs/>
                <w:color w:val="262626" w:themeColor="text1" w:themeTint="D9"/>
              </w:rPr>
              <w:t>a</w:t>
            </w:r>
            <w:r w:rsidRPr="0013353A">
              <w:rPr>
                <w:rFonts w:ascii="Tahoma" w:hAnsi="Tahoma" w:cs="Tahoma"/>
                <w:b/>
                <w:bCs/>
                <w:color w:val="262626" w:themeColor="text1" w:themeTint="D9"/>
              </w:rPr>
              <w:t>ffects customer outcomes</w:t>
            </w:r>
          </w:p>
        </w:tc>
      </w:tr>
      <w:tr w:rsidR="00A44478" w:rsidRPr="000179AE" w14:paraId="133266B0" w14:textId="77777777" w:rsidTr="00A5797A">
        <w:tc>
          <w:tcPr>
            <w:tcW w:w="1873" w:type="dxa"/>
            <w:vMerge w:val="restart"/>
            <w:tcBorders>
              <w:top w:val="nil"/>
            </w:tcBorders>
            <w:shd w:val="clear" w:color="auto" w:fill="B5DACE" w:themeFill="accent5" w:themeFillTint="40"/>
            <w:vAlign w:val="center"/>
          </w:tcPr>
          <w:p w14:paraId="562DA60B" w14:textId="77777777" w:rsidR="00A44478" w:rsidRPr="000179AE" w:rsidRDefault="00A44478" w:rsidP="00F0336E">
            <w:pPr>
              <w:pStyle w:val="TableBody"/>
              <w:ind w:left="284" w:right="-2"/>
              <w:jc w:val="center"/>
              <w:rPr>
                <w:noProof/>
                <w:color w:val="262626" w:themeColor="text1" w:themeTint="D9"/>
              </w:rPr>
            </w:pPr>
            <w:r w:rsidRPr="000179AE">
              <w:rPr>
                <w:noProof/>
                <w:color w:val="262626" w:themeColor="text1" w:themeTint="D9"/>
              </w:rPr>
              <w:drawing>
                <wp:inline distT="0" distB="0" distL="0" distR="0" wp14:anchorId="7E529579" wp14:editId="46D1F3BD">
                  <wp:extent cx="864000" cy="864000"/>
                  <wp:effectExtent l="0" t="0" r="0" b="0"/>
                  <wp:docPr id="100026" name="Picture 100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Picture 100026">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6521" w:type="dxa"/>
            <w:tcBorders>
              <w:top w:val="nil"/>
              <w:bottom w:val="nil"/>
            </w:tcBorders>
            <w:shd w:val="clear" w:color="auto" w:fill="B5DACE" w:themeFill="accent5" w:themeFillTint="40"/>
            <w:vAlign w:val="center"/>
          </w:tcPr>
          <w:p w14:paraId="3047DC5F" w14:textId="77777777" w:rsidR="00A44478" w:rsidRPr="00046BFF" w:rsidRDefault="00A44478" w:rsidP="00F0336E">
            <w:pPr>
              <w:pStyle w:val="ListBullet"/>
              <w:spacing w:before="0"/>
              <w:ind w:left="357" w:hanging="357"/>
              <w:contextualSpacing w:val="0"/>
            </w:pPr>
            <w:r w:rsidRPr="001551CC">
              <w:t>Improve retailer interactions with customers, focusing on communication that recognises a customer's circumstances, including the barriers they may be facing.</w:t>
            </w:r>
          </w:p>
        </w:tc>
        <w:tc>
          <w:tcPr>
            <w:tcW w:w="1382" w:type="dxa"/>
            <w:tcBorders>
              <w:top w:val="nil"/>
              <w:bottom w:val="nil"/>
            </w:tcBorders>
            <w:shd w:val="clear" w:color="auto" w:fill="B5DACE" w:themeFill="accent5" w:themeFillTint="40"/>
            <w:vAlign w:val="center"/>
          </w:tcPr>
          <w:p w14:paraId="4FDE0353" w14:textId="77777777" w:rsidR="00A44478" w:rsidRPr="00046BFF" w:rsidRDefault="00A44478" w:rsidP="008C26EF">
            <w:pPr>
              <w:pStyle w:val="ListBullet"/>
              <w:numPr>
                <w:ilvl w:val="0"/>
                <w:numId w:val="0"/>
              </w:numPr>
              <w:spacing w:before="0" w:line="240" w:lineRule="auto"/>
              <w:jc w:val="center"/>
              <w:rPr>
                <w:b/>
                <w:bCs/>
                <w:color w:val="CE0058" w:themeColor="accent2"/>
              </w:rPr>
            </w:pPr>
            <w:r w:rsidRPr="00046BFF">
              <w:rPr>
                <w:b/>
                <w:bCs/>
                <w:color w:val="CE0058" w:themeColor="accent2"/>
              </w:rPr>
              <w:t>Priority</w:t>
            </w:r>
          </w:p>
        </w:tc>
      </w:tr>
      <w:tr w:rsidR="00A44478" w:rsidRPr="000179AE" w14:paraId="77FBA01B" w14:textId="77777777" w:rsidTr="00A5797A">
        <w:tc>
          <w:tcPr>
            <w:tcW w:w="1873" w:type="dxa"/>
            <w:vMerge/>
            <w:shd w:val="clear" w:color="auto" w:fill="B5DACE" w:themeFill="accent5" w:themeFillTint="40"/>
            <w:vAlign w:val="center"/>
          </w:tcPr>
          <w:p w14:paraId="0F9A381F" w14:textId="77777777" w:rsidR="00A44478" w:rsidRPr="0042768D" w:rsidRDefault="00A44478" w:rsidP="00F0336E">
            <w:pPr>
              <w:pStyle w:val="TableBody"/>
              <w:ind w:left="284" w:right="-2"/>
              <w:jc w:val="center"/>
              <w:rPr>
                <w:rFonts w:ascii="Tahoma" w:hAnsi="Tahoma" w:cs="Tahoma"/>
                <w:color w:val="262626" w:themeColor="text1" w:themeTint="D9"/>
                <w:highlight w:val="yellow"/>
              </w:rPr>
            </w:pPr>
          </w:p>
        </w:tc>
        <w:tc>
          <w:tcPr>
            <w:tcW w:w="6521" w:type="dxa"/>
            <w:tcBorders>
              <w:top w:val="nil"/>
              <w:bottom w:val="nil"/>
            </w:tcBorders>
            <w:shd w:val="clear" w:color="auto" w:fill="B5DACE" w:themeFill="accent5" w:themeFillTint="40"/>
            <w:vAlign w:val="center"/>
          </w:tcPr>
          <w:p w14:paraId="2A67A9FF" w14:textId="77777777" w:rsidR="00A44478" w:rsidRDefault="00A44478" w:rsidP="00F0336E">
            <w:pPr>
              <w:pStyle w:val="ListBullet"/>
              <w:spacing w:before="0"/>
              <w:ind w:left="357" w:hanging="357"/>
              <w:contextualSpacing w:val="0"/>
            </w:pPr>
            <w:r w:rsidRPr="00BE4702">
              <w:t>Further support customers’ entitlement to assistance during retailer communication</w:t>
            </w:r>
            <w:r w:rsidRPr="00046BFF">
              <w:t>.</w:t>
            </w:r>
          </w:p>
        </w:tc>
        <w:tc>
          <w:tcPr>
            <w:tcW w:w="1382" w:type="dxa"/>
            <w:tcBorders>
              <w:top w:val="nil"/>
              <w:bottom w:val="nil"/>
            </w:tcBorders>
            <w:shd w:val="clear" w:color="auto" w:fill="B5DACE" w:themeFill="accent5" w:themeFillTint="40"/>
            <w:vAlign w:val="center"/>
          </w:tcPr>
          <w:p w14:paraId="65F15FF8" w14:textId="77777777" w:rsidR="00A44478" w:rsidRPr="00062623" w:rsidRDefault="00A44478" w:rsidP="008C26EF">
            <w:pPr>
              <w:pStyle w:val="ListBullet"/>
              <w:numPr>
                <w:ilvl w:val="0"/>
                <w:numId w:val="0"/>
              </w:numPr>
              <w:spacing w:before="0" w:line="240" w:lineRule="auto"/>
              <w:jc w:val="center"/>
              <w:rPr>
                <w:b/>
                <w:bCs/>
                <w:color w:val="CE0058" w:themeColor="accent2"/>
              </w:rPr>
            </w:pPr>
          </w:p>
        </w:tc>
      </w:tr>
      <w:tr w:rsidR="00A44478" w:rsidRPr="000179AE" w14:paraId="14FF2096" w14:textId="77777777" w:rsidTr="00A5797A">
        <w:tc>
          <w:tcPr>
            <w:tcW w:w="1873" w:type="dxa"/>
            <w:vMerge/>
            <w:shd w:val="clear" w:color="auto" w:fill="B5DACE" w:themeFill="accent5" w:themeFillTint="40"/>
            <w:vAlign w:val="center"/>
          </w:tcPr>
          <w:p w14:paraId="0B3A250C" w14:textId="77777777" w:rsidR="00A44478" w:rsidRPr="000179AE" w:rsidRDefault="00A44478" w:rsidP="00F0336E">
            <w:pPr>
              <w:pStyle w:val="TableBody"/>
              <w:ind w:left="284" w:right="-2"/>
              <w:jc w:val="center"/>
              <w:rPr>
                <w:noProof/>
                <w:color w:val="262626" w:themeColor="text1" w:themeTint="D9"/>
              </w:rPr>
            </w:pPr>
          </w:p>
        </w:tc>
        <w:tc>
          <w:tcPr>
            <w:tcW w:w="6521" w:type="dxa"/>
            <w:tcBorders>
              <w:top w:val="nil"/>
              <w:bottom w:val="nil"/>
            </w:tcBorders>
            <w:shd w:val="clear" w:color="auto" w:fill="B5DACE" w:themeFill="accent5" w:themeFillTint="40"/>
            <w:vAlign w:val="center"/>
          </w:tcPr>
          <w:p w14:paraId="50ABECF0" w14:textId="77777777" w:rsidR="00A44478" w:rsidRPr="0013353A" w:rsidRDefault="00A44478" w:rsidP="00F0336E">
            <w:pPr>
              <w:pStyle w:val="ListBullet"/>
              <w:spacing w:before="0"/>
              <w:ind w:left="357" w:hanging="357"/>
              <w:contextualSpacing w:val="0"/>
            </w:pPr>
            <w:r w:rsidRPr="00046BFF">
              <w:t xml:space="preserve">Promote earlier </w:t>
            </w:r>
            <w:r>
              <w:t xml:space="preserve">customer </w:t>
            </w:r>
            <w:r w:rsidRPr="00046BFF">
              <w:t xml:space="preserve">engagement </w:t>
            </w:r>
            <w:r>
              <w:t>by retailers</w:t>
            </w:r>
            <w:r w:rsidRPr="00046BFF">
              <w:t>.</w:t>
            </w:r>
          </w:p>
        </w:tc>
        <w:tc>
          <w:tcPr>
            <w:tcW w:w="1382" w:type="dxa"/>
            <w:tcBorders>
              <w:top w:val="nil"/>
              <w:bottom w:val="nil"/>
            </w:tcBorders>
            <w:shd w:val="clear" w:color="auto" w:fill="B5DACE" w:themeFill="accent5" w:themeFillTint="40"/>
            <w:vAlign w:val="center"/>
          </w:tcPr>
          <w:p w14:paraId="6EAD9A23" w14:textId="77777777" w:rsidR="00A44478" w:rsidRPr="00062623" w:rsidRDefault="00A44478" w:rsidP="008C26EF">
            <w:pPr>
              <w:pStyle w:val="ListBullet"/>
              <w:numPr>
                <w:ilvl w:val="0"/>
                <w:numId w:val="0"/>
              </w:numPr>
              <w:spacing w:before="0" w:line="240" w:lineRule="auto"/>
              <w:jc w:val="center"/>
              <w:rPr>
                <w:b/>
                <w:bCs/>
                <w:color w:val="CE0058" w:themeColor="accent2"/>
              </w:rPr>
            </w:pPr>
          </w:p>
        </w:tc>
      </w:tr>
      <w:tr w:rsidR="00A44478" w:rsidRPr="000179AE" w14:paraId="6A8EB550" w14:textId="77777777" w:rsidTr="00A5797A">
        <w:tc>
          <w:tcPr>
            <w:tcW w:w="1873" w:type="dxa"/>
            <w:vMerge/>
            <w:tcBorders>
              <w:bottom w:val="single" w:sz="24" w:space="0" w:color="6CB59D" w:themeColor="accent5" w:themeTint="80"/>
            </w:tcBorders>
            <w:shd w:val="clear" w:color="auto" w:fill="B5DACE" w:themeFill="accent5" w:themeFillTint="40"/>
            <w:vAlign w:val="center"/>
          </w:tcPr>
          <w:p w14:paraId="1A91D550" w14:textId="77777777" w:rsidR="00A44478" w:rsidRPr="000179AE" w:rsidRDefault="00A44478" w:rsidP="00F0336E">
            <w:pPr>
              <w:pStyle w:val="TableBody"/>
              <w:ind w:left="284" w:right="-2"/>
              <w:jc w:val="center"/>
              <w:rPr>
                <w:noProof/>
                <w:color w:val="262626" w:themeColor="text1" w:themeTint="D9"/>
              </w:rPr>
            </w:pPr>
          </w:p>
        </w:tc>
        <w:tc>
          <w:tcPr>
            <w:tcW w:w="6521" w:type="dxa"/>
            <w:tcBorders>
              <w:top w:val="nil"/>
              <w:bottom w:val="single" w:sz="24" w:space="0" w:color="6CB59D" w:themeColor="accent5" w:themeTint="80"/>
            </w:tcBorders>
            <w:shd w:val="clear" w:color="auto" w:fill="B5DACE" w:themeFill="accent5" w:themeFillTint="40"/>
            <w:vAlign w:val="center"/>
          </w:tcPr>
          <w:p w14:paraId="67B12817" w14:textId="77777777" w:rsidR="00A44478" w:rsidRPr="0013353A" w:rsidRDefault="00A44478" w:rsidP="00F0336E">
            <w:pPr>
              <w:pStyle w:val="ListBullet"/>
              <w:spacing w:before="0"/>
              <w:ind w:left="357" w:hanging="357"/>
              <w:contextualSpacing w:val="0"/>
            </w:pPr>
            <w:r w:rsidRPr="00046BFF">
              <w:t xml:space="preserve">Improve </w:t>
            </w:r>
            <w:r>
              <w:t xml:space="preserve">retailer links with </w:t>
            </w:r>
            <w:r w:rsidRPr="00046BFF">
              <w:t>trusted third parties who support their clients or customers.</w:t>
            </w:r>
          </w:p>
        </w:tc>
        <w:tc>
          <w:tcPr>
            <w:tcW w:w="1382" w:type="dxa"/>
            <w:tcBorders>
              <w:top w:val="nil"/>
              <w:bottom w:val="single" w:sz="24" w:space="0" w:color="6CB59D" w:themeColor="accent5" w:themeTint="80"/>
            </w:tcBorders>
            <w:shd w:val="clear" w:color="auto" w:fill="B5DACE" w:themeFill="accent5" w:themeFillTint="40"/>
            <w:vAlign w:val="center"/>
          </w:tcPr>
          <w:p w14:paraId="125BE5E1" w14:textId="77777777" w:rsidR="00A44478" w:rsidRPr="00046BFF" w:rsidRDefault="00A44478" w:rsidP="008C26EF">
            <w:pPr>
              <w:pStyle w:val="ListBullet"/>
              <w:numPr>
                <w:ilvl w:val="0"/>
                <w:numId w:val="0"/>
              </w:numPr>
              <w:spacing w:before="0" w:line="240" w:lineRule="auto"/>
              <w:jc w:val="center"/>
              <w:rPr>
                <w:b/>
                <w:bCs/>
                <w:color w:val="CE0058" w:themeColor="accent2"/>
              </w:rPr>
            </w:pPr>
          </w:p>
        </w:tc>
      </w:tr>
      <w:tr w:rsidR="00A44478" w:rsidRPr="000179AE" w14:paraId="374F606E" w14:textId="77777777" w:rsidTr="00F0336E">
        <w:tc>
          <w:tcPr>
            <w:tcW w:w="9776" w:type="dxa"/>
            <w:gridSpan w:val="3"/>
            <w:tcBorders>
              <w:top w:val="single" w:sz="24" w:space="0" w:color="6CB59D" w:themeColor="accent5" w:themeTint="80"/>
              <w:bottom w:val="nil"/>
            </w:tcBorders>
            <w:shd w:val="clear" w:color="auto" w:fill="B5DACE" w:themeFill="accent5" w:themeFillTint="40"/>
          </w:tcPr>
          <w:p w14:paraId="7FCEB053" w14:textId="77777777" w:rsidR="00A44478" w:rsidRPr="000179AE" w:rsidRDefault="00A44478" w:rsidP="00F0336E">
            <w:pPr>
              <w:pStyle w:val="TableBody"/>
              <w:spacing w:before="120" w:after="80"/>
              <w:ind w:left="142" w:right="119"/>
              <w:rPr>
                <w:rFonts w:ascii="Tahoma" w:hAnsi="Tahoma" w:cs="Tahoma"/>
                <w:b/>
                <w:bCs/>
                <w:color w:val="262626" w:themeColor="text1" w:themeTint="D9"/>
              </w:rPr>
            </w:pPr>
            <w:r w:rsidRPr="0013353A">
              <w:rPr>
                <w:rFonts w:ascii="Tahoma" w:hAnsi="Tahoma" w:cs="Tahoma"/>
                <w:b/>
                <w:bCs/>
                <w:color w:val="262626" w:themeColor="text1" w:themeTint="D9"/>
              </w:rPr>
              <w:t>Customers who can pay for their ongoing energy use benefit most</w:t>
            </w:r>
          </w:p>
        </w:tc>
      </w:tr>
      <w:tr w:rsidR="00A44478" w:rsidRPr="000179AE" w14:paraId="7F6D2D2C" w14:textId="77777777" w:rsidTr="00F0336E">
        <w:tc>
          <w:tcPr>
            <w:tcW w:w="1873" w:type="dxa"/>
            <w:tcBorders>
              <w:bottom w:val="single" w:sz="24" w:space="0" w:color="6CB59D" w:themeColor="accent5" w:themeTint="80"/>
            </w:tcBorders>
            <w:shd w:val="clear" w:color="auto" w:fill="B5DACE" w:themeFill="accent5" w:themeFillTint="40"/>
            <w:vAlign w:val="center"/>
          </w:tcPr>
          <w:p w14:paraId="7B333499" w14:textId="77777777" w:rsidR="00A44478" w:rsidRPr="00BA09A0" w:rsidRDefault="00A44478" w:rsidP="00F0336E">
            <w:pPr>
              <w:pStyle w:val="TableBody"/>
              <w:ind w:left="284" w:right="-2"/>
              <w:jc w:val="center"/>
              <w:rPr>
                <w:rFonts w:ascii="Tahoma" w:hAnsi="Tahoma" w:cs="Tahoma"/>
                <w:b/>
                <w:bCs/>
                <w:noProof/>
                <w:color w:val="262626" w:themeColor="text1" w:themeTint="D9"/>
              </w:rPr>
            </w:pPr>
            <w:r w:rsidRPr="00BA09A0">
              <w:rPr>
                <w:rFonts w:ascii="Tahoma" w:hAnsi="Tahoma" w:cs="Tahoma"/>
                <w:b/>
                <w:bCs/>
                <w:noProof/>
                <w:color w:val="262626" w:themeColor="text1" w:themeTint="D9"/>
              </w:rPr>
              <w:drawing>
                <wp:inline distT="0" distB="0" distL="0" distR="0" wp14:anchorId="65439947" wp14:editId="7F8071C6">
                  <wp:extent cx="720000" cy="720000"/>
                  <wp:effectExtent l="0" t="0" r="4445" b="0"/>
                  <wp:docPr id="100027" name="Picture 100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Picture 100027">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521" w:type="dxa"/>
            <w:tcBorders>
              <w:top w:val="nil"/>
              <w:bottom w:val="single" w:sz="24" w:space="0" w:color="6CB59D" w:themeColor="accent5" w:themeTint="80"/>
            </w:tcBorders>
            <w:shd w:val="clear" w:color="auto" w:fill="B5DACE" w:themeFill="accent5" w:themeFillTint="40"/>
            <w:vAlign w:val="center"/>
          </w:tcPr>
          <w:p w14:paraId="7675CD36" w14:textId="1BE03DD1" w:rsidR="00A44478" w:rsidRPr="0013353A" w:rsidRDefault="00A44478" w:rsidP="00F0336E">
            <w:pPr>
              <w:pStyle w:val="ListBullet"/>
              <w:spacing w:before="0"/>
              <w:ind w:left="357" w:hanging="357"/>
              <w:contextualSpacing w:val="0"/>
            </w:pPr>
            <w:r w:rsidRPr="0013353A">
              <w:t xml:space="preserve">Consider alternative approaches to support customers prior to disconnection, particularly for those who cannot pay </w:t>
            </w:r>
            <w:r>
              <w:t xml:space="preserve">for </w:t>
            </w:r>
            <w:r w:rsidRPr="0013353A">
              <w:t>on-going use</w:t>
            </w:r>
            <w:r w:rsidR="00573548">
              <w:t>.</w:t>
            </w:r>
          </w:p>
        </w:tc>
        <w:tc>
          <w:tcPr>
            <w:tcW w:w="1382" w:type="dxa"/>
            <w:tcBorders>
              <w:top w:val="nil"/>
              <w:bottom w:val="single" w:sz="24" w:space="0" w:color="6CB59D" w:themeColor="accent5" w:themeTint="80"/>
            </w:tcBorders>
            <w:shd w:val="clear" w:color="auto" w:fill="B5DACE" w:themeFill="accent5" w:themeFillTint="40"/>
            <w:vAlign w:val="center"/>
          </w:tcPr>
          <w:p w14:paraId="204E85BB" w14:textId="77777777" w:rsidR="00A44478" w:rsidRDefault="00A44478" w:rsidP="008C26EF">
            <w:pPr>
              <w:pStyle w:val="ListBullet"/>
              <w:numPr>
                <w:ilvl w:val="0"/>
                <w:numId w:val="0"/>
              </w:numPr>
              <w:spacing w:before="0" w:line="240" w:lineRule="auto"/>
            </w:pPr>
          </w:p>
        </w:tc>
      </w:tr>
    </w:tbl>
    <w:p w14:paraId="0DD31CD2" w14:textId="77777777" w:rsidR="00CE1189" w:rsidRDefault="00CE1189" w:rsidP="008573E7"/>
    <w:p w14:paraId="2DCD0790" w14:textId="77777777" w:rsidR="00C43F4C" w:rsidRDefault="00C43F4C" w:rsidP="00C43F4C">
      <w:r>
        <w:lastRenderedPageBreak/>
        <w:t xml:space="preserve">Throughout the review, stakeholders also suggested several actions or examples to be considered, to help improve the effectiveness of implementing various parts of the framework. </w:t>
      </w:r>
    </w:p>
    <w:p w14:paraId="2DA7D902" w14:textId="6D200A04" w:rsidR="00C43F4C" w:rsidRDefault="00C43F4C" w:rsidP="00C43F4C">
      <w:r>
        <w:t xml:space="preserve">In the next phase of the review, we will collaborate with our stakeholders from the energy industry and community </w:t>
      </w:r>
      <w:r w:rsidR="008573E7">
        <w:t>sector</w:t>
      </w:r>
      <w:r w:rsidR="002F3FDF">
        <w:t>,</w:t>
      </w:r>
      <w:r>
        <w:t xml:space="preserve"> to </w:t>
      </w:r>
      <w:r w:rsidR="002F3FDF">
        <w:t>co-</w:t>
      </w:r>
      <w:r>
        <w:t xml:space="preserve">develop approaches or specific actions that address the priority areas for improvement we identified. We will use these specific examples of actions as a starting point for discussion and invite stakeholders to work with us in testing and exploring these ideas. </w:t>
      </w:r>
    </w:p>
    <w:p w14:paraId="1B3CF653" w14:textId="6B62C243" w:rsidR="00C43F4C" w:rsidRDefault="006F1802" w:rsidP="00C43F4C">
      <w:r>
        <w:fldChar w:fldCharType="begin"/>
      </w:r>
      <w:r>
        <w:instrText xml:space="preserve"> REF _Ref103267251 \h </w:instrText>
      </w:r>
      <w:r>
        <w:fldChar w:fldCharType="separate"/>
      </w:r>
      <w:r w:rsidR="00357DD7">
        <w:t xml:space="preserve">Table </w:t>
      </w:r>
      <w:r w:rsidR="00357DD7">
        <w:rPr>
          <w:noProof/>
        </w:rPr>
        <w:t>3</w:t>
      </w:r>
      <w:r>
        <w:fldChar w:fldCharType="end"/>
      </w:r>
      <w:r>
        <w:t xml:space="preserve"> sets out all the</w:t>
      </w:r>
      <w:r w:rsidR="00C43F4C">
        <w:t xml:space="preserve"> identified areas for </w:t>
      </w:r>
      <w:r w:rsidR="00A44478">
        <w:t xml:space="preserve">improving </w:t>
      </w:r>
      <w:r w:rsidR="00E2143E">
        <w:t>the operation</w:t>
      </w:r>
      <w:r w:rsidR="00A44478">
        <w:t xml:space="preserve"> </w:t>
      </w:r>
      <w:r w:rsidR="00C43F4C">
        <w:t>improvement, priority areas, and specific examples of relevant actions</w:t>
      </w:r>
      <w:r w:rsidR="008573E7">
        <w:t>.</w:t>
      </w:r>
    </w:p>
    <w:p w14:paraId="3D1FAF2F" w14:textId="16E3C606" w:rsidR="00C43F4C" w:rsidRDefault="00C43F4C" w:rsidP="00F12ECA">
      <w:pPr>
        <w:pStyle w:val="Figure-Table-BoxHeading"/>
        <w:keepNext/>
        <w:keepLines/>
        <w:numPr>
          <w:ilvl w:val="0"/>
          <w:numId w:val="0"/>
        </w:numPr>
      </w:pPr>
      <w:bookmarkStart w:id="253" w:name="_Ref103267251"/>
      <w:r>
        <w:t xml:space="preserve">Table </w:t>
      </w:r>
      <w:r>
        <w:fldChar w:fldCharType="begin"/>
      </w:r>
      <w:r>
        <w:instrText>SEQ Table \* ARABIC</w:instrText>
      </w:r>
      <w:r>
        <w:fldChar w:fldCharType="separate"/>
      </w:r>
      <w:r w:rsidR="00357DD7">
        <w:rPr>
          <w:noProof/>
        </w:rPr>
        <w:t>3</w:t>
      </w:r>
      <w:r>
        <w:fldChar w:fldCharType="end"/>
      </w:r>
      <w:bookmarkEnd w:id="253"/>
      <w:r>
        <w:tab/>
        <w:t xml:space="preserve">Areas for </w:t>
      </w:r>
      <w:r w:rsidR="00A44478">
        <w:t xml:space="preserve">improving </w:t>
      </w:r>
      <w:r w:rsidR="00E2143E">
        <w:t>the operation</w:t>
      </w:r>
      <w:r w:rsidR="00A44478">
        <w:t xml:space="preserve"> of the framework</w:t>
      </w:r>
      <w:r>
        <w:t xml:space="preserve"> as related to our </w:t>
      </w:r>
      <w:r w:rsidR="003E0488">
        <w:t xml:space="preserve">key </w:t>
      </w:r>
      <w:r>
        <w:t>findings</w:t>
      </w:r>
      <w:r w:rsidR="00A44478">
        <w:t>, with examples of relevant actions</w:t>
      </w:r>
    </w:p>
    <w:tbl>
      <w:tblPr>
        <w:tblStyle w:val="TableGrid"/>
        <w:tblW w:w="5000" w:type="pct"/>
        <w:tblLook w:val="04A0" w:firstRow="1" w:lastRow="0" w:firstColumn="1" w:lastColumn="0" w:noHBand="0" w:noVBand="1"/>
      </w:tblPr>
      <w:tblGrid>
        <w:gridCol w:w="2038"/>
        <w:gridCol w:w="2238"/>
        <w:gridCol w:w="977"/>
        <w:gridCol w:w="4385"/>
      </w:tblGrid>
      <w:tr w:rsidR="00B03388" w:rsidRPr="00081425" w14:paraId="68B8EE33" w14:textId="77777777" w:rsidTr="001551CC">
        <w:trPr>
          <w:cnfStyle w:val="100000000000" w:firstRow="1" w:lastRow="0" w:firstColumn="0" w:lastColumn="0" w:oddVBand="0" w:evenVBand="0" w:oddHBand="0" w:evenHBand="0" w:firstRowFirstColumn="0" w:firstRowLastColumn="0" w:lastRowFirstColumn="0" w:lastRowLastColumn="0"/>
          <w:tblHeader/>
        </w:trPr>
        <w:tc>
          <w:tcPr>
            <w:tcW w:w="1057" w:type="pct"/>
          </w:tcPr>
          <w:p w14:paraId="7349AEE1" w14:textId="77777777" w:rsidR="00B03388" w:rsidRPr="00081425" w:rsidRDefault="00B03388" w:rsidP="00F12ECA">
            <w:pPr>
              <w:pStyle w:val="TableBody"/>
              <w:keepNext/>
              <w:keepLines/>
              <w:ind w:right="121"/>
              <w:rPr>
                <w:sz w:val="20"/>
                <w:szCs w:val="20"/>
              </w:rPr>
            </w:pPr>
            <w:r w:rsidRPr="00081425">
              <w:rPr>
                <w:sz w:val="20"/>
                <w:szCs w:val="20"/>
              </w:rPr>
              <w:t>Related key finding</w:t>
            </w:r>
            <w:r w:rsidRPr="00081425">
              <w:rPr>
                <w:rStyle w:val="FootnoteReference"/>
                <w:sz w:val="20"/>
                <w:szCs w:val="20"/>
              </w:rPr>
              <w:footnoteReference w:id="145"/>
            </w:r>
          </w:p>
        </w:tc>
        <w:tc>
          <w:tcPr>
            <w:tcW w:w="1161" w:type="pct"/>
          </w:tcPr>
          <w:p w14:paraId="6CC6EC24" w14:textId="019041B1" w:rsidR="00B03388" w:rsidRPr="00081425" w:rsidRDefault="00B03388" w:rsidP="00F12ECA">
            <w:pPr>
              <w:pStyle w:val="TableBody"/>
              <w:keepNext/>
              <w:keepLines/>
              <w:rPr>
                <w:sz w:val="20"/>
                <w:szCs w:val="20"/>
              </w:rPr>
            </w:pPr>
            <w:r w:rsidRPr="00081425">
              <w:rPr>
                <w:sz w:val="20"/>
                <w:szCs w:val="20"/>
              </w:rPr>
              <w:t xml:space="preserve">Areas for </w:t>
            </w:r>
            <w:r w:rsidR="00A44478">
              <w:rPr>
                <w:sz w:val="20"/>
                <w:szCs w:val="20"/>
              </w:rPr>
              <w:t>improving implementation</w:t>
            </w:r>
          </w:p>
        </w:tc>
        <w:tc>
          <w:tcPr>
            <w:tcW w:w="507" w:type="pct"/>
          </w:tcPr>
          <w:p w14:paraId="265E0B67" w14:textId="77777777" w:rsidR="00B03388" w:rsidRPr="00081425" w:rsidRDefault="00B03388" w:rsidP="00F12ECA">
            <w:pPr>
              <w:pStyle w:val="TableBody"/>
              <w:keepNext/>
              <w:keepLines/>
              <w:jc w:val="center"/>
              <w:rPr>
                <w:sz w:val="20"/>
                <w:szCs w:val="20"/>
              </w:rPr>
            </w:pPr>
            <w:r w:rsidRPr="00081425">
              <w:rPr>
                <w:sz w:val="20"/>
                <w:szCs w:val="20"/>
              </w:rPr>
              <w:t>Priority areas</w:t>
            </w:r>
          </w:p>
        </w:tc>
        <w:tc>
          <w:tcPr>
            <w:tcW w:w="2275" w:type="pct"/>
          </w:tcPr>
          <w:p w14:paraId="00E83EAC" w14:textId="77777777" w:rsidR="00B03388" w:rsidRPr="00081425" w:rsidRDefault="00B03388" w:rsidP="00F12ECA">
            <w:pPr>
              <w:pStyle w:val="TableBody"/>
              <w:keepNext/>
              <w:keepLines/>
              <w:rPr>
                <w:sz w:val="20"/>
                <w:szCs w:val="20"/>
              </w:rPr>
            </w:pPr>
            <w:r w:rsidRPr="00081425">
              <w:rPr>
                <w:sz w:val="20"/>
                <w:szCs w:val="20"/>
              </w:rPr>
              <w:t>Examples of relevant actions</w:t>
            </w:r>
            <w:r w:rsidRPr="00081425">
              <w:rPr>
                <w:rStyle w:val="FootnoteReference"/>
                <w:b w:val="0"/>
                <w:sz w:val="20"/>
                <w:szCs w:val="20"/>
              </w:rPr>
              <w:footnoteReference w:id="146"/>
            </w:r>
          </w:p>
        </w:tc>
      </w:tr>
      <w:tr w:rsidR="00B03388" w:rsidRPr="00081425" w14:paraId="2A4767AF" w14:textId="77777777" w:rsidTr="001551CC">
        <w:trPr>
          <w:cnfStyle w:val="000000100000" w:firstRow="0" w:lastRow="0" w:firstColumn="0" w:lastColumn="0" w:oddVBand="0" w:evenVBand="0" w:oddHBand="1" w:evenHBand="0" w:firstRowFirstColumn="0" w:firstRowLastColumn="0" w:lastRowFirstColumn="0" w:lastRowLastColumn="0"/>
        </w:trPr>
        <w:tc>
          <w:tcPr>
            <w:tcW w:w="1057" w:type="pct"/>
            <w:vMerge w:val="restart"/>
          </w:tcPr>
          <w:p w14:paraId="199710B1" w14:textId="77777777" w:rsidR="00B03388" w:rsidRPr="00081425" w:rsidRDefault="00B03388" w:rsidP="00F12ECA">
            <w:pPr>
              <w:pStyle w:val="TableBody"/>
              <w:keepNext/>
              <w:keepLines/>
              <w:rPr>
                <w:sz w:val="20"/>
                <w:szCs w:val="20"/>
              </w:rPr>
            </w:pPr>
            <w:r w:rsidRPr="00081425">
              <w:rPr>
                <w:sz w:val="20"/>
                <w:szCs w:val="20"/>
              </w:rPr>
              <w:t>Key finding 2: Customer outcomes vary significantly between and within retailers</w:t>
            </w:r>
          </w:p>
        </w:tc>
        <w:tc>
          <w:tcPr>
            <w:tcW w:w="1161" w:type="pct"/>
          </w:tcPr>
          <w:p w14:paraId="53682666" w14:textId="1802CD51" w:rsidR="00B03388" w:rsidRPr="00081425" w:rsidRDefault="00BC4D1F" w:rsidP="00107E29">
            <w:pPr>
              <w:pStyle w:val="TableBullet"/>
              <w:keepNext/>
              <w:keepLines/>
              <w:numPr>
                <w:ilvl w:val="0"/>
                <w:numId w:val="0"/>
              </w:numPr>
              <w:spacing w:before="0" w:line="240" w:lineRule="auto"/>
              <w:rPr>
                <w:sz w:val="20"/>
                <w:szCs w:val="20"/>
              </w:rPr>
            </w:pPr>
            <w:r w:rsidRPr="00081425">
              <w:rPr>
                <w:sz w:val="20"/>
                <w:szCs w:val="20"/>
              </w:rPr>
              <w:t xml:space="preserve">Improve </w:t>
            </w:r>
            <w:r w:rsidR="00107E29" w:rsidRPr="00107E29">
              <w:rPr>
                <w:sz w:val="20"/>
                <w:szCs w:val="20"/>
              </w:rPr>
              <w:t xml:space="preserve">retailers’ </w:t>
            </w:r>
            <w:r w:rsidRPr="00081425">
              <w:rPr>
                <w:sz w:val="20"/>
                <w:szCs w:val="20"/>
              </w:rPr>
              <w:t>effectiveness of establishing and reviewing payment arrangements and plans.</w:t>
            </w:r>
          </w:p>
        </w:tc>
        <w:tc>
          <w:tcPr>
            <w:tcW w:w="507" w:type="pct"/>
          </w:tcPr>
          <w:p w14:paraId="5D95F790" w14:textId="5FEB639B" w:rsidR="00B03388" w:rsidRPr="00081425" w:rsidRDefault="00B03388" w:rsidP="00F12ECA">
            <w:pPr>
              <w:pStyle w:val="TableBody"/>
              <w:keepNext/>
              <w:keepLines/>
              <w:jc w:val="center"/>
              <w:rPr>
                <w:b/>
                <w:color w:val="CE0058" w:themeColor="accent2"/>
                <w:sz w:val="20"/>
                <w:szCs w:val="20"/>
              </w:rPr>
            </w:pPr>
            <w:r w:rsidRPr="00081425">
              <w:rPr>
                <w:b/>
                <w:color w:val="CE0058" w:themeColor="accent2"/>
                <w:sz w:val="20"/>
                <w:szCs w:val="20"/>
              </w:rPr>
              <w:t>Priority</w:t>
            </w:r>
          </w:p>
        </w:tc>
        <w:tc>
          <w:tcPr>
            <w:tcW w:w="2275" w:type="pct"/>
          </w:tcPr>
          <w:p w14:paraId="6454835E" w14:textId="77777777" w:rsidR="00BC4D1F" w:rsidRPr="00081425" w:rsidRDefault="00BC4D1F" w:rsidP="00BC4D1F">
            <w:pPr>
              <w:pStyle w:val="TableBullet"/>
              <w:keepNext/>
              <w:keepLines/>
              <w:numPr>
                <w:ilvl w:val="0"/>
                <w:numId w:val="1"/>
              </w:numPr>
              <w:spacing w:before="0" w:line="240" w:lineRule="auto"/>
              <w:ind w:left="357" w:hanging="357"/>
              <w:rPr>
                <w:sz w:val="20"/>
                <w:szCs w:val="20"/>
              </w:rPr>
            </w:pPr>
            <w:r w:rsidRPr="00081425">
              <w:rPr>
                <w:sz w:val="20"/>
                <w:szCs w:val="20"/>
              </w:rPr>
              <w:t>Provide guidance around retailers’ application of discretion (particularly regarding the perception of a two-year limit).</w:t>
            </w:r>
          </w:p>
          <w:p w14:paraId="1940A75C" w14:textId="77777777" w:rsidR="00BC4D1F" w:rsidRPr="00081425" w:rsidRDefault="00BC4D1F" w:rsidP="00BC4D1F">
            <w:pPr>
              <w:pStyle w:val="TableBullet"/>
              <w:keepNext/>
              <w:keepLines/>
              <w:numPr>
                <w:ilvl w:val="0"/>
                <w:numId w:val="1"/>
              </w:numPr>
              <w:spacing w:before="0" w:line="240" w:lineRule="auto"/>
              <w:ind w:left="357" w:hanging="357"/>
              <w:rPr>
                <w:sz w:val="20"/>
                <w:szCs w:val="20"/>
              </w:rPr>
            </w:pPr>
            <w:r w:rsidRPr="00081425">
              <w:rPr>
                <w:sz w:val="20"/>
                <w:szCs w:val="20"/>
              </w:rPr>
              <w:t>Regular auditing payment plans and processes.</w:t>
            </w:r>
          </w:p>
          <w:p w14:paraId="30B4FC7F" w14:textId="606131B6" w:rsidR="00B03388" w:rsidRPr="00081425" w:rsidRDefault="00BC4D1F" w:rsidP="00F12ECA">
            <w:pPr>
              <w:pStyle w:val="TableBullet"/>
              <w:keepNext/>
              <w:keepLines/>
              <w:numPr>
                <w:ilvl w:val="0"/>
                <w:numId w:val="1"/>
              </w:numPr>
              <w:spacing w:before="0" w:line="240" w:lineRule="auto"/>
              <w:ind w:left="357" w:hanging="357"/>
              <w:rPr>
                <w:sz w:val="20"/>
                <w:szCs w:val="20"/>
              </w:rPr>
            </w:pPr>
            <w:r w:rsidRPr="00081425">
              <w:rPr>
                <w:sz w:val="20"/>
                <w:szCs w:val="20"/>
              </w:rPr>
              <w:t>Trial proactive payment plan reviews at regular intervals with customers.</w:t>
            </w:r>
          </w:p>
        </w:tc>
      </w:tr>
      <w:tr w:rsidR="00DC526B" w:rsidRPr="00081425" w14:paraId="0EDEB585" w14:textId="77777777" w:rsidTr="001551CC">
        <w:trPr>
          <w:cnfStyle w:val="000000010000" w:firstRow="0" w:lastRow="0" w:firstColumn="0" w:lastColumn="0" w:oddVBand="0" w:evenVBand="0" w:oddHBand="0" w:evenHBand="1" w:firstRowFirstColumn="0" w:firstRowLastColumn="0" w:lastRowFirstColumn="0" w:lastRowLastColumn="0"/>
        </w:trPr>
        <w:tc>
          <w:tcPr>
            <w:tcW w:w="1057" w:type="pct"/>
            <w:vMerge/>
          </w:tcPr>
          <w:p w14:paraId="0149AFAE" w14:textId="77777777" w:rsidR="00DC526B" w:rsidRPr="00081425" w:rsidRDefault="00DC526B" w:rsidP="00DC526B">
            <w:pPr>
              <w:pStyle w:val="TableBody"/>
              <w:rPr>
                <w:sz w:val="20"/>
                <w:szCs w:val="20"/>
              </w:rPr>
            </w:pPr>
          </w:p>
        </w:tc>
        <w:tc>
          <w:tcPr>
            <w:tcW w:w="1161" w:type="pct"/>
          </w:tcPr>
          <w:p w14:paraId="02E5671A" w14:textId="70B97328" w:rsidR="00DC526B" w:rsidRPr="00081425" w:rsidRDefault="00DC526B" w:rsidP="00DC526B">
            <w:pPr>
              <w:pStyle w:val="TableBullet"/>
              <w:keepNext/>
              <w:keepLines/>
              <w:numPr>
                <w:ilvl w:val="0"/>
                <w:numId w:val="0"/>
              </w:numPr>
              <w:spacing w:before="0" w:line="240" w:lineRule="auto"/>
              <w:rPr>
                <w:sz w:val="20"/>
                <w:szCs w:val="20"/>
              </w:rPr>
            </w:pPr>
            <w:r w:rsidRPr="00081425">
              <w:rPr>
                <w:sz w:val="20"/>
                <w:szCs w:val="20"/>
              </w:rPr>
              <w:t>Improve customer access to payment arrangements and plans.</w:t>
            </w:r>
          </w:p>
        </w:tc>
        <w:tc>
          <w:tcPr>
            <w:tcW w:w="507" w:type="pct"/>
          </w:tcPr>
          <w:p w14:paraId="35B10F76" w14:textId="77777777" w:rsidR="00DC526B" w:rsidRPr="00081425" w:rsidRDefault="00DC526B" w:rsidP="00DC526B">
            <w:pPr>
              <w:pStyle w:val="TableBody"/>
              <w:jc w:val="center"/>
              <w:rPr>
                <w:color w:val="CE0058" w:themeColor="accent2"/>
                <w:sz w:val="20"/>
                <w:szCs w:val="20"/>
              </w:rPr>
            </w:pPr>
          </w:p>
        </w:tc>
        <w:tc>
          <w:tcPr>
            <w:tcW w:w="2275" w:type="pct"/>
          </w:tcPr>
          <w:p w14:paraId="1583C8E2" w14:textId="77777777" w:rsidR="00DC526B" w:rsidRPr="00081425" w:rsidRDefault="00DC526B" w:rsidP="00DC526B">
            <w:pPr>
              <w:pStyle w:val="TableBullet"/>
              <w:keepNext/>
              <w:keepLines/>
              <w:numPr>
                <w:ilvl w:val="0"/>
                <w:numId w:val="1"/>
              </w:numPr>
              <w:spacing w:before="0" w:line="240" w:lineRule="auto"/>
              <w:ind w:left="357" w:hanging="357"/>
              <w:rPr>
                <w:sz w:val="20"/>
                <w:szCs w:val="20"/>
              </w:rPr>
            </w:pPr>
            <w:r w:rsidRPr="00081425">
              <w:rPr>
                <w:sz w:val="20"/>
                <w:szCs w:val="20"/>
              </w:rPr>
              <w:t>Trial the efficacy of direct debit or other flexible forms of payments in helping to manage arrears</w:t>
            </w:r>
          </w:p>
          <w:p w14:paraId="7BBE499C" w14:textId="77777777" w:rsidR="00DC526B" w:rsidRPr="00081425" w:rsidRDefault="00DC526B" w:rsidP="00DC526B">
            <w:pPr>
              <w:pStyle w:val="TableBullet"/>
              <w:keepNext/>
              <w:keepLines/>
              <w:numPr>
                <w:ilvl w:val="0"/>
                <w:numId w:val="1"/>
              </w:numPr>
              <w:spacing w:before="0" w:line="240" w:lineRule="auto"/>
              <w:ind w:left="357" w:hanging="357"/>
              <w:rPr>
                <w:sz w:val="20"/>
                <w:szCs w:val="20"/>
              </w:rPr>
            </w:pPr>
            <w:r w:rsidRPr="00081425">
              <w:rPr>
                <w:sz w:val="20"/>
                <w:szCs w:val="20"/>
              </w:rPr>
              <w:t>Trial easy access to bills, usage history, and payment options via mobile applications or online portals.</w:t>
            </w:r>
          </w:p>
          <w:p w14:paraId="64AAFDFD" w14:textId="4E1AD8C3" w:rsidR="00DC526B" w:rsidRPr="00081425" w:rsidRDefault="00DC526B" w:rsidP="00DC526B">
            <w:pPr>
              <w:pStyle w:val="TableBullet"/>
              <w:keepNext/>
              <w:keepLines/>
              <w:numPr>
                <w:ilvl w:val="0"/>
                <w:numId w:val="1"/>
              </w:numPr>
              <w:spacing w:before="0" w:line="240" w:lineRule="auto"/>
              <w:ind w:left="357" w:hanging="357"/>
              <w:rPr>
                <w:sz w:val="20"/>
                <w:szCs w:val="20"/>
              </w:rPr>
            </w:pPr>
            <w:r w:rsidRPr="00081425">
              <w:rPr>
                <w:sz w:val="20"/>
                <w:szCs w:val="20"/>
              </w:rPr>
              <w:t>Trial new self-service functions to ensure that customers have the agency to explore options.</w:t>
            </w:r>
          </w:p>
        </w:tc>
      </w:tr>
      <w:tr w:rsidR="00B03388" w:rsidRPr="00081425" w14:paraId="175066A7" w14:textId="77777777" w:rsidTr="001551CC">
        <w:trPr>
          <w:cnfStyle w:val="000000100000" w:firstRow="0" w:lastRow="0" w:firstColumn="0" w:lastColumn="0" w:oddVBand="0" w:evenVBand="0" w:oddHBand="1" w:evenHBand="0" w:firstRowFirstColumn="0" w:firstRowLastColumn="0" w:lastRowFirstColumn="0" w:lastRowLastColumn="0"/>
        </w:trPr>
        <w:tc>
          <w:tcPr>
            <w:tcW w:w="1057" w:type="pct"/>
            <w:vMerge/>
          </w:tcPr>
          <w:p w14:paraId="42979B73" w14:textId="77777777" w:rsidR="00B03388" w:rsidRPr="00081425" w:rsidRDefault="00B03388" w:rsidP="00A92E19">
            <w:pPr>
              <w:pStyle w:val="TableBody"/>
              <w:rPr>
                <w:sz w:val="20"/>
                <w:szCs w:val="20"/>
              </w:rPr>
            </w:pPr>
          </w:p>
        </w:tc>
        <w:tc>
          <w:tcPr>
            <w:tcW w:w="1161" w:type="pct"/>
          </w:tcPr>
          <w:p w14:paraId="4D335781" w14:textId="46A72820" w:rsidR="00B03388" w:rsidRPr="00081425" w:rsidRDefault="00B12AFC" w:rsidP="00732F86">
            <w:pPr>
              <w:pStyle w:val="TableBullet"/>
              <w:keepNext/>
              <w:keepLines/>
              <w:numPr>
                <w:ilvl w:val="0"/>
                <w:numId w:val="0"/>
              </w:numPr>
              <w:spacing w:before="0" w:line="240" w:lineRule="auto"/>
              <w:rPr>
                <w:sz w:val="20"/>
                <w:szCs w:val="20"/>
              </w:rPr>
            </w:pPr>
            <w:r w:rsidRPr="00081425">
              <w:rPr>
                <w:sz w:val="20"/>
                <w:szCs w:val="20"/>
              </w:rPr>
              <w:t>Improve retailer processes to ensure eligible customers are receiving concessions and utility relief grants.</w:t>
            </w:r>
          </w:p>
        </w:tc>
        <w:tc>
          <w:tcPr>
            <w:tcW w:w="507" w:type="pct"/>
          </w:tcPr>
          <w:p w14:paraId="45B0C9B4" w14:textId="0DF7BAF3" w:rsidR="00B03388" w:rsidRPr="00081425" w:rsidRDefault="00B03388" w:rsidP="00A92E19">
            <w:pPr>
              <w:pStyle w:val="TableBody"/>
              <w:jc w:val="center"/>
              <w:rPr>
                <w:rFonts w:ascii="Wingdings" w:eastAsia="Wingdings" w:hAnsi="Wingdings" w:cs="Wingdings"/>
                <w:color w:val="CE0058" w:themeColor="accent2"/>
                <w:sz w:val="20"/>
                <w:szCs w:val="20"/>
              </w:rPr>
            </w:pPr>
            <w:r w:rsidRPr="00081425">
              <w:rPr>
                <w:b/>
                <w:color w:val="CE0058" w:themeColor="accent2"/>
                <w:sz w:val="20"/>
                <w:szCs w:val="20"/>
              </w:rPr>
              <w:t>Priority</w:t>
            </w:r>
          </w:p>
        </w:tc>
        <w:tc>
          <w:tcPr>
            <w:tcW w:w="2275" w:type="pct"/>
          </w:tcPr>
          <w:p w14:paraId="2A36D010" w14:textId="1E2ADD63" w:rsidR="00B03388" w:rsidRPr="00081425" w:rsidRDefault="00B03388" w:rsidP="00B03388">
            <w:pPr>
              <w:pStyle w:val="TableBullet"/>
              <w:keepNext/>
              <w:keepLines/>
              <w:numPr>
                <w:ilvl w:val="0"/>
                <w:numId w:val="1"/>
              </w:numPr>
              <w:spacing w:before="0" w:line="240" w:lineRule="auto"/>
              <w:ind w:left="357" w:hanging="357"/>
              <w:rPr>
                <w:sz w:val="20"/>
                <w:szCs w:val="20"/>
              </w:rPr>
            </w:pPr>
            <w:r w:rsidRPr="00081425">
              <w:rPr>
                <w:sz w:val="20"/>
                <w:szCs w:val="20"/>
              </w:rPr>
              <w:t>Trial proactive measures to help customers get access to energy concessions.</w:t>
            </w:r>
          </w:p>
          <w:p w14:paraId="13D8CF34" w14:textId="77777777" w:rsidR="00B03388" w:rsidRPr="00081425" w:rsidRDefault="00B03388" w:rsidP="00B03388">
            <w:pPr>
              <w:pStyle w:val="TableBullet"/>
              <w:keepNext/>
              <w:keepLines/>
              <w:numPr>
                <w:ilvl w:val="0"/>
                <w:numId w:val="1"/>
              </w:numPr>
              <w:spacing w:before="0" w:line="240" w:lineRule="auto"/>
              <w:ind w:left="357" w:hanging="357"/>
              <w:rPr>
                <w:sz w:val="20"/>
                <w:szCs w:val="20"/>
              </w:rPr>
            </w:pPr>
            <w:r w:rsidRPr="00081425">
              <w:rPr>
                <w:sz w:val="20"/>
                <w:szCs w:val="20"/>
              </w:rPr>
              <w:t xml:space="preserve">Trial automated processes for notifying customers of expired concessions. </w:t>
            </w:r>
          </w:p>
          <w:p w14:paraId="07E5A5EF" w14:textId="77777777" w:rsidR="00B03388" w:rsidRDefault="00B03388" w:rsidP="00B03388">
            <w:pPr>
              <w:pStyle w:val="TableBullet"/>
              <w:keepNext/>
              <w:keepLines/>
              <w:numPr>
                <w:ilvl w:val="0"/>
                <w:numId w:val="1"/>
              </w:numPr>
              <w:spacing w:before="0" w:line="240" w:lineRule="auto"/>
              <w:ind w:left="357" w:hanging="357"/>
              <w:rPr>
                <w:sz w:val="20"/>
                <w:szCs w:val="20"/>
              </w:rPr>
            </w:pPr>
            <w:r w:rsidRPr="00081425">
              <w:rPr>
                <w:sz w:val="20"/>
                <w:szCs w:val="20"/>
              </w:rPr>
              <w:t>Trial processes that allow customers to update their concessions online.</w:t>
            </w:r>
          </w:p>
          <w:p w14:paraId="101B83EA" w14:textId="77777777" w:rsidR="00B12AFC" w:rsidRPr="00081425" w:rsidRDefault="00B12AFC" w:rsidP="00B12AFC">
            <w:pPr>
              <w:pStyle w:val="TableBullet"/>
              <w:keepNext/>
              <w:keepLines/>
              <w:numPr>
                <w:ilvl w:val="0"/>
                <w:numId w:val="1"/>
              </w:numPr>
              <w:spacing w:before="0" w:line="240" w:lineRule="auto"/>
              <w:ind w:left="357" w:hanging="357"/>
              <w:rPr>
                <w:sz w:val="20"/>
                <w:szCs w:val="20"/>
              </w:rPr>
            </w:pPr>
            <w:r w:rsidRPr="00081425">
              <w:rPr>
                <w:sz w:val="20"/>
                <w:szCs w:val="20"/>
              </w:rPr>
              <w:t xml:space="preserve">Increase the proactive checking for potential </w:t>
            </w:r>
            <w:r w:rsidRPr="00081425">
              <w:rPr>
                <w:sz w:val="20"/>
                <w:szCs w:val="20"/>
              </w:rPr>
              <w:lastRenderedPageBreak/>
              <w:t xml:space="preserve">eligibility for concessions or </w:t>
            </w:r>
            <w:r w:rsidRPr="00B12AFC">
              <w:rPr>
                <w:sz w:val="20"/>
                <w:szCs w:val="20"/>
              </w:rPr>
              <w:t>utility relief grants</w:t>
            </w:r>
            <w:r w:rsidRPr="00081425">
              <w:rPr>
                <w:sz w:val="20"/>
                <w:szCs w:val="20"/>
              </w:rPr>
              <w:t xml:space="preserve"> upon an enquiry from a customer (or at regular intervals with customers). </w:t>
            </w:r>
          </w:p>
          <w:p w14:paraId="7F91CC1D" w14:textId="0AA0636E" w:rsidR="00B03388" w:rsidRPr="00081425" w:rsidRDefault="00B12AFC" w:rsidP="00B03388">
            <w:pPr>
              <w:pStyle w:val="TableBullet"/>
              <w:keepNext/>
              <w:keepLines/>
              <w:numPr>
                <w:ilvl w:val="0"/>
                <w:numId w:val="1"/>
              </w:numPr>
              <w:spacing w:before="0" w:line="240" w:lineRule="auto"/>
              <w:ind w:left="357" w:hanging="357"/>
              <w:rPr>
                <w:sz w:val="20"/>
                <w:szCs w:val="20"/>
              </w:rPr>
            </w:pPr>
            <w:r w:rsidRPr="00081425">
              <w:rPr>
                <w:sz w:val="20"/>
                <w:szCs w:val="20"/>
              </w:rPr>
              <w:t xml:space="preserve">Share better practice of retailers with high submission and successful application rates for </w:t>
            </w:r>
            <w:r w:rsidRPr="00B12AFC">
              <w:rPr>
                <w:sz w:val="20"/>
                <w:szCs w:val="20"/>
              </w:rPr>
              <w:t>utility relief grants</w:t>
            </w:r>
            <w:r w:rsidRPr="00081425">
              <w:rPr>
                <w:sz w:val="20"/>
                <w:szCs w:val="20"/>
              </w:rPr>
              <w:t>.</w:t>
            </w:r>
          </w:p>
        </w:tc>
      </w:tr>
      <w:tr w:rsidR="00B03388" w:rsidRPr="00081425" w14:paraId="4C91D880" w14:textId="77777777" w:rsidTr="001551CC">
        <w:trPr>
          <w:cnfStyle w:val="000000010000" w:firstRow="0" w:lastRow="0" w:firstColumn="0" w:lastColumn="0" w:oddVBand="0" w:evenVBand="0" w:oddHBand="0" w:evenHBand="1" w:firstRowFirstColumn="0" w:firstRowLastColumn="0" w:lastRowFirstColumn="0" w:lastRowLastColumn="0"/>
        </w:trPr>
        <w:tc>
          <w:tcPr>
            <w:tcW w:w="1057" w:type="pct"/>
            <w:vMerge/>
          </w:tcPr>
          <w:p w14:paraId="027EE0B9" w14:textId="77777777" w:rsidR="00B03388" w:rsidRPr="00081425" w:rsidRDefault="00B03388" w:rsidP="00A92E19">
            <w:pPr>
              <w:pStyle w:val="TableBody"/>
              <w:rPr>
                <w:sz w:val="20"/>
                <w:szCs w:val="20"/>
              </w:rPr>
            </w:pPr>
          </w:p>
        </w:tc>
        <w:tc>
          <w:tcPr>
            <w:tcW w:w="1161" w:type="pct"/>
          </w:tcPr>
          <w:p w14:paraId="587FDAB1" w14:textId="6BA7C393" w:rsidR="00B03388" w:rsidRPr="00081425" w:rsidRDefault="00B03388" w:rsidP="00732F86">
            <w:pPr>
              <w:pStyle w:val="TableBullet"/>
              <w:keepNext/>
              <w:keepLines/>
              <w:numPr>
                <w:ilvl w:val="0"/>
                <w:numId w:val="0"/>
              </w:numPr>
              <w:spacing w:before="0" w:line="240" w:lineRule="auto"/>
              <w:rPr>
                <w:sz w:val="20"/>
                <w:szCs w:val="20"/>
              </w:rPr>
            </w:pPr>
            <w:r w:rsidRPr="00081425">
              <w:rPr>
                <w:sz w:val="20"/>
                <w:szCs w:val="20"/>
              </w:rPr>
              <w:t xml:space="preserve">Improve appropriateness and timing of </w:t>
            </w:r>
            <w:r w:rsidR="000175A9">
              <w:rPr>
                <w:sz w:val="20"/>
                <w:szCs w:val="20"/>
              </w:rPr>
              <w:t>assistance</w:t>
            </w:r>
            <w:r w:rsidRPr="00081425">
              <w:rPr>
                <w:sz w:val="20"/>
                <w:szCs w:val="20"/>
              </w:rPr>
              <w:t xml:space="preserve"> provided </w:t>
            </w:r>
            <w:r w:rsidR="00107E29" w:rsidRPr="00107E29">
              <w:rPr>
                <w:sz w:val="20"/>
                <w:szCs w:val="20"/>
              </w:rPr>
              <w:t xml:space="preserve">by retailers </w:t>
            </w:r>
            <w:r w:rsidRPr="00081425">
              <w:rPr>
                <w:sz w:val="20"/>
                <w:szCs w:val="20"/>
              </w:rPr>
              <w:t>to customers about lowering energy usage and costs.</w:t>
            </w:r>
          </w:p>
        </w:tc>
        <w:tc>
          <w:tcPr>
            <w:tcW w:w="507" w:type="pct"/>
          </w:tcPr>
          <w:p w14:paraId="3BF5AF11" w14:textId="6958C2D1" w:rsidR="00B03388" w:rsidRPr="00081425" w:rsidRDefault="00B03388" w:rsidP="00A92E19">
            <w:pPr>
              <w:pStyle w:val="TableBody"/>
              <w:jc w:val="center"/>
              <w:rPr>
                <w:color w:val="CE0058" w:themeColor="accent2"/>
                <w:sz w:val="20"/>
                <w:szCs w:val="20"/>
                <w:lang w:val="en-AU"/>
              </w:rPr>
            </w:pPr>
            <w:r w:rsidRPr="00081425">
              <w:rPr>
                <w:b/>
                <w:color w:val="CE0058" w:themeColor="accent2"/>
                <w:sz w:val="20"/>
                <w:szCs w:val="20"/>
              </w:rPr>
              <w:t>Priority</w:t>
            </w:r>
          </w:p>
        </w:tc>
        <w:tc>
          <w:tcPr>
            <w:tcW w:w="2275" w:type="pct"/>
          </w:tcPr>
          <w:p w14:paraId="5B49E5D5" w14:textId="77777777" w:rsidR="00B03388" w:rsidRPr="00081425" w:rsidRDefault="00B03388" w:rsidP="00B03388">
            <w:pPr>
              <w:pStyle w:val="TableBullet"/>
              <w:keepNext/>
              <w:keepLines/>
              <w:numPr>
                <w:ilvl w:val="0"/>
                <w:numId w:val="1"/>
              </w:numPr>
              <w:spacing w:before="0" w:line="240" w:lineRule="auto"/>
              <w:ind w:left="357" w:hanging="357"/>
              <w:rPr>
                <w:sz w:val="20"/>
                <w:szCs w:val="20"/>
              </w:rPr>
            </w:pPr>
            <w:r w:rsidRPr="00081425">
              <w:rPr>
                <w:sz w:val="20"/>
                <w:szCs w:val="20"/>
              </w:rPr>
              <w:t xml:space="preserve">Trial targeted or more regular prompts or messages to customers about lowering energy use and increasing energy efficiency either at specific intervals, or when high usage is identified. </w:t>
            </w:r>
          </w:p>
          <w:p w14:paraId="3D03013C" w14:textId="77777777" w:rsidR="00B03388" w:rsidRPr="00081425" w:rsidRDefault="00B03388" w:rsidP="00B03388">
            <w:pPr>
              <w:pStyle w:val="TableBullet"/>
              <w:keepNext/>
              <w:keepLines/>
              <w:numPr>
                <w:ilvl w:val="0"/>
                <w:numId w:val="1"/>
              </w:numPr>
              <w:spacing w:before="0" w:line="240" w:lineRule="auto"/>
              <w:ind w:left="357" w:hanging="357"/>
              <w:rPr>
                <w:sz w:val="20"/>
                <w:szCs w:val="20"/>
              </w:rPr>
            </w:pPr>
            <w:r w:rsidRPr="00081425">
              <w:rPr>
                <w:sz w:val="20"/>
                <w:szCs w:val="20"/>
              </w:rPr>
              <w:t xml:space="preserve">Proactive provision of energy efficiency advice to customers if they hit trigger points of high energy use. </w:t>
            </w:r>
          </w:p>
          <w:p w14:paraId="37532101" w14:textId="77777777" w:rsidR="00B03388" w:rsidRPr="00081425" w:rsidRDefault="00B03388" w:rsidP="00B03388">
            <w:pPr>
              <w:pStyle w:val="TableBullet"/>
              <w:keepNext/>
              <w:keepLines/>
              <w:numPr>
                <w:ilvl w:val="0"/>
                <w:numId w:val="1"/>
              </w:numPr>
              <w:spacing w:before="0" w:line="240" w:lineRule="auto"/>
              <w:ind w:left="357" w:hanging="357"/>
              <w:rPr>
                <w:sz w:val="20"/>
                <w:szCs w:val="20"/>
              </w:rPr>
            </w:pPr>
            <w:r w:rsidRPr="00081425">
              <w:rPr>
                <w:sz w:val="20"/>
                <w:szCs w:val="20"/>
              </w:rPr>
              <w:t xml:space="preserve">Pilot new approaches to energy efficiency audits and high bill checklists provided or available to customers. </w:t>
            </w:r>
          </w:p>
          <w:p w14:paraId="0B2604C6" w14:textId="77777777" w:rsidR="00B03388" w:rsidRPr="00081425" w:rsidRDefault="00B03388" w:rsidP="00B03388">
            <w:pPr>
              <w:pStyle w:val="TableBullet"/>
              <w:keepNext/>
              <w:keepLines/>
              <w:numPr>
                <w:ilvl w:val="0"/>
                <w:numId w:val="1"/>
              </w:numPr>
              <w:spacing w:before="0" w:line="240" w:lineRule="auto"/>
              <w:ind w:left="357" w:hanging="357"/>
              <w:rPr>
                <w:sz w:val="20"/>
                <w:szCs w:val="20"/>
              </w:rPr>
            </w:pPr>
            <w:r w:rsidRPr="00081425">
              <w:rPr>
                <w:sz w:val="20"/>
                <w:szCs w:val="20"/>
              </w:rPr>
              <w:t>Trial various energy reduction measures, such as appliance upgrades, and share learnings.</w:t>
            </w:r>
          </w:p>
        </w:tc>
      </w:tr>
      <w:tr w:rsidR="00B03388" w:rsidRPr="00081425" w14:paraId="2B76D1ED" w14:textId="77777777" w:rsidTr="001551CC">
        <w:trPr>
          <w:cnfStyle w:val="000000100000" w:firstRow="0" w:lastRow="0" w:firstColumn="0" w:lastColumn="0" w:oddVBand="0" w:evenVBand="0" w:oddHBand="1" w:evenHBand="0" w:firstRowFirstColumn="0" w:firstRowLastColumn="0" w:lastRowFirstColumn="0" w:lastRowLastColumn="0"/>
        </w:trPr>
        <w:tc>
          <w:tcPr>
            <w:tcW w:w="1057" w:type="pct"/>
            <w:vMerge/>
          </w:tcPr>
          <w:p w14:paraId="122B85A9" w14:textId="77777777" w:rsidR="00B03388" w:rsidRPr="00081425" w:rsidRDefault="00B03388" w:rsidP="00A92E19">
            <w:pPr>
              <w:pStyle w:val="TableBody"/>
              <w:rPr>
                <w:sz w:val="20"/>
                <w:szCs w:val="20"/>
              </w:rPr>
            </w:pPr>
          </w:p>
        </w:tc>
        <w:tc>
          <w:tcPr>
            <w:tcW w:w="1161" w:type="pct"/>
          </w:tcPr>
          <w:p w14:paraId="2AB37219" w14:textId="778B25BE" w:rsidR="00B03388" w:rsidRPr="00081425" w:rsidRDefault="00B03388" w:rsidP="00732F86">
            <w:pPr>
              <w:pStyle w:val="TableBullet"/>
              <w:keepNext/>
              <w:keepLines/>
              <w:numPr>
                <w:ilvl w:val="0"/>
                <w:numId w:val="0"/>
              </w:numPr>
              <w:spacing w:before="0" w:line="240" w:lineRule="auto"/>
              <w:rPr>
                <w:sz w:val="20"/>
                <w:szCs w:val="20"/>
              </w:rPr>
            </w:pPr>
            <w:r w:rsidRPr="00561A71">
              <w:rPr>
                <w:sz w:val="20"/>
                <w:szCs w:val="20"/>
              </w:rPr>
              <w:t xml:space="preserve">Increase </w:t>
            </w:r>
            <w:r w:rsidR="00107E29" w:rsidRPr="00107E29">
              <w:rPr>
                <w:sz w:val="20"/>
                <w:szCs w:val="20"/>
              </w:rPr>
              <w:t>retailers’</w:t>
            </w:r>
            <w:r w:rsidRPr="00561A71">
              <w:rPr>
                <w:sz w:val="20"/>
                <w:szCs w:val="20"/>
              </w:rPr>
              <w:t xml:space="preserve"> understanding of customers </w:t>
            </w:r>
            <w:r w:rsidR="00A0473F" w:rsidRPr="00561A71">
              <w:rPr>
                <w:sz w:val="20"/>
                <w:szCs w:val="20"/>
              </w:rPr>
              <w:t>in</w:t>
            </w:r>
            <w:r w:rsidRPr="00561A71">
              <w:rPr>
                <w:sz w:val="20"/>
                <w:szCs w:val="20"/>
              </w:rPr>
              <w:t xml:space="preserve"> payment difficulty </w:t>
            </w:r>
            <w:r w:rsidR="00A0473F" w:rsidRPr="00561A71">
              <w:rPr>
                <w:sz w:val="20"/>
                <w:szCs w:val="20"/>
              </w:rPr>
              <w:t>with</w:t>
            </w:r>
            <w:r w:rsidRPr="00561A71">
              <w:rPr>
                <w:sz w:val="20"/>
                <w:szCs w:val="20"/>
              </w:rPr>
              <w:t xml:space="preserve"> high energy</w:t>
            </w:r>
            <w:r w:rsidR="00A0473F" w:rsidRPr="00561A71">
              <w:rPr>
                <w:sz w:val="20"/>
                <w:szCs w:val="20"/>
              </w:rPr>
              <w:t xml:space="preserve"> use,</w:t>
            </w:r>
            <w:r w:rsidRPr="00561A71">
              <w:rPr>
                <w:sz w:val="20"/>
                <w:szCs w:val="20"/>
              </w:rPr>
              <w:t xml:space="preserve"> to help </w:t>
            </w:r>
            <w:r w:rsidR="00A0473F" w:rsidRPr="00561A71">
              <w:rPr>
                <w:sz w:val="20"/>
                <w:szCs w:val="20"/>
              </w:rPr>
              <w:t xml:space="preserve">to </w:t>
            </w:r>
            <w:r w:rsidRPr="00561A71">
              <w:rPr>
                <w:sz w:val="20"/>
                <w:szCs w:val="20"/>
              </w:rPr>
              <w:t xml:space="preserve">tailor </w:t>
            </w:r>
            <w:r w:rsidR="00A0473F" w:rsidRPr="00561A71">
              <w:rPr>
                <w:sz w:val="20"/>
                <w:szCs w:val="20"/>
              </w:rPr>
              <w:t xml:space="preserve">approaches to </w:t>
            </w:r>
            <w:r w:rsidRPr="00561A71">
              <w:rPr>
                <w:sz w:val="20"/>
                <w:szCs w:val="20"/>
              </w:rPr>
              <w:t>energy efficiency.</w:t>
            </w:r>
          </w:p>
        </w:tc>
        <w:tc>
          <w:tcPr>
            <w:tcW w:w="507" w:type="pct"/>
          </w:tcPr>
          <w:p w14:paraId="412CEA6B" w14:textId="77777777" w:rsidR="00B03388" w:rsidRPr="00081425" w:rsidRDefault="00B03388" w:rsidP="00A92E19">
            <w:pPr>
              <w:pStyle w:val="TableBody"/>
              <w:jc w:val="center"/>
              <w:rPr>
                <w:rFonts w:ascii="Wingdings" w:eastAsia="Wingdings" w:hAnsi="Wingdings" w:cs="Wingdings"/>
                <w:color w:val="CE0058" w:themeColor="accent2"/>
                <w:sz w:val="20"/>
                <w:szCs w:val="20"/>
              </w:rPr>
            </w:pPr>
          </w:p>
        </w:tc>
        <w:tc>
          <w:tcPr>
            <w:tcW w:w="2275" w:type="pct"/>
          </w:tcPr>
          <w:p w14:paraId="7329F3B1" w14:textId="77777777" w:rsidR="00B03388" w:rsidRPr="00081425" w:rsidRDefault="00B03388" w:rsidP="00B03388">
            <w:pPr>
              <w:pStyle w:val="TableBullet"/>
              <w:keepNext/>
              <w:keepLines/>
              <w:numPr>
                <w:ilvl w:val="0"/>
                <w:numId w:val="1"/>
              </w:numPr>
              <w:spacing w:before="0" w:line="240" w:lineRule="auto"/>
              <w:ind w:left="357" w:hanging="357"/>
              <w:rPr>
                <w:sz w:val="20"/>
                <w:szCs w:val="20"/>
              </w:rPr>
            </w:pPr>
            <w:r w:rsidRPr="00081425">
              <w:rPr>
                <w:sz w:val="20"/>
                <w:szCs w:val="20"/>
              </w:rPr>
              <w:t>Research into understanding the experiences of customers facing payment difficulty, to help tailor energy efficiency measures.</w:t>
            </w:r>
          </w:p>
        </w:tc>
      </w:tr>
      <w:tr w:rsidR="00B03388" w:rsidRPr="00081425" w14:paraId="04C6EB86" w14:textId="77777777" w:rsidTr="001551CC">
        <w:trPr>
          <w:cnfStyle w:val="000000010000" w:firstRow="0" w:lastRow="0" w:firstColumn="0" w:lastColumn="0" w:oddVBand="0" w:evenVBand="0" w:oddHBand="0" w:evenHBand="1" w:firstRowFirstColumn="0" w:firstRowLastColumn="0" w:lastRowFirstColumn="0" w:lastRowLastColumn="0"/>
        </w:trPr>
        <w:tc>
          <w:tcPr>
            <w:tcW w:w="1057" w:type="pct"/>
            <w:vMerge/>
          </w:tcPr>
          <w:p w14:paraId="0860380F" w14:textId="77777777" w:rsidR="00B03388" w:rsidRPr="00081425" w:rsidRDefault="00B03388" w:rsidP="00A92E19">
            <w:pPr>
              <w:pStyle w:val="TableBody"/>
              <w:rPr>
                <w:sz w:val="20"/>
                <w:szCs w:val="20"/>
              </w:rPr>
            </w:pPr>
          </w:p>
        </w:tc>
        <w:tc>
          <w:tcPr>
            <w:tcW w:w="1161" w:type="pct"/>
          </w:tcPr>
          <w:p w14:paraId="6E534B72" w14:textId="07498693" w:rsidR="00B03388" w:rsidRPr="00081425" w:rsidRDefault="00107E29" w:rsidP="00732F86">
            <w:pPr>
              <w:pStyle w:val="TableBullet"/>
              <w:keepNext/>
              <w:keepLines/>
              <w:numPr>
                <w:ilvl w:val="0"/>
                <w:numId w:val="0"/>
              </w:numPr>
              <w:spacing w:before="0" w:line="240" w:lineRule="auto"/>
              <w:rPr>
                <w:sz w:val="20"/>
                <w:szCs w:val="20"/>
              </w:rPr>
            </w:pPr>
            <w:r w:rsidRPr="00107E29">
              <w:rPr>
                <w:sz w:val="20"/>
                <w:szCs w:val="20"/>
              </w:rPr>
              <w:t>Improve the way that retailers link customers</w:t>
            </w:r>
            <w:r w:rsidR="00B03388" w:rsidRPr="00081425">
              <w:rPr>
                <w:sz w:val="20"/>
                <w:szCs w:val="20"/>
              </w:rPr>
              <w:t xml:space="preserve"> to existing energy efficiency and usage schemes and programs.</w:t>
            </w:r>
          </w:p>
        </w:tc>
        <w:tc>
          <w:tcPr>
            <w:tcW w:w="507" w:type="pct"/>
          </w:tcPr>
          <w:p w14:paraId="0C8256DE" w14:textId="77777777" w:rsidR="00B03388" w:rsidRPr="00081425" w:rsidRDefault="00B03388" w:rsidP="00A92E19">
            <w:pPr>
              <w:pStyle w:val="TableBody"/>
              <w:jc w:val="center"/>
              <w:rPr>
                <w:rFonts w:ascii="Wingdings" w:eastAsia="Wingdings" w:hAnsi="Wingdings" w:cs="Wingdings"/>
                <w:color w:val="CE0058" w:themeColor="accent2"/>
                <w:sz w:val="20"/>
                <w:szCs w:val="20"/>
              </w:rPr>
            </w:pPr>
          </w:p>
        </w:tc>
        <w:tc>
          <w:tcPr>
            <w:tcW w:w="2275" w:type="pct"/>
          </w:tcPr>
          <w:p w14:paraId="7F4B3F43" w14:textId="15783988" w:rsidR="00B03388" w:rsidRPr="00081425" w:rsidRDefault="00B03388" w:rsidP="00B03388">
            <w:pPr>
              <w:pStyle w:val="TableBullet"/>
              <w:keepNext/>
              <w:keepLines/>
              <w:numPr>
                <w:ilvl w:val="0"/>
                <w:numId w:val="1"/>
              </w:numPr>
              <w:spacing w:before="0" w:line="240" w:lineRule="auto"/>
              <w:ind w:left="357" w:hanging="357"/>
              <w:rPr>
                <w:sz w:val="20"/>
                <w:szCs w:val="20"/>
              </w:rPr>
            </w:pPr>
            <w:r w:rsidRPr="00081425">
              <w:rPr>
                <w:sz w:val="20"/>
                <w:szCs w:val="20"/>
              </w:rPr>
              <w:t xml:space="preserve">Explore possible </w:t>
            </w:r>
            <w:r w:rsidR="001200EF" w:rsidRPr="00081425">
              <w:rPr>
                <w:sz w:val="20"/>
                <w:szCs w:val="20"/>
              </w:rPr>
              <w:t>links with</w:t>
            </w:r>
            <w:r w:rsidRPr="00081425">
              <w:rPr>
                <w:sz w:val="20"/>
                <w:szCs w:val="20"/>
              </w:rPr>
              <w:t xml:space="preserve"> the Victorian Energy Upgrades scheme or other schemes and programs to support customers experiencing payment difficulty with energy efficiency options.</w:t>
            </w:r>
          </w:p>
        </w:tc>
      </w:tr>
      <w:tr w:rsidR="00B03388" w:rsidRPr="00081425" w14:paraId="53EE3BF1" w14:textId="77777777" w:rsidTr="001551CC">
        <w:trPr>
          <w:cnfStyle w:val="000000100000" w:firstRow="0" w:lastRow="0" w:firstColumn="0" w:lastColumn="0" w:oddVBand="0" w:evenVBand="0" w:oddHBand="1" w:evenHBand="0" w:firstRowFirstColumn="0" w:firstRowLastColumn="0" w:lastRowFirstColumn="0" w:lastRowLastColumn="0"/>
        </w:trPr>
        <w:tc>
          <w:tcPr>
            <w:tcW w:w="1057" w:type="pct"/>
            <w:vMerge w:val="restart"/>
          </w:tcPr>
          <w:p w14:paraId="365845AC" w14:textId="77777777" w:rsidR="00B03388" w:rsidRPr="00081425" w:rsidRDefault="00B03388" w:rsidP="00A92E19">
            <w:pPr>
              <w:pStyle w:val="TableBody"/>
              <w:rPr>
                <w:sz w:val="20"/>
                <w:szCs w:val="20"/>
              </w:rPr>
            </w:pPr>
            <w:r w:rsidRPr="00081425">
              <w:rPr>
                <w:sz w:val="20"/>
                <w:szCs w:val="20"/>
              </w:rPr>
              <w:t>Key finding 3: The level and quality of retailer-customer engagement affects customer outcomes</w:t>
            </w:r>
          </w:p>
        </w:tc>
        <w:tc>
          <w:tcPr>
            <w:tcW w:w="1161" w:type="pct"/>
          </w:tcPr>
          <w:p w14:paraId="12C93B65" w14:textId="7679CCD7" w:rsidR="00B03388" w:rsidRPr="00081425" w:rsidRDefault="00BC4D1F" w:rsidP="00732F86">
            <w:pPr>
              <w:pStyle w:val="TableBullet"/>
              <w:keepNext/>
              <w:keepLines/>
              <w:numPr>
                <w:ilvl w:val="0"/>
                <w:numId w:val="0"/>
              </w:numPr>
              <w:spacing w:before="0" w:line="240" w:lineRule="auto"/>
              <w:rPr>
                <w:sz w:val="20"/>
                <w:szCs w:val="20"/>
              </w:rPr>
            </w:pPr>
            <w:r w:rsidRPr="00561A71">
              <w:rPr>
                <w:sz w:val="20"/>
                <w:szCs w:val="20"/>
              </w:rPr>
              <w:t>Improve retailer interactions with customers, focusing on communication that recognise</w:t>
            </w:r>
            <w:r>
              <w:rPr>
                <w:sz w:val="20"/>
                <w:szCs w:val="20"/>
              </w:rPr>
              <w:t>s</w:t>
            </w:r>
            <w:r w:rsidRPr="00561A71">
              <w:rPr>
                <w:sz w:val="20"/>
                <w:szCs w:val="20"/>
              </w:rPr>
              <w:t xml:space="preserve"> a customer's circumstances, including the barriers they may be facing</w:t>
            </w:r>
            <w:r>
              <w:rPr>
                <w:sz w:val="20"/>
                <w:szCs w:val="20"/>
              </w:rPr>
              <w:t>.</w:t>
            </w:r>
          </w:p>
        </w:tc>
        <w:tc>
          <w:tcPr>
            <w:tcW w:w="507" w:type="pct"/>
          </w:tcPr>
          <w:p w14:paraId="4CF83BA7" w14:textId="06C10803" w:rsidR="00B03388" w:rsidRPr="00081425" w:rsidRDefault="00B03388" w:rsidP="00A92E19">
            <w:pPr>
              <w:pStyle w:val="TableBody"/>
              <w:jc w:val="center"/>
              <w:rPr>
                <w:rFonts w:ascii="Wingdings" w:eastAsia="Wingdings" w:hAnsi="Wingdings" w:cs="Wingdings"/>
                <w:color w:val="CE0058" w:themeColor="accent2"/>
                <w:sz w:val="20"/>
                <w:szCs w:val="20"/>
              </w:rPr>
            </w:pPr>
            <w:r w:rsidRPr="00081425">
              <w:rPr>
                <w:b/>
                <w:color w:val="CE0058" w:themeColor="accent2"/>
                <w:sz w:val="20"/>
                <w:szCs w:val="20"/>
              </w:rPr>
              <w:t>Priority</w:t>
            </w:r>
          </w:p>
        </w:tc>
        <w:tc>
          <w:tcPr>
            <w:tcW w:w="2275" w:type="pct"/>
          </w:tcPr>
          <w:p w14:paraId="53500C42" w14:textId="77777777" w:rsidR="00BC4D1F" w:rsidRPr="00081425" w:rsidRDefault="00BC4D1F" w:rsidP="00BC4D1F">
            <w:pPr>
              <w:pStyle w:val="TableBullet"/>
              <w:keepNext/>
              <w:keepLines/>
              <w:numPr>
                <w:ilvl w:val="0"/>
                <w:numId w:val="1"/>
              </w:numPr>
              <w:spacing w:before="0" w:line="240" w:lineRule="auto"/>
              <w:ind w:left="357" w:hanging="357"/>
              <w:rPr>
                <w:sz w:val="20"/>
                <w:szCs w:val="20"/>
              </w:rPr>
            </w:pPr>
            <w:r w:rsidRPr="00081425">
              <w:rPr>
                <w:sz w:val="20"/>
                <w:szCs w:val="20"/>
              </w:rPr>
              <w:t xml:space="preserve">Regular training for retailer staff about the importance of empathy in interactions with customers. </w:t>
            </w:r>
          </w:p>
          <w:p w14:paraId="40F330AB" w14:textId="77777777" w:rsidR="00BC4D1F" w:rsidRPr="00081425" w:rsidRDefault="00BC4D1F" w:rsidP="00BC4D1F">
            <w:pPr>
              <w:pStyle w:val="TableBullet"/>
              <w:keepNext/>
              <w:keepLines/>
              <w:numPr>
                <w:ilvl w:val="0"/>
                <w:numId w:val="1"/>
              </w:numPr>
              <w:spacing w:before="0" w:line="240" w:lineRule="auto"/>
              <w:ind w:left="357" w:hanging="357"/>
              <w:rPr>
                <w:sz w:val="20"/>
                <w:szCs w:val="20"/>
              </w:rPr>
            </w:pPr>
            <w:r w:rsidRPr="00081425">
              <w:rPr>
                <w:sz w:val="20"/>
                <w:szCs w:val="20"/>
              </w:rPr>
              <w:t xml:space="preserve">Targeted approaches for customers experiencing particular types of barriers. </w:t>
            </w:r>
          </w:p>
          <w:p w14:paraId="4C9EF127" w14:textId="2F466F44" w:rsidR="00BC4D1F" w:rsidRPr="00081425" w:rsidRDefault="00BC4D1F" w:rsidP="00BC4D1F">
            <w:pPr>
              <w:pStyle w:val="TableBullet"/>
              <w:keepNext/>
              <w:keepLines/>
              <w:numPr>
                <w:ilvl w:val="0"/>
                <w:numId w:val="1"/>
              </w:numPr>
              <w:spacing w:before="0" w:line="240" w:lineRule="auto"/>
              <w:ind w:left="357" w:hanging="357"/>
              <w:rPr>
                <w:sz w:val="20"/>
                <w:szCs w:val="20"/>
              </w:rPr>
            </w:pPr>
            <w:r w:rsidRPr="00081425">
              <w:rPr>
                <w:sz w:val="20"/>
                <w:szCs w:val="20"/>
              </w:rPr>
              <w:t xml:space="preserve">Ensuring </w:t>
            </w:r>
            <w:r w:rsidR="005349B6">
              <w:rPr>
                <w:sz w:val="20"/>
                <w:szCs w:val="20"/>
              </w:rPr>
              <w:t>communication</w:t>
            </w:r>
            <w:r w:rsidRPr="00081425">
              <w:rPr>
                <w:sz w:val="20"/>
                <w:szCs w:val="20"/>
              </w:rPr>
              <w:t xml:space="preserve"> materials are accessible particularly for culturally and linguistically diverse customers, customers with low literacy and customers with disability. </w:t>
            </w:r>
          </w:p>
          <w:p w14:paraId="089647A1" w14:textId="77777777" w:rsidR="00BC4D1F" w:rsidRDefault="00BC4D1F" w:rsidP="00BC4D1F">
            <w:pPr>
              <w:pStyle w:val="TableBullet"/>
              <w:keepNext/>
              <w:keepLines/>
              <w:numPr>
                <w:ilvl w:val="0"/>
                <w:numId w:val="1"/>
              </w:numPr>
              <w:spacing w:before="0" w:line="240" w:lineRule="auto"/>
              <w:ind w:left="357" w:hanging="357"/>
              <w:rPr>
                <w:sz w:val="20"/>
                <w:szCs w:val="20"/>
              </w:rPr>
            </w:pPr>
            <w:r w:rsidRPr="00081425">
              <w:rPr>
                <w:sz w:val="20"/>
                <w:szCs w:val="20"/>
              </w:rPr>
              <w:t xml:space="preserve">Using interpreters for calls with culturally and linguistically diverse </w:t>
            </w:r>
            <w:r w:rsidRPr="00561A71">
              <w:rPr>
                <w:sz w:val="20"/>
                <w:szCs w:val="20"/>
              </w:rPr>
              <w:t>customers.</w:t>
            </w:r>
          </w:p>
          <w:p w14:paraId="30A563B1" w14:textId="0D7BDFA4" w:rsidR="00B03388" w:rsidRPr="00081425" w:rsidRDefault="00BC4D1F" w:rsidP="00561A71">
            <w:pPr>
              <w:pStyle w:val="TableBullet"/>
              <w:keepNext/>
              <w:keepLines/>
              <w:numPr>
                <w:ilvl w:val="0"/>
                <w:numId w:val="1"/>
              </w:numPr>
              <w:spacing w:before="0" w:line="240" w:lineRule="auto"/>
              <w:ind w:left="357" w:hanging="357"/>
              <w:rPr>
                <w:sz w:val="20"/>
                <w:szCs w:val="20"/>
              </w:rPr>
            </w:pPr>
            <w:r w:rsidRPr="00081425">
              <w:rPr>
                <w:sz w:val="20"/>
                <w:szCs w:val="20"/>
              </w:rPr>
              <w:t xml:space="preserve">Support relationships between retailers and financial counsellors or community support workers, </w:t>
            </w:r>
            <w:r>
              <w:rPr>
                <w:sz w:val="20"/>
                <w:szCs w:val="20"/>
              </w:rPr>
              <w:t xml:space="preserve">given their work in supporting </w:t>
            </w:r>
            <w:r w:rsidRPr="00081425">
              <w:rPr>
                <w:sz w:val="20"/>
                <w:szCs w:val="20"/>
              </w:rPr>
              <w:t xml:space="preserve">customers </w:t>
            </w:r>
            <w:r>
              <w:rPr>
                <w:sz w:val="20"/>
                <w:szCs w:val="20"/>
              </w:rPr>
              <w:t>experiencing vulnerability</w:t>
            </w:r>
            <w:r w:rsidRPr="00081425">
              <w:rPr>
                <w:sz w:val="20"/>
                <w:szCs w:val="20"/>
              </w:rPr>
              <w:t>.</w:t>
            </w:r>
          </w:p>
        </w:tc>
      </w:tr>
      <w:tr w:rsidR="00BC4D1F" w:rsidRPr="00081425" w14:paraId="144D6443" w14:textId="77777777" w:rsidTr="001551CC">
        <w:trPr>
          <w:cnfStyle w:val="000000010000" w:firstRow="0" w:lastRow="0" w:firstColumn="0" w:lastColumn="0" w:oddVBand="0" w:evenVBand="0" w:oddHBand="0" w:evenHBand="1" w:firstRowFirstColumn="0" w:firstRowLastColumn="0" w:lastRowFirstColumn="0" w:lastRowLastColumn="0"/>
        </w:trPr>
        <w:tc>
          <w:tcPr>
            <w:tcW w:w="1057" w:type="pct"/>
            <w:vMerge/>
          </w:tcPr>
          <w:p w14:paraId="468EC4C1" w14:textId="77777777" w:rsidR="00BC4D1F" w:rsidRPr="00081425" w:rsidRDefault="00BC4D1F" w:rsidP="00BC4D1F">
            <w:pPr>
              <w:pStyle w:val="TableBody"/>
              <w:rPr>
                <w:sz w:val="20"/>
                <w:szCs w:val="20"/>
              </w:rPr>
            </w:pPr>
          </w:p>
        </w:tc>
        <w:tc>
          <w:tcPr>
            <w:tcW w:w="1161" w:type="pct"/>
          </w:tcPr>
          <w:p w14:paraId="6E1EFC7F" w14:textId="16095B29" w:rsidR="00BC4D1F" w:rsidRPr="00081425" w:rsidRDefault="00B3770D" w:rsidP="00BC4D1F">
            <w:pPr>
              <w:pStyle w:val="TableBullet"/>
              <w:keepNext/>
              <w:keepLines/>
              <w:numPr>
                <w:ilvl w:val="0"/>
                <w:numId w:val="0"/>
              </w:numPr>
              <w:spacing w:before="0" w:line="240" w:lineRule="auto"/>
              <w:rPr>
                <w:sz w:val="20"/>
                <w:szCs w:val="20"/>
              </w:rPr>
            </w:pPr>
            <w:r>
              <w:rPr>
                <w:sz w:val="20"/>
                <w:szCs w:val="20"/>
              </w:rPr>
              <w:t xml:space="preserve">Further support </w:t>
            </w:r>
            <w:r w:rsidR="00BC4D1F" w:rsidRPr="00081425">
              <w:rPr>
                <w:sz w:val="20"/>
                <w:szCs w:val="20"/>
              </w:rPr>
              <w:t xml:space="preserve">customers’ </w:t>
            </w:r>
            <w:r>
              <w:rPr>
                <w:sz w:val="20"/>
                <w:szCs w:val="20"/>
              </w:rPr>
              <w:t xml:space="preserve">entitlement to </w:t>
            </w:r>
            <w:r w:rsidR="00BC4D1F" w:rsidRPr="00081425">
              <w:rPr>
                <w:sz w:val="20"/>
                <w:szCs w:val="20"/>
              </w:rPr>
              <w:t xml:space="preserve">assistance </w:t>
            </w:r>
            <w:r>
              <w:rPr>
                <w:sz w:val="20"/>
                <w:szCs w:val="20"/>
              </w:rPr>
              <w:t>during retailer communications</w:t>
            </w:r>
            <w:r w:rsidR="00BC4D1F" w:rsidRPr="00081425">
              <w:rPr>
                <w:sz w:val="20"/>
                <w:szCs w:val="20"/>
              </w:rPr>
              <w:t>.</w:t>
            </w:r>
          </w:p>
        </w:tc>
        <w:tc>
          <w:tcPr>
            <w:tcW w:w="507" w:type="pct"/>
          </w:tcPr>
          <w:p w14:paraId="35C992EB" w14:textId="7B76E3B5" w:rsidR="00BC4D1F" w:rsidRPr="00081425" w:rsidRDefault="00BC4D1F" w:rsidP="00BC4D1F">
            <w:pPr>
              <w:pStyle w:val="TableBody"/>
              <w:jc w:val="center"/>
              <w:rPr>
                <w:b/>
                <w:bCs/>
                <w:color w:val="CE0058" w:themeColor="accent2"/>
                <w:sz w:val="20"/>
                <w:szCs w:val="20"/>
              </w:rPr>
            </w:pPr>
          </w:p>
        </w:tc>
        <w:tc>
          <w:tcPr>
            <w:tcW w:w="2275" w:type="pct"/>
          </w:tcPr>
          <w:p w14:paraId="2051D6AA" w14:textId="77777777" w:rsidR="00BC4D1F" w:rsidRPr="00081425" w:rsidRDefault="00BC4D1F" w:rsidP="00BC4D1F">
            <w:pPr>
              <w:pStyle w:val="TableBullet"/>
              <w:keepNext/>
              <w:keepLines/>
              <w:numPr>
                <w:ilvl w:val="0"/>
                <w:numId w:val="1"/>
              </w:numPr>
              <w:spacing w:before="0" w:line="240" w:lineRule="auto"/>
              <w:ind w:left="357" w:hanging="357"/>
              <w:rPr>
                <w:sz w:val="20"/>
                <w:szCs w:val="20"/>
              </w:rPr>
            </w:pPr>
            <w:r w:rsidRPr="00081425">
              <w:rPr>
                <w:sz w:val="20"/>
                <w:szCs w:val="20"/>
              </w:rPr>
              <w:t xml:space="preserve">Research and trials on effective communication methods from retailers to specific cohorts of customers about access to assistance. </w:t>
            </w:r>
          </w:p>
          <w:p w14:paraId="7EA4EF47" w14:textId="77777777" w:rsidR="00BC4D1F" w:rsidRDefault="00BC4D1F" w:rsidP="00BC4D1F">
            <w:pPr>
              <w:pStyle w:val="TableBullet"/>
              <w:keepNext/>
              <w:keepLines/>
              <w:numPr>
                <w:ilvl w:val="0"/>
                <w:numId w:val="1"/>
              </w:numPr>
              <w:spacing w:before="0" w:line="240" w:lineRule="auto"/>
              <w:ind w:left="357" w:hanging="357"/>
              <w:rPr>
                <w:sz w:val="20"/>
                <w:szCs w:val="20"/>
              </w:rPr>
            </w:pPr>
            <w:r w:rsidRPr="00081425">
              <w:rPr>
                <w:sz w:val="20"/>
                <w:szCs w:val="20"/>
              </w:rPr>
              <w:t>Simplify language when communicating customer entitlements or assistance available under the framework.</w:t>
            </w:r>
          </w:p>
          <w:p w14:paraId="779AE113" w14:textId="77777777" w:rsidR="00BC4D1F" w:rsidRPr="00561A71" w:rsidRDefault="00BC4D1F" w:rsidP="00BC4D1F">
            <w:pPr>
              <w:pStyle w:val="TableBullet"/>
              <w:keepNext/>
              <w:keepLines/>
              <w:numPr>
                <w:ilvl w:val="0"/>
                <w:numId w:val="1"/>
              </w:numPr>
              <w:spacing w:before="0" w:line="240" w:lineRule="auto"/>
              <w:ind w:left="357" w:hanging="357"/>
              <w:rPr>
                <w:sz w:val="20"/>
                <w:szCs w:val="20"/>
              </w:rPr>
            </w:pPr>
            <w:r w:rsidRPr="00561A71">
              <w:rPr>
                <w:sz w:val="20"/>
                <w:szCs w:val="20"/>
              </w:rPr>
              <w:t xml:space="preserve">Trial different communication channels between retailers and customers such as SMS, postcards, field visits. </w:t>
            </w:r>
          </w:p>
          <w:p w14:paraId="111601BD" w14:textId="0BB99EBA" w:rsidR="00BC4D1F" w:rsidRPr="00081425" w:rsidRDefault="00BC4D1F" w:rsidP="00BC4D1F">
            <w:pPr>
              <w:pStyle w:val="TableBullet"/>
              <w:keepNext/>
              <w:keepLines/>
              <w:numPr>
                <w:ilvl w:val="0"/>
                <w:numId w:val="1"/>
              </w:numPr>
              <w:spacing w:before="0" w:line="240" w:lineRule="auto"/>
              <w:ind w:left="357" w:hanging="357"/>
              <w:rPr>
                <w:sz w:val="20"/>
                <w:szCs w:val="20"/>
              </w:rPr>
            </w:pPr>
            <w:r w:rsidRPr="00561A71">
              <w:rPr>
                <w:sz w:val="20"/>
                <w:szCs w:val="20"/>
              </w:rPr>
              <w:t>Conduct behavioural research to review the timing and language of communication to customers, and trial new approaches.</w:t>
            </w:r>
          </w:p>
        </w:tc>
      </w:tr>
      <w:tr w:rsidR="00B03388" w:rsidRPr="00081425" w14:paraId="2B050614" w14:textId="77777777" w:rsidTr="001551CC">
        <w:trPr>
          <w:cnfStyle w:val="000000100000" w:firstRow="0" w:lastRow="0" w:firstColumn="0" w:lastColumn="0" w:oddVBand="0" w:evenVBand="0" w:oddHBand="1" w:evenHBand="0" w:firstRowFirstColumn="0" w:firstRowLastColumn="0" w:lastRowFirstColumn="0" w:lastRowLastColumn="0"/>
          <w:trHeight w:val="641"/>
        </w:trPr>
        <w:tc>
          <w:tcPr>
            <w:tcW w:w="1057" w:type="pct"/>
            <w:vMerge/>
          </w:tcPr>
          <w:p w14:paraId="757E60B1" w14:textId="77777777" w:rsidR="00B03388" w:rsidRPr="00081425" w:rsidRDefault="00B03388" w:rsidP="00A92E19">
            <w:pPr>
              <w:pStyle w:val="TableBody"/>
              <w:rPr>
                <w:sz w:val="20"/>
                <w:szCs w:val="20"/>
              </w:rPr>
            </w:pPr>
          </w:p>
        </w:tc>
        <w:tc>
          <w:tcPr>
            <w:tcW w:w="1161" w:type="pct"/>
          </w:tcPr>
          <w:p w14:paraId="0C5065D5" w14:textId="29B04001" w:rsidR="00B03388" w:rsidRPr="00081425" w:rsidRDefault="00B03388" w:rsidP="00732F86">
            <w:pPr>
              <w:pStyle w:val="TableBullet"/>
              <w:keepNext/>
              <w:keepLines/>
              <w:numPr>
                <w:ilvl w:val="0"/>
                <w:numId w:val="0"/>
              </w:numPr>
              <w:spacing w:before="0" w:line="240" w:lineRule="auto"/>
              <w:rPr>
                <w:sz w:val="20"/>
                <w:szCs w:val="20"/>
              </w:rPr>
            </w:pPr>
            <w:r w:rsidRPr="00081425">
              <w:rPr>
                <w:sz w:val="20"/>
                <w:szCs w:val="20"/>
              </w:rPr>
              <w:t xml:space="preserve">Promote earlier </w:t>
            </w:r>
            <w:r w:rsidR="00BE4702">
              <w:rPr>
                <w:sz w:val="20"/>
                <w:szCs w:val="20"/>
              </w:rPr>
              <w:t xml:space="preserve">customer </w:t>
            </w:r>
            <w:r w:rsidRPr="00081425">
              <w:rPr>
                <w:sz w:val="20"/>
                <w:szCs w:val="20"/>
              </w:rPr>
              <w:t xml:space="preserve">engagement </w:t>
            </w:r>
            <w:r w:rsidR="00B3770D">
              <w:rPr>
                <w:sz w:val="20"/>
                <w:szCs w:val="20"/>
              </w:rPr>
              <w:t>by retailers</w:t>
            </w:r>
            <w:r w:rsidRPr="00081425">
              <w:rPr>
                <w:sz w:val="20"/>
                <w:szCs w:val="20"/>
              </w:rPr>
              <w:t>.</w:t>
            </w:r>
          </w:p>
        </w:tc>
        <w:tc>
          <w:tcPr>
            <w:tcW w:w="507" w:type="pct"/>
          </w:tcPr>
          <w:p w14:paraId="035F55DA" w14:textId="77777777" w:rsidR="00B03388" w:rsidRPr="00081425" w:rsidRDefault="00B03388" w:rsidP="00A92E19">
            <w:pPr>
              <w:pStyle w:val="TableBody"/>
              <w:jc w:val="center"/>
              <w:rPr>
                <w:rFonts w:ascii="Wingdings" w:eastAsia="Wingdings" w:hAnsi="Wingdings" w:cs="Wingdings"/>
                <w:color w:val="CE0058" w:themeColor="accent2"/>
                <w:sz w:val="20"/>
                <w:szCs w:val="20"/>
              </w:rPr>
            </w:pPr>
          </w:p>
        </w:tc>
        <w:tc>
          <w:tcPr>
            <w:tcW w:w="2275" w:type="pct"/>
          </w:tcPr>
          <w:p w14:paraId="7B6D4BE2" w14:textId="77777777" w:rsidR="00B03388" w:rsidRPr="00081425" w:rsidRDefault="00B03388" w:rsidP="00B03388">
            <w:pPr>
              <w:pStyle w:val="TableBullet"/>
              <w:keepNext/>
              <w:keepLines/>
              <w:numPr>
                <w:ilvl w:val="0"/>
                <w:numId w:val="1"/>
              </w:numPr>
              <w:spacing w:before="0" w:line="240" w:lineRule="auto"/>
              <w:ind w:left="357" w:hanging="357"/>
              <w:rPr>
                <w:sz w:val="20"/>
                <w:szCs w:val="20"/>
              </w:rPr>
            </w:pPr>
            <w:r w:rsidRPr="00081425">
              <w:rPr>
                <w:sz w:val="20"/>
                <w:szCs w:val="20"/>
              </w:rPr>
              <w:t>Using analytics to identify customers who may be anticipating payment difficulty to trigger early engagement.</w:t>
            </w:r>
          </w:p>
        </w:tc>
      </w:tr>
      <w:tr w:rsidR="00956F87" w:rsidRPr="00081425" w14:paraId="2213A14D" w14:textId="77777777" w:rsidTr="001551CC">
        <w:trPr>
          <w:cnfStyle w:val="000000010000" w:firstRow="0" w:lastRow="0" w:firstColumn="0" w:lastColumn="0" w:oddVBand="0" w:evenVBand="0" w:oddHBand="0" w:evenHBand="1" w:firstRowFirstColumn="0" w:firstRowLastColumn="0" w:lastRowFirstColumn="0" w:lastRowLastColumn="0"/>
        </w:trPr>
        <w:tc>
          <w:tcPr>
            <w:tcW w:w="1057" w:type="pct"/>
            <w:vMerge/>
          </w:tcPr>
          <w:p w14:paraId="591546DC" w14:textId="77777777" w:rsidR="00B03388" w:rsidRPr="00081425" w:rsidRDefault="00B03388" w:rsidP="00A92E19">
            <w:pPr>
              <w:pStyle w:val="TableBody"/>
              <w:rPr>
                <w:sz w:val="20"/>
                <w:szCs w:val="20"/>
              </w:rPr>
            </w:pPr>
          </w:p>
        </w:tc>
        <w:tc>
          <w:tcPr>
            <w:tcW w:w="1161" w:type="pct"/>
          </w:tcPr>
          <w:p w14:paraId="204C48D4" w14:textId="7142C5CE" w:rsidR="00B03388" w:rsidRPr="00081425" w:rsidRDefault="00B03388" w:rsidP="00732F86">
            <w:pPr>
              <w:pStyle w:val="TableBullet"/>
              <w:keepNext/>
              <w:keepLines/>
              <w:numPr>
                <w:ilvl w:val="0"/>
                <w:numId w:val="0"/>
              </w:numPr>
              <w:spacing w:before="0" w:line="240" w:lineRule="auto"/>
              <w:rPr>
                <w:sz w:val="20"/>
                <w:szCs w:val="20"/>
              </w:rPr>
            </w:pPr>
            <w:r w:rsidRPr="00081425">
              <w:rPr>
                <w:sz w:val="20"/>
                <w:szCs w:val="20"/>
              </w:rPr>
              <w:t xml:space="preserve">Improve </w:t>
            </w:r>
            <w:r w:rsidR="00BE4702">
              <w:rPr>
                <w:sz w:val="20"/>
                <w:szCs w:val="20"/>
              </w:rPr>
              <w:t>retailer links with</w:t>
            </w:r>
            <w:r w:rsidRPr="00081425">
              <w:rPr>
                <w:sz w:val="20"/>
                <w:szCs w:val="20"/>
              </w:rPr>
              <w:t xml:space="preserve"> trusted third parties </w:t>
            </w:r>
            <w:r w:rsidR="000175A9">
              <w:rPr>
                <w:sz w:val="20"/>
                <w:szCs w:val="20"/>
              </w:rPr>
              <w:t>who</w:t>
            </w:r>
            <w:r w:rsidRPr="00081425">
              <w:rPr>
                <w:sz w:val="20"/>
                <w:szCs w:val="20"/>
              </w:rPr>
              <w:t xml:space="preserve"> support their clients or customers.</w:t>
            </w:r>
          </w:p>
        </w:tc>
        <w:tc>
          <w:tcPr>
            <w:tcW w:w="507" w:type="pct"/>
          </w:tcPr>
          <w:p w14:paraId="2992BDDD" w14:textId="4EE613E6" w:rsidR="00B03388" w:rsidRPr="00081425" w:rsidRDefault="00B03388" w:rsidP="00A92E19">
            <w:pPr>
              <w:pStyle w:val="TableBody"/>
              <w:jc w:val="center"/>
              <w:rPr>
                <w:rFonts w:ascii="Wingdings" w:eastAsia="Wingdings" w:hAnsi="Wingdings" w:cs="Wingdings"/>
                <w:color w:val="CE0058" w:themeColor="accent2"/>
                <w:sz w:val="20"/>
                <w:szCs w:val="20"/>
              </w:rPr>
            </w:pPr>
          </w:p>
        </w:tc>
        <w:tc>
          <w:tcPr>
            <w:tcW w:w="2275" w:type="pct"/>
          </w:tcPr>
          <w:p w14:paraId="7D8AA0BF" w14:textId="77777777" w:rsidR="00B03388" w:rsidRPr="00081425" w:rsidRDefault="00B03388" w:rsidP="00B03388">
            <w:pPr>
              <w:pStyle w:val="TableBullet"/>
              <w:keepNext/>
              <w:keepLines/>
              <w:numPr>
                <w:ilvl w:val="0"/>
                <w:numId w:val="1"/>
              </w:numPr>
              <w:spacing w:before="0" w:line="240" w:lineRule="auto"/>
              <w:ind w:left="357" w:hanging="357"/>
              <w:rPr>
                <w:sz w:val="20"/>
                <w:szCs w:val="20"/>
              </w:rPr>
            </w:pPr>
            <w:r w:rsidRPr="00081425">
              <w:rPr>
                <w:sz w:val="20"/>
                <w:szCs w:val="20"/>
              </w:rPr>
              <w:t>Identify appropriate ways and processes for retailers to help connect customers with financial counsellors or other community support workers.</w:t>
            </w:r>
          </w:p>
          <w:p w14:paraId="6677EEDE" w14:textId="740B20D3" w:rsidR="00B03388" w:rsidRPr="00081425" w:rsidRDefault="00B03388" w:rsidP="00B03388">
            <w:pPr>
              <w:pStyle w:val="TableBullet"/>
              <w:keepNext/>
              <w:keepLines/>
              <w:numPr>
                <w:ilvl w:val="0"/>
                <w:numId w:val="1"/>
              </w:numPr>
              <w:spacing w:before="0" w:line="240" w:lineRule="auto"/>
              <w:ind w:left="357" w:hanging="357"/>
              <w:rPr>
                <w:sz w:val="20"/>
                <w:szCs w:val="20"/>
              </w:rPr>
            </w:pPr>
            <w:r w:rsidRPr="00081425">
              <w:rPr>
                <w:sz w:val="20"/>
                <w:szCs w:val="20"/>
              </w:rPr>
              <w:t>Support collaborative relationships between retailers and financial counsellors or other community support workers, particularly as these workers are likely to be supporting customers who cannot pay for ongoing use.</w:t>
            </w:r>
          </w:p>
        </w:tc>
      </w:tr>
      <w:tr w:rsidR="00956F87" w:rsidRPr="00081425" w14:paraId="4E75DCC1" w14:textId="77777777" w:rsidTr="001551CC">
        <w:trPr>
          <w:cnfStyle w:val="000000100000" w:firstRow="0" w:lastRow="0" w:firstColumn="0" w:lastColumn="0" w:oddVBand="0" w:evenVBand="0" w:oddHBand="1" w:evenHBand="0" w:firstRowFirstColumn="0" w:firstRowLastColumn="0" w:lastRowFirstColumn="0" w:lastRowLastColumn="0"/>
        </w:trPr>
        <w:tc>
          <w:tcPr>
            <w:tcW w:w="1057" w:type="pct"/>
          </w:tcPr>
          <w:p w14:paraId="661FDAF7" w14:textId="77777777" w:rsidR="00B03388" w:rsidRPr="00081425" w:rsidRDefault="00B03388" w:rsidP="00A92E19">
            <w:pPr>
              <w:pStyle w:val="TableBody"/>
              <w:rPr>
                <w:sz w:val="20"/>
                <w:szCs w:val="20"/>
              </w:rPr>
            </w:pPr>
            <w:r w:rsidRPr="00081425">
              <w:rPr>
                <w:sz w:val="20"/>
                <w:szCs w:val="20"/>
              </w:rPr>
              <w:t>Key finding 4: Customers who can pay for their ongoing energy use benefit most</w:t>
            </w:r>
          </w:p>
        </w:tc>
        <w:tc>
          <w:tcPr>
            <w:tcW w:w="1161" w:type="pct"/>
          </w:tcPr>
          <w:p w14:paraId="6F202752" w14:textId="77777777" w:rsidR="00B03388" w:rsidRPr="00081425" w:rsidRDefault="00B03388" w:rsidP="00732F86">
            <w:pPr>
              <w:pStyle w:val="TableBullet"/>
              <w:keepNext/>
              <w:keepLines/>
              <w:numPr>
                <w:ilvl w:val="0"/>
                <w:numId w:val="0"/>
              </w:numPr>
              <w:spacing w:before="0" w:line="240" w:lineRule="auto"/>
              <w:rPr>
                <w:sz w:val="20"/>
                <w:szCs w:val="20"/>
              </w:rPr>
            </w:pPr>
            <w:r w:rsidRPr="00081425">
              <w:rPr>
                <w:sz w:val="20"/>
                <w:szCs w:val="20"/>
              </w:rPr>
              <w:t>Consider alternative approaches to support customers prior to disconnection, particularly for those who cannot pay for on-going use.</w:t>
            </w:r>
          </w:p>
        </w:tc>
        <w:tc>
          <w:tcPr>
            <w:tcW w:w="507" w:type="pct"/>
          </w:tcPr>
          <w:p w14:paraId="3F915CB7" w14:textId="77777777" w:rsidR="00B03388" w:rsidRPr="00081425" w:rsidRDefault="00B03388" w:rsidP="00A92E19">
            <w:pPr>
              <w:pStyle w:val="TableBullet"/>
              <w:keepNext/>
              <w:keepLines/>
              <w:numPr>
                <w:ilvl w:val="0"/>
                <w:numId w:val="0"/>
              </w:numPr>
              <w:spacing w:before="0" w:line="240" w:lineRule="auto"/>
              <w:ind w:left="357"/>
              <w:rPr>
                <w:sz w:val="20"/>
                <w:szCs w:val="20"/>
              </w:rPr>
            </w:pPr>
          </w:p>
        </w:tc>
        <w:tc>
          <w:tcPr>
            <w:tcW w:w="2275" w:type="pct"/>
          </w:tcPr>
          <w:p w14:paraId="469EAFEC" w14:textId="725C5E73" w:rsidR="00B03388" w:rsidRPr="00081425" w:rsidRDefault="00B03388" w:rsidP="00B03388">
            <w:pPr>
              <w:pStyle w:val="TableBullet"/>
              <w:keepNext/>
              <w:keepLines/>
              <w:numPr>
                <w:ilvl w:val="0"/>
                <w:numId w:val="1"/>
              </w:numPr>
              <w:spacing w:before="0" w:line="240" w:lineRule="auto"/>
              <w:ind w:left="357" w:hanging="357"/>
              <w:rPr>
                <w:sz w:val="20"/>
                <w:szCs w:val="20"/>
              </w:rPr>
            </w:pPr>
            <w:r w:rsidRPr="00081425">
              <w:rPr>
                <w:sz w:val="20"/>
                <w:szCs w:val="20"/>
              </w:rPr>
              <w:t>Trial and share lessons from voluntary support measures including debt waivers, payment matching, or introducing debt ceilings.</w:t>
            </w:r>
          </w:p>
          <w:p w14:paraId="50CFC999" w14:textId="749E05AD" w:rsidR="00B03388" w:rsidRPr="00081425" w:rsidRDefault="00BE4702" w:rsidP="00B03388">
            <w:pPr>
              <w:pStyle w:val="TableBullet"/>
              <w:keepNext/>
              <w:keepLines/>
              <w:numPr>
                <w:ilvl w:val="0"/>
                <w:numId w:val="1"/>
              </w:numPr>
              <w:spacing w:before="0" w:line="240" w:lineRule="auto"/>
              <w:ind w:left="357" w:hanging="357"/>
              <w:rPr>
                <w:sz w:val="20"/>
                <w:szCs w:val="20"/>
              </w:rPr>
            </w:pPr>
            <w:r>
              <w:rPr>
                <w:sz w:val="20"/>
                <w:szCs w:val="20"/>
              </w:rPr>
              <w:t>Trial f</w:t>
            </w:r>
            <w:r w:rsidR="00BC4D1F" w:rsidRPr="00081425">
              <w:rPr>
                <w:sz w:val="20"/>
                <w:szCs w:val="20"/>
              </w:rPr>
              <w:t>ield</w:t>
            </w:r>
            <w:r w:rsidR="00B03388" w:rsidRPr="00081425">
              <w:rPr>
                <w:sz w:val="20"/>
                <w:szCs w:val="20"/>
              </w:rPr>
              <w:t xml:space="preserve"> visits by retailers to customers to hand deliver information about upcoming disconnections.</w:t>
            </w:r>
          </w:p>
        </w:tc>
      </w:tr>
    </w:tbl>
    <w:p w14:paraId="7FE39CC0" w14:textId="60570E2D" w:rsidR="004E3FD2" w:rsidRDefault="004E3FD2" w:rsidP="00E669F0">
      <w:pPr>
        <w:pStyle w:val="Heading3"/>
      </w:pPr>
      <w:r>
        <w:t>Continued monitoring of the framework’s implementation</w:t>
      </w:r>
    </w:p>
    <w:p w14:paraId="5A01721A" w14:textId="77777777" w:rsidR="004E3FD2" w:rsidRDefault="004E3FD2" w:rsidP="004E3FD2">
      <w:r>
        <w:t xml:space="preserve">As we complete our findings into the review, we will continue to monitor the implementation of the framework and the resulting outcomes for Victorian customers. </w:t>
      </w:r>
    </w:p>
    <w:p w14:paraId="04832F22" w14:textId="66C40EF5" w:rsidR="004E3FD2" w:rsidRDefault="004E3FD2" w:rsidP="004E3FD2">
      <w:r>
        <w:t>Retailers</w:t>
      </w:r>
      <w:r w:rsidR="00276309">
        <w:t xml:space="preserve"> are</w:t>
      </w:r>
      <w:r>
        <w:t xml:space="preserve"> currently required to report to the commission as per the Compliance and Performance Reporting Guideline. The guideline sets out performance measures relating to the framework and sets out obligations that retailers must report to the commission where it has identified a potential breach of the rules. We also regularly report on the performance of retailers and our enforcement actions through our Victorian energy market reports and updates.</w:t>
      </w:r>
    </w:p>
    <w:p w14:paraId="37B3DD1B" w14:textId="77777777" w:rsidR="004E3FD2" w:rsidRDefault="004E3FD2" w:rsidP="004E3FD2">
      <w:r>
        <w:t xml:space="preserve">However, our findings report has relied on data and information beyond what we formally require retailers to report to us. This includes direct stakeholder feedback and examples, an additional range of data sources, and call recordings. This type of information has been vital in helping to </w:t>
      </w:r>
      <w:r>
        <w:lastRenderedPageBreak/>
        <w:t>inform our review, and we see the value of continuing to collect this type of information to support our role in monitoring customer outcomes and retailer behaviour.</w:t>
      </w:r>
    </w:p>
    <w:p w14:paraId="0A361FAA" w14:textId="77777777" w:rsidR="004E3FD2" w:rsidRDefault="004E3FD2" w:rsidP="004E3FD2">
      <w:r>
        <w:t>More specifically, the commission will consider the following additional sources of information to improve our on-going monitoring of the framework’s implementation:</w:t>
      </w:r>
    </w:p>
    <w:p w14:paraId="596981D7" w14:textId="291C4E96" w:rsidR="004E3FD2" w:rsidRDefault="004E3FD2" w:rsidP="008E42FA">
      <w:pPr>
        <w:pStyle w:val="ListBullet"/>
        <w:numPr>
          <w:ilvl w:val="0"/>
          <w:numId w:val="21"/>
        </w:numPr>
        <w:contextualSpacing w:val="0"/>
      </w:pPr>
      <w:r w:rsidRPr="002B7180">
        <w:rPr>
          <w:b/>
          <w:bCs/>
        </w:rPr>
        <w:t>Additional performance measures for retailers</w:t>
      </w:r>
      <w:r>
        <w:t xml:space="preserve"> </w:t>
      </w:r>
      <w:r w:rsidRPr="002B7180">
        <w:rPr>
          <w:b/>
          <w:bCs/>
        </w:rPr>
        <w:t>to report on</w:t>
      </w:r>
      <w:r>
        <w:t xml:space="preserve">. </w:t>
      </w:r>
      <w:r w:rsidR="00DF763D">
        <w:t>T</w:t>
      </w:r>
      <w:r>
        <w:t xml:space="preserve">his </w:t>
      </w:r>
      <w:r w:rsidR="00DF763D">
        <w:t xml:space="preserve">might </w:t>
      </w:r>
      <w:r>
        <w:t xml:space="preserve">include </w:t>
      </w:r>
      <w:r w:rsidRPr="00E669F0">
        <w:t>the metrics as</w:t>
      </w:r>
      <w:r>
        <w:rPr>
          <w:b/>
          <w:bCs/>
        </w:rPr>
        <w:t xml:space="preserve"> </w:t>
      </w:r>
      <w:r>
        <w:t>part of the voluntary requests we made to retailers that helped to inform this findings report. If we consider a particular on-going need for this information, we will formally consult with stakeholders on revising our Compliance and Performance Reporting Guideline.</w:t>
      </w:r>
    </w:p>
    <w:p w14:paraId="3FA70114" w14:textId="77777777" w:rsidR="004E3FD2" w:rsidRPr="002B7180" w:rsidRDefault="004E3FD2" w:rsidP="00E52650">
      <w:pPr>
        <w:pStyle w:val="ListBullet"/>
        <w:numPr>
          <w:ilvl w:val="0"/>
          <w:numId w:val="0"/>
        </w:numPr>
        <w:ind w:left="360"/>
        <w:contextualSpacing w:val="0"/>
      </w:pPr>
      <w:r w:rsidRPr="002B7180">
        <w:t xml:space="preserve">We also note that </w:t>
      </w:r>
      <w:r>
        <w:t>we intend to continue collecting other sources of data, such as information on concessions and utility relief grants from the Department of Families, Fairness and Housing.</w:t>
      </w:r>
    </w:p>
    <w:p w14:paraId="6688B13F" w14:textId="77777777" w:rsidR="009547E3" w:rsidRDefault="004E3FD2" w:rsidP="008E42FA">
      <w:pPr>
        <w:pStyle w:val="ListBullet"/>
        <w:numPr>
          <w:ilvl w:val="0"/>
          <w:numId w:val="21"/>
        </w:numPr>
        <w:contextualSpacing w:val="0"/>
      </w:pPr>
      <w:r>
        <w:rPr>
          <w:b/>
          <w:bCs/>
        </w:rPr>
        <w:t xml:space="preserve">Regular collection of call recordings from retailers. </w:t>
      </w:r>
      <w:r>
        <w:t>The call recordings study undertook for our review provided valuable insights about the general customer outcomes and the overall effectiveness of the framework’s implementation. However, call recordings can also be used to help identify potential non-compliance. We would consider undertaking similar processes to collect and review call recordings for individual retailers, as part of our regular monitoring for compliance against the framework.</w:t>
      </w:r>
    </w:p>
    <w:p w14:paraId="4D6CEC6C" w14:textId="4631D2EE" w:rsidR="004E3FD2" w:rsidRDefault="004E3FD2" w:rsidP="00E52650">
      <w:pPr>
        <w:pStyle w:val="ListBullet"/>
        <w:numPr>
          <w:ilvl w:val="0"/>
          <w:numId w:val="0"/>
        </w:numPr>
        <w:ind w:left="360"/>
        <w:contextualSpacing w:val="0"/>
      </w:pPr>
      <w:r>
        <w:t>We also remain committed to ensuring we hear the voice of the consumer in our regulatory work –</w:t>
      </w:r>
      <w:r w:rsidR="002E281E">
        <w:t xml:space="preserve"> </w:t>
      </w:r>
      <w:r>
        <w:t xml:space="preserve">listening to customer call recordings is one way to receive insights directly from the customer. </w:t>
      </w:r>
    </w:p>
    <w:p w14:paraId="66B6C765" w14:textId="77777777" w:rsidR="004E3FD2" w:rsidRPr="002B7180" w:rsidRDefault="004E3FD2" w:rsidP="004E3FD2">
      <w:r>
        <w:t>We also value direct feedback from all stakeholders to help improve implementation of the framework on an on-going basis. This also includes providing us with any information on incidents that indicate possible non-compliance with the framework.</w:t>
      </w:r>
    </w:p>
    <w:p w14:paraId="09E0D1FD" w14:textId="2CD06015" w:rsidR="00C43F4C" w:rsidRDefault="00C43F4C" w:rsidP="00C43F4C"/>
    <w:p w14:paraId="3E1A20D4" w14:textId="77777777" w:rsidR="00D91109" w:rsidRDefault="00D91109" w:rsidP="00C43F4C">
      <w:pPr>
        <w:pStyle w:val="Heading1"/>
        <w:sectPr w:rsidR="00D91109" w:rsidSect="00DC3F20">
          <w:footerReference w:type="default" r:id="rId116"/>
          <w:pgSz w:w="11906" w:h="16838"/>
          <w:pgMar w:top="1134" w:right="1134" w:bottom="1134" w:left="1134" w:header="709" w:footer="692" w:gutter="0"/>
          <w:cols w:space="720"/>
          <w:docGrid w:linePitch="299"/>
        </w:sectPr>
      </w:pPr>
    </w:p>
    <w:p w14:paraId="2C5875B9" w14:textId="624380B5" w:rsidR="00C43F4C" w:rsidRDefault="00C43F4C" w:rsidP="00C43F4C">
      <w:pPr>
        <w:pStyle w:val="Heading1"/>
      </w:pPr>
      <w:bookmarkStart w:id="254" w:name="_Toc104850146"/>
      <w:r>
        <w:lastRenderedPageBreak/>
        <w:t>Next steps</w:t>
      </w:r>
      <w:bookmarkEnd w:id="254"/>
    </w:p>
    <w:p w14:paraId="2FAA336B" w14:textId="78FD1C17" w:rsidR="00652B49" w:rsidRPr="007A31EF" w:rsidRDefault="00C43F4C" w:rsidP="00C43F4C">
      <w:r w:rsidRPr="007A31EF">
        <w:t xml:space="preserve">We aim to explore </w:t>
      </w:r>
      <w:r w:rsidR="00652B49" w:rsidRPr="007A31EF">
        <w:t xml:space="preserve">the </w:t>
      </w:r>
      <w:r w:rsidRPr="007A31EF">
        <w:t xml:space="preserve">areas </w:t>
      </w:r>
      <w:r w:rsidR="00652B49" w:rsidRPr="007A31EF">
        <w:t xml:space="preserve">for improvement we have identified as priorities in </w:t>
      </w:r>
      <w:r w:rsidRPr="007A31EF">
        <w:t>further consultation with our stakeholders</w:t>
      </w:r>
      <w:r w:rsidR="00652B49" w:rsidRPr="007A31EF">
        <w:t xml:space="preserve">. </w:t>
      </w:r>
    </w:p>
    <w:p w14:paraId="32918308" w14:textId="253F562B" w:rsidR="00240DAE" w:rsidRPr="00F76F3B" w:rsidRDefault="00240DAE" w:rsidP="004E672C">
      <w:pPr>
        <w:pStyle w:val="Heading2"/>
      </w:pPr>
      <w:bookmarkStart w:id="255" w:name="_Toc104850147"/>
      <w:r w:rsidRPr="00F76F3B">
        <w:t>Second phase of the implementation review (June to August 2022)</w:t>
      </w:r>
      <w:bookmarkEnd w:id="255"/>
    </w:p>
    <w:p w14:paraId="58A8FEC4" w14:textId="5908ACB5" w:rsidR="00C43F4C" w:rsidRPr="00F76F3B" w:rsidRDefault="00C43F4C" w:rsidP="002F6FC0">
      <w:r w:rsidRPr="00F76F3B">
        <w:t>Between June and August 2022, we will work with our stakeholders to develop actions that we</w:t>
      </w:r>
      <w:r w:rsidR="00E16400" w:rsidRPr="00F76F3B">
        <w:t>,</w:t>
      </w:r>
      <w:r w:rsidRPr="00F76F3B">
        <w:t xml:space="preserve"> and the sector</w:t>
      </w:r>
      <w:r w:rsidR="00E16400" w:rsidRPr="00F76F3B">
        <w:t>,</w:t>
      </w:r>
      <w:r w:rsidRPr="00F76F3B">
        <w:t xml:space="preserve"> can take to improve the implementation of the framework. </w:t>
      </w:r>
      <w:r w:rsidR="00652B49" w:rsidRPr="00F76F3B">
        <w:t>This might include</w:t>
      </w:r>
      <w:r w:rsidR="004879F3" w:rsidRPr="00F76F3B">
        <w:t xml:space="preserve"> </w:t>
      </w:r>
      <w:r w:rsidR="00034E7E" w:rsidRPr="00F76F3B">
        <w:t>developing</w:t>
      </w:r>
      <w:r w:rsidR="00240DAE" w:rsidRPr="00F76F3B">
        <w:t xml:space="preserve"> </w:t>
      </w:r>
      <w:r w:rsidRPr="00F76F3B">
        <w:t xml:space="preserve">practical </w:t>
      </w:r>
      <w:r w:rsidR="002A51EE" w:rsidRPr="00F76F3B">
        <w:t>actions that can be implemented by retailer</w:t>
      </w:r>
      <w:r w:rsidR="00E77165" w:rsidRPr="00F76F3B">
        <w:t>s and</w:t>
      </w:r>
      <w:r w:rsidR="004879F3" w:rsidRPr="00F76F3B">
        <w:t xml:space="preserve"> </w:t>
      </w:r>
      <w:r w:rsidR="00D37228" w:rsidRPr="00F76F3B">
        <w:t xml:space="preserve">facilitating discussions about </w:t>
      </w:r>
      <w:r w:rsidRPr="00F76F3B">
        <w:t xml:space="preserve">better practices </w:t>
      </w:r>
      <w:r w:rsidR="00652B49" w:rsidRPr="00F76F3B">
        <w:t>or</w:t>
      </w:r>
      <w:r w:rsidRPr="00F76F3B">
        <w:t xml:space="preserve"> approaches </w:t>
      </w:r>
      <w:r w:rsidR="002A51EE" w:rsidRPr="00F76F3B">
        <w:t xml:space="preserve">for retailers </w:t>
      </w:r>
      <w:r w:rsidR="00BD1EE0" w:rsidRPr="00F76F3B">
        <w:t xml:space="preserve">to use </w:t>
      </w:r>
      <w:r w:rsidRPr="00F76F3B">
        <w:t>when supporting customers</w:t>
      </w:r>
      <w:r w:rsidR="002A51EE" w:rsidRPr="00F76F3B">
        <w:t>.</w:t>
      </w:r>
      <w:r w:rsidR="004879F3" w:rsidRPr="00F76F3B">
        <w:t xml:space="preserve"> </w:t>
      </w:r>
      <w:r w:rsidR="002A51EE" w:rsidRPr="00F76F3B">
        <w:t xml:space="preserve">We will also </w:t>
      </w:r>
      <w:r w:rsidR="00265ACD" w:rsidRPr="00F76F3B">
        <w:t>seek</w:t>
      </w:r>
      <w:r w:rsidR="002A51EE" w:rsidRPr="00F76F3B">
        <w:t xml:space="preserve"> to find further opportunities to champion </w:t>
      </w:r>
      <w:r w:rsidRPr="00F76F3B">
        <w:t>the consumer voice when implementing specific actions.</w:t>
      </w:r>
    </w:p>
    <w:p w14:paraId="50F48163" w14:textId="3CD6766C" w:rsidR="00841D40" w:rsidRPr="00F76F3B" w:rsidRDefault="00841D40" w:rsidP="00652B49">
      <w:r w:rsidRPr="00F76F3B">
        <w:t xml:space="preserve">The findings from our review, and the areas for improvement we have identified, will inform </w:t>
      </w:r>
      <w:r w:rsidR="002B7A72" w:rsidRPr="00F76F3B">
        <w:t>our</w:t>
      </w:r>
      <w:r w:rsidRPr="00F76F3B">
        <w:t xml:space="preserve"> on-going work to regulate </w:t>
      </w:r>
      <w:r w:rsidRPr="00F76F3B" w:rsidDel="0016022E">
        <w:t xml:space="preserve">the </w:t>
      </w:r>
      <w:r w:rsidR="0016022E" w:rsidRPr="00F76F3B">
        <w:t>implementation of the framework</w:t>
      </w:r>
      <w:r w:rsidRPr="00F76F3B">
        <w:t>.</w:t>
      </w:r>
      <w:r w:rsidR="002B7A72" w:rsidRPr="00F76F3B">
        <w:t xml:space="preserve"> </w:t>
      </w:r>
      <w:r w:rsidR="00652B49" w:rsidRPr="00F76F3B">
        <w:t xml:space="preserve">We remain committed to using our compliance and enforcement powers to protect consumers – especially those experiencing vulnerability – </w:t>
      </w:r>
      <w:r w:rsidR="005D32C0" w:rsidRPr="00F76F3B">
        <w:t xml:space="preserve">and </w:t>
      </w:r>
      <w:r w:rsidR="00652B49" w:rsidRPr="00F76F3B">
        <w:t xml:space="preserve">to enhance trust in the </w:t>
      </w:r>
      <w:r w:rsidR="005D32C0" w:rsidRPr="00F76F3B">
        <w:t xml:space="preserve">energy retail </w:t>
      </w:r>
      <w:r w:rsidR="00652B49" w:rsidRPr="00F76F3B">
        <w:t>market.</w:t>
      </w:r>
      <w:r w:rsidRPr="00F76F3B">
        <w:t xml:space="preserve"> </w:t>
      </w:r>
    </w:p>
    <w:p w14:paraId="75F78E04" w14:textId="72130270" w:rsidR="00240DAE" w:rsidRPr="00F76F3B" w:rsidRDefault="00240DAE" w:rsidP="004E672C">
      <w:pPr>
        <w:pStyle w:val="Heading2"/>
      </w:pPr>
      <w:bookmarkStart w:id="256" w:name="_Toc104850148"/>
      <w:r w:rsidRPr="00F76F3B">
        <w:t>Our on-going role in regulating the implementation of the framework</w:t>
      </w:r>
      <w:bookmarkEnd w:id="256"/>
    </w:p>
    <w:p w14:paraId="48AC09C0" w14:textId="0A89CF79" w:rsidR="00652B49" w:rsidRPr="00F76F3B" w:rsidRDefault="00652B49" w:rsidP="00C43F4C">
      <w:r w:rsidRPr="00F76F3B">
        <w:t xml:space="preserve">From a compliance perspective, we will continue monitoring and analysing data and intelligence into the implementation of the payment difficulty framework. We will continue to provide education and guidance materials for retailers, </w:t>
      </w:r>
      <w:r w:rsidR="00240DAE" w:rsidRPr="00F76F3B">
        <w:t xml:space="preserve">such as </w:t>
      </w:r>
      <w:r w:rsidR="0016022E" w:rsidRPr="00F76F3B">
        <w:t xml:space="preserve">revising the Guidance note – Payment difficulty and disconnection, and associated </w:t>
      </w:r>
      <w:r w:rsidR="00240DAE" w:rsidRPr="00F76F3B">
        <w:t>guidelines</w:t>
      </w:r>
      <w:r w:rsidR="00085E11" w:rsidRPr="00F76F3B">
        <w:t>, w</w:t>
      </w:r>
      <w:r w:rsidRPr="00F76F3B">
        <w:t>here there are needs to clarify obligations or the operation of the framework.</w:t>
      </w:r>
      <w:r w:rsidR="000D4F18" w:rsidRPr="00F76F3B">
        <w:rPr>
          <w:rStyle w:val="FootnoteReference"/>
        </w:rPr>
        <w:footnoteReference w:id="147"/>
      </w:r>
      <w:r w:rsidRPr="00F76F3B">
        <w:t xml:space="preserve"> </w:t>
      </w:r>
      <w:r w:rsidR="00947E2A" w:rsidRPr="00F76F3B">
        <w:t xml:space="preserve">Feedback from this review will also inform changes. </w:t>
      </w:r>
      <w:r w:rsidR="00240DAE" w:rsidRPr="00F76F3B">
        <w:t xml:space="preserve">These changes will be part of our on-going role in </w:t>
      </w:r>
      <w:r w:rsidR="00085E11" w:rsidRPr="00F76F3B">
        <w:t xml:space="preserve">assisting </w:t>
      </w:r>
      <w:r w:rsidR="00240DAE" w:rsidRPr="00F76F3B">
        <w:t>compliance through industry education.</w:t>
      </w:r>
      <w:r w:rsidR="00050052" w:rsidRPr="00F76F3B">
        <w:t xml:space="preserve"> </w:t>
      </w:r>
    </w:p>
    <w:p w14:paraId="1C7359A3" w14:textId="7C8B8968" w:rsidR="00652B49" w:rsidRPr="007A31EF" w:rsidRDefault="00DB1340" w:rsidP="00C43F4C">
      <w:r w:rsidRPr="00F76F3B">
        <w:t xml:space="preserve">The framework has been a strategic compliance and enforcement priority in recent years. </w:t>
      </w:r>
      <w:r w:rsidR="008327A7" w:rsidRPr="00F76F3B">
        <w:t>We</w:t>
      </w:r>
      <w:r w:rsidR="00652B49" w:rsidRPr="00F76F3B">
        <w:t xml:space="preserve"> will not hesitate to enforce non-compliance where </w:t>
      </w:r>
      <w:r w:rsidR="003B5324" w:rsidRPr="00F76F3B">
        <w:t xml:space="preserve">it is necessary or </w:t>
      </w:r>
      <w:r w:rsidR="00652B49" w:rsidRPr="00F76F3B">
        <w:t>appropriate</w:t>
      </w:r>
      <w:r w:rsidR="003B5324" w:rsidRPr="00F76F3B">
        <w:t xml:space="preserve"> to do so</w:t>
      </w:r>
      <w:r w:rsidR="00652B49" w:rsidRPr="00F76F3B">
        <w:t xml:space="preserve">. </w:t>
      </w:r>
      <w:r w:rsidR="003B5324" w:rsidRPr="00F76F3B">
        <w:t xml:space="preserve">Our </w:t>
      </w:r>
      <w:r w:rsidR="00652B49" w:rsidRPr="00F76F3B">
        <w:t xml:space="preserve">compliance and enforcement </w:t>
      </w:r>
      <w:r w:rsidR="003B5324" w:rsidRPr="00F76F3B">
        <w:t xml:space="preserve">approach is informed by </w:t>
      </w:r>
      <w:r w:rsidR="000201B8" w:rsidRPr="00F76F3B">
        <w:t xml:space="preserve">our </w:t>
      </w:r>
      <w:r w:rsidR="00652B49" w:rsidRPr="00F76F3B">
        <w:t>Compliance and Enforcement Policy</w:t>
      </w:r>
      <w:r w:rsidR="000D635E" w:rsidRPr="00F76F3B">
        <w:t xml:space="preserve"> that</w:t>
      </w:r>
      <w:r w:rsidR="00652B49" w:rsidRPr="00F76F3B">
        <w:t xml:space="preserve"> we released in April 2022.</w:t>
      </w:r>
      <w:r w:rsidR="002F542B" w:rsidRPr="00F76F3B">
        <w:rPr>
          <w:rStyle w:val="FootnoteReference"/>
        </w:rPr>
        <w:footnoteReference w:id="148"/>
      </w:r>
    </w:p>
    <w:p w14:paraId="664286C2" w14:textId="6C00E961" w:rsidR="00C43F4C" w:rsidRDefault="00C43F4C" w:rsidP="00C43F4C">
      <w:r w:rsidRPr="007A31EF">
        <w:lastRenderedPageBreak/>
        <w:t>We thank our stakeholders for their participation</w:t>
      </w:r>
      <w:r w:rsidR="00652B49" w:rsidRPr="007A31EF">
        <w:t xml:space="preserve"> throughout the review</w:t>
      </w:r>
      <w:r w:rsidRPr="007A31EF">
        <w:t xml:space="preserve"> and look forward to continuing this work alongside retailers, the community sector, and government to improve the ways we support and deliver essential energy services to Victorian customers</w:t>
      </w:r>
      <w:r>
        <w:t>.</w:t>
      </w:r>
      <w:r w:rsidRPr="00E526C1">
        <w:t xml:space="preserve"> </w:t>
      </w:r>
    </w:p>
    <w:p w14:paraId="683BBA42" w14:textId="0B3AB02B" w:rsidR="00D91109" w:rsidRDefault="00C43F4C" w:rsidP="00C43F4C">
      <w:pPr>
        <w:sectPr w:rsidR="00D91109" w:rsidSect="00DF763D">
          <w:headerReference w:type="even" r:id="rId117"/>
          <w:footerReference w:type="even" r:id="rId118"/>
          <w:footerReference w:type="default" r:id="rId119"/>
          <w:headerReference w:type="first" r:id="rId120"/>
          <w:footerReference w:type="first" r:id="rId121"/>
          <w:pgSz w:w="11906" w:h="16838"/>
          <w:pgMar w:top="1134" w:right="1134" w:bottom="1134" w:left="1134" w:header="709" w:footer="709" w:gutter="0"/>
          <w:cols w:space="708"/>
          <w:docGrid w:linePitch="360"/>
        </w:sectPr>
      </w:pPr>
      <w:r>
        <w:t xml:space="preserve">If you would like to speak to us about this review or ensure you are on our mailing list, please contact us via email at </w:t>
      </w:r>
      <w:hyperlink r:id="rId122" w:history="1">
        <w:r w:rsidRPr="000E37BC">
          <w:rPr>
            <w:rStyle w:val="Hyperlink"/>
          </w:rPr>
          <w:t>pdfreview@esc.vic.gov.au</w:t>
        </w:r>
      </w:hyperlink>
      <w:r>
        <w:t>.</w:t>
      </w:r>
      <w:bookmarkEnd w:id="92"/>
      <w:bookmarkEnd w:id="250"/>
    </w:p>
    <w:p w14:paraId="165F0640" w14:textId="77777777" w:rsidR="00C43F4C" w:rsidRPr="00AC2A2A" w:rsidRDefault="00C43F4C" w:rsidP="00AC2A2A">
      <w:pPr>
        <w:sectPr w:rsidR="00C43F4C" w:rsidRPr="00AC2A2A" w:rsidSect="00D91109">
          <w:type w:val="continuous"/>
          <w:pgSz w:w="11906" w:h="16838"/>
          <w:pgMar w:top="1134" w:right="1134" w:bottom="1134" w:left="1134" w:header="709" w:footer="709" w:gutter="0"/>
          <w:cols w:space="708"/>
          <w:docGrid w:linePitch="360"/>
        </w:sectPr>
      </w:pPr>
    </w:p>
    <w:p w14:paraId="567F93B3" w14:textId="53C061A0" w:rsidR="00C43F4C" w:rsidRDefault="00C43F4C" w:rsidP="00C43F4C">
      <w:pPr>
        <w:pStyle w:val="Heading1"/>
      </w:pPr>
      <w:bookmarkStart w:id="257" w:name="_Ref103676388"/>
      <w:bookmarkStart w:id="258" w:name="_Toc104850149"/>
      <w:r w:rsidRPr="00445D9A">
        <w:lastRenderedPageBreak/>
        <w:t xml:space="preserve">Appendix 1: Call recordings study </w:t>
      </w:r>
      <w:r w:rsidR="00A212FA">
        <w:t>scope</w:t>
      </w:r>
      <w:r w:rsidRPr="00445D9A">
        <w:t xml:space="preserve"> and methodology</w:t>
      </w:r>
      <w:bookmarkEnd w:id="257"/>
      <w:bookmarkEnd w:id="258"/>
    </w:p>
    <w:p w14:paraId="77521AAF" w14:textId="20B903E4" w:rsidR="00C43F4C" w:rsidRDefault="00C43F4C" w:rsidP="00C43F4C">
      <w:pPr>
        <w:pStyle w:val="Heading2"/>
      </w:pPr>
      <w:bookmarkStart w:id="259" w:name="_Toc104850150"/>
      <w:r w:rsidRPr="00C87A61">
        <w:t>Context of the call recording</w:t>
      </w:r>
      <w:r w:rsidR="00BB6050">
        <w:t>s</w:t>
      </w:r>
      <w:r w:rsidRPr="00C87A61">
        <w:t xml:space="preserve"> study</w:t>
      </w:r>
      <w:bookmarkEnd w:id="259"/>
    </w:p>
    <w:p w14:paraId="23D6918E" w14:textId="16E5A6EF" w:rsidR="00C43F4C" w:rsidRDefault="00F107EB" w:rsidP="00C43F4C">
      <w:r>
        <w:t>To inform our review into the effectiveness of the implementation of the framework by retailers, the</w:t>
      </w:r>
      <w:r w:rsidR="00C43F4C">
        <w:t xml:space="preserve"> c</w:t>
      </w:r>
      <w:r w:rsidR="00C43F4C" w:rsidRPr="00863FA2">
        <w:t xml:space="preserve">ommission collected call recordings from Victorian retailers </w:t>
      </w:r>
      <w:r w:rsidR="007B3413">
        <w:t xml:space="preserve">who had </w:t>
      </w:r>
      <w:r w:rsidR="00C43F4C" w:rsidRPr="00863FA2">
        <w:t xml:space="preserve">customers </w:t>
      </w:r>
      <w:r w:rsidR="00DC5785">
        <w:t xml:space="preserve">that </w:t>
      </w:r>
      <w:r w:rsidR="00C43F4C" w:rsidRPr="00863FA2">
        <w:t>received tailored assistance between January 2019 and December 2021</w:t>
      </w:r>
      <w:r w:rsidR="00C43F4C">
        <w:t>.</w:t>
      </w:r>
    </w:p>
    <w:p w14:paraId="171B95FA" w14:textId="5ED12184" w:rsidR="00C97B3D" w:rsidRDefault="00C43F4C">
      <w:r w:rsidRPr="002334DA" w:rsidDel="00A11E42">
        <w:t>The call recordings and supplementary information</w:t>
      </w:r>
      <w:r w:rsidR="00DC5785">
        <w:t>,</w:t>
      </w:r>
      <w:r w:rsidRPr="002334DA" w:rsidDel="00A11E42">
        <w:t xml:space="preserve"> like call notes, emails, and SMS reminders were collected. </w:t>
      </w:r>
      <w:r w:rsidRPr="002334DA">
        <w:t xml:space="preserve">The commission </w:t>
      </w:r>
      <w:r w:rsidR="00CA208E" w:rsidRPr="002334DA">
        <w:t xml:space="preserve">collected this information using its </w:t>
      </w:r>
      <w:r w:rsidRPr="002334DA">
        <w:t xml:space="preserve">powers under section 36 of the </w:t>
      </w:r>
      <w:r w:rsidRPr="002334DA">
        <w:rPr>
          <w:i/>
        </w:rPr>
        <w:t xml:space="preserve">Essential Services </w:t>
      </w:r>
      <w:r w:rsidR="00CA208E" w:rsidRPr="002334DA">
        <w:rPr>
          <w:i/>
        </w:rPr>
        <w:t xml:space="preserve">Commission </w:t>
      </w:r>
      <w:r w:rsidRPr="002334DA">
        <w:rPr>
          <w:i/>
        </w:rPr>
        <w:t>Act 2001</w:t>
      </w:r>
      <w:r w:rsidR="003D4605" w:rsidRPr="00FA4E6F">
        <w:rPr>
          <w:iCs/>
        </w:rPr>
        <w:t xml:space="preserve"> through</w:t>
      </w:r>
      <w:r w:rsidR="00CA208E" w:rsidRPr="002334DA">
        <w:t xml:space="preserve"> f</w:t>
      </w:r>
      <w:r w:rsidRPr="002334DA">
        <w:t>ormal notices served to retailers in December 2021.</w:t>
      </w:r>
      <w:r w:rsidR="00A11E42">
        <w:t xml:space="preserve"> </w:t>
      </w:r>
    </w:p>
    <w:p w14:paraId="0F34D5E6" w14:textId="2104850F" w:rsidR="00C97B3D" w:rsidRDefault="00A11E42" w:rsidP="00C97B3D">
      <w:r>
        <w:t xml:space="preserve">The notice required retailers to provide </w:t>
      </w:r>
      <w:r w:rsidRPr="002334DA">
        <w:t>call recordings and relevant supplementary information such as call notes, emails, and SMS reminders</w:t>
      </w:r>
      <w:r w:rsidR="00EC17DE">
        <w:t xml:space="preserve">, </w:t>
      </w:r>
      <w:r w:rsidR="00EC17DE" w:rsidRPr="002334DA">
        <w:t xml:space="preserve">for a select number of </w:t>
      </w:r>
      <w:r w:rsidR="00EC17DE">
        <w:t xml:space="preserve">their </w:t>
      </w:r>
      <w:r w:rsidR="00EC17DE" w:rsidRPr="002334DA">
        <w:t>customers who received tailored assistance</w:t>
      </w:r>
      <w:r w:rsidRPr="002334DA">
        <w:t>.</w:t>
      </w:r>
      <w:r w:rsidR="00C97B3D" w:rsidRPr="00C97B3D">
        <w:t xml:space="preserve"> </w:t>
      </w:r>
      <w:r w:rsidR="00C97B3D">
        <w:t xml:space="preserve">The information did not include </w:t>
      </w:r>
      <w:r w:rsidR="00501C61">
        <w:t xml:space="preserve">calls of </w:t>
      </w:r>
      <w:r w:rsidR="00C97B3D" w:rsidRPr="00863FA2">
        <w:t>customer</w:t>
      </w:r>
      <w:r w:rsidR="00501C61">
        <w:t>s</w:t>
      </w:r>
      <w:r w:rsidR="00C97B3D" w:rsidRPr="00863FA2">
        <w:t xml:space="preserve"> </w:t>
      </w:r>
      <w:r w:rsidR="00501C61">
        <w:t>did not receive</w:t>
      </w:r>
      <w:r w:rsidR="00C97B3D" w:rsidRPr="00863FA2">
        <w:t xml:space="preserve"> assistance</w:t>
      </w:r>
      <w:r w:rsidR="00C97B3D">
        <w:t>.</w:t>
      </w:r>
    </w:p>
    <w:p w14:paraId="3E6A7142" w14:textId="45714A5E" w:rsidR="00C43F4C" w:rsidRDefault="00A11E42" w:rsidP="00C43F4C">
      <w:r w:rsidRPr="002334DA">
        <w:t xml:space="preserve">The purpose of collecting and reviewing this information was to </w:t>
      </w:r>
      <w:r w:rsidR="00C43F4C" w:rsidRPr="002334DA">
        <w:t xml:space="preserve">assess how retailers interacted with customers and </w:t>
      </w:r>
      <w:r w:rsidRPr="002334DA">
        <w:t xml:space="preserve">how payment </w:t>
      </w:r>
      <w:r w:rsidR="00C43F4C" w:rsidRPr="002334DA">
        <w:t xml:space="preserve">assistance was </w:t>
      </w:r>
      <w:r w:rsidRPr="002334DA">
        <w:t>discussed with</w:t>
      </w:r>
      <w:r w:rsidR="00C43F4C" w:rsidRPr="002334DA">
        <w:t xml:space="preserve"> customers</w:t>
      </w:r>
      <w:r w:rsidR="003F371A">
        <w:t xml:space="preserve"> </w:t>
      </w:r>
      <w:r w:rsidR="003F371A" w:rsidRPr="002334DA">
        <w:t>during the phone calls</w:t>
      </w:r>
      <w:r w:rsidR="00C43F4C" w:rsidRPr="002334DA">
        <w:t>.</w:t>
      </w:r>
    </w:p>
    <w:p w14:paraId="66393455" w14:textId="77777777" w:rsidR="00C43F4C" w:rsidRDefault="00C43F4C" w:rsidP="00C43F4C">
      <w:pPr>
        <w:pStyle w:val="Heading2"/>
        <w:rPr>
          <w:lang w:val="en-US"/>
        </w:rPr>
      </w:pPr>
      <w:bookmarkStart w:id="260" w:name="_Toc104850151"/>
      <w:r>
        <w:rPr>
          <w:lang w:val="en-US"/>
        </w:rPr>
        <w:t>Sample selection</w:t>
      </w:r>
      <w:bookmarkEnd w:id="260"/>
      <w:r>
        <w:rPr>
          <w:lang w:val="en-US"/>
        </w:rPr>
        <w:t xml:space="preserve"> </w:t>
      </w:r>
    </w:p>
    <w:p w14:paraId="4D9719EC" w14:textId="263EE1A6" w:rsidR="00C97B3D" w:rsidRPr="002E0409" w:rsidRDefault="00C97B3D" w:rsidP="00C97B3D">
      <w:pPr>
        <w:rPr>
          <w:lang w:val="en-US"/>
        </w:rPr>
      </w:pPr>
      <w:r w:rsidRPr="002E0409">
        <w:rPr>
          <w:lang w:val="en-US"/>
        </w:rPr>
        <w:t>Retailers were required to provid</w:t>
      </w:r>
      <w:r w:rsidR="008E3AA9">
        <w:rPr>
          <w:lang w:val="en-US"/>
        </w:rPr>
        <w:t>e</w:t>
      </w:r>
      <w:r w:rsidRPr="002E0409">
        <w:rPr>
          <w:lang w:val="en-US"/>
        </w:rPr>
        <w:t xml:space="preserve"> any call recordings </w:t>
      </w:r>
      <w:r>
        <w:rPr>
          <w:lang w:val="en-US"/>
        </w:rPr>
        <w:t xml:space="preserve">for a select number of customers who received tailored </w:t>
      </w:r>
      <w:r w:rsidRPr="002E0409">
        <w:rPr>
          <w:lang w:val="en-US"/>
        </w:rPr>
        <w:t>assistance between 2019 and 2021.</w:t>
      </w:r>
      <w:r w:rsidR="008E3AA9">
        <w:rPr>
          <w:lang w:val="en-US"/>
        </w:rPr>
        <w:t xml:space="preserve"> </w:t>
      </w:r>
    </w:p>
    <w:p w14:paraId="3B99941F" w14:textId="77777777" w:rsidR="00C43F4C" w:rsidRPr="002E0409" w:rsidRDefault="00C43F4C" w:rsidP="00C43F4C">
      <w:pPr>
        <w:rPr>
          <w:lang w:val="en-US"/>
        </w:rPr>
      </w:pPr>
      <w:r w:rsidRPr="002E0409">
        <w:rPr>
          <w:lang w:val="en-US"/>
        </w:rPr>
        <w:t>We selected customer account numbers, or provided a random process for retailers to follow:</w:t>
      </w:r>
    </w:p>
    <w:p w14:paraId="0DD42AAD" w14:textId="77777777" w:rsidR="00C43F4C" w:rsidRPr="002E0409" w:rsidRDefault="00C43F4C" w:rsidP="00C43F4C">
      <w:pPr>
        <w:pStyle w:val="ListBullet"/>
        <w:rPr>
          <w:lang w:val="en-US"/>
        </w:rPr>
      </w:pPr>
      <w:r w:rsidRPr="002E0409">
        <w:rPr>
          <w:b/>
          <w:bCs/>
          <w:lang w:val="en-US"/>
        </w:rPr>
        <w:t>For retailers that we had existing customer records:</w:t>
      </w:r>
      <w:r w:rsidRPr="002E0409">
        <w:rPr>
          <w:lang w:val="en-US"/>
        </w:rPr>
        <w:t xml:space="preserve"> we randomly nominated customer numbers who received tailored assistance.</w:t>
      </w:r>
    </w:p>
    <w:p w14:paraId="1F75F848" w14:textId="20CA45D7" w:rsidR="00C43F4C" w:rsidRPr="002E0409" w:rsidRDefault="00C43F4C" w:rsidP="00C43F4C">
      <w:pPr>
        <w:pStyle w:val="ListBullet"/>
        <w:rPr>
          <w:lang w:val="en-US"/>
        </w:rPr>
      </w:pPr>
      <w:r w:rsidRPr="002E0409">
        <w:rPr>
          <w:b/>
          <w:bCs/>
          <w:lang w:val="en-US"/>
        </w:rPr>
        <w:t>For retailers that we did not have existing customer records:</w:t>
      </w:r>
      <w:r w:rsidRPr="002E0409">
        <w:rPr>
          <w:lang w:val="en-US"/>
        </w:rPr>
        <w:t xml:space="preserve"> we randomly selected a month and year </w:t>
      </w:r>
      <w:r w:rsidR="009F4B48">
        <w:rPr>
          <w:lang w:val="en-US"/>
        </w:rPr>
        <w:t xml:space="preserve">(between 2019 and 2021) </w:t>
      </w:r>
      <w:r w:rsidRPr="002E0409">
        <w:rPr>
          <w:lang w:val="en-US"/>
        </w:rPr>
        <w:t>for a retailer to list out the customer account numbers receiving assistance in ascending order in that month, then selecting the first set of customers.</w:t>
      </w:r>
    </w:p>
    <w:p w14:paraId="0BC295EF" w14:textId="32FE08DB" w:rsidR="00C43F4C" w:rsidRPr="002E0409" w:rsidRDefault="00C43F4C" w:rsidP="00C43F4C">
      <w:pPr>
        <w:rPr>
          <w:lang w:val="en-US"/>
        </w:rPr>
      </w:pPr>
      <w:r w:rsidRPr="002E0409">
        <w:rPr>
          <w:lang w:val="en-US"/>
        </w:rPr>
        <w:t>The number of customers provided was based on the retailer’s size, which in total added up to 94 customers from 17 retailers.</w:t>
      </w:r>
    </w:p>
    <w:p w14:paraId="410C4AA2" w14:textId="77777777" w:rsidR="00C43F4C" w:rsidRPr="00773C9F" w:rsidRDefault="00C43F4C" w:rsidP="00C43F4C">
      <w:pPr>
        <w:rPr>
          <w:lang w:val="en-US"/>
        </w:rPr>
      </w:pPr>
      <w:r w:rsidRPr="002E0409">
        <w:rPr>
          <w:lang w:val="en-US"/>
        </w:rPr>
        <w:lastRenderedPageBreak/>
        <w:t>Retailers were required to provide supporting relevant information, such as call notes or examples of other information provided to the customer.</w:t>
      </w:r>
    </w:p>
    <w:p w14:paraId="0F97F894" w14:textId="5413AF88" w:rsidR="00C43F4C" w:rsidRDefault="00327209" w:rsidP="00C43F4C">
      <w:pPr>
        <w:pStyle w:val="Heading2"/>
        <w:rPr>
          <w:lang w:val="en-US"/>
        </w:rPr>
      </w:pPr>
      <w:bookmarkStart w:id="261" w:name="_Toc104850152"/>
      <w:r>
        <w:rPr>
          <w:lang w:val="en-US"/>
        </w:rPr>
        <w:t>Scope of services</w:t>
      </w:r>
      <w:r w:rsidR="00C43F4C">
        <w:rPr>
          <w:lang w:val="en-US"/>
        </w:rPr>
        <w:t xml:space="preserve"> provided by ORIMA</w:t>
      </w:r>
      <w:r w:rsidR="00C36421">
        <w:rPr>
          <w:lang w:val="en-US"/>
        </w:rPr>
        <w:t xml:space="preserve"> Research</w:t>
      </w:r>
      <w:bookmarkEnd w:id="261"/>
    </w:p>
    <w:p w14:paraId="29A549D0" w14:textId="77777777" w:rsidR="00033227" w:rsidRDefault="002334DA" w:rsidP="00ED4C73">
      <w:pPr>
        <w:pStyle w:val="TableListNumber"/>
        <w:numPr>
          <w:ilvl w:val="0"/>
          <w:numId w:val="0"/>
        </w:numPr>
      </w:pPr>
      <w:r w:rsidRPr="002334DA">
        <w:t>We engaged ORIMA Research, an independent research firm, to review and analyse the calls and report on the findings.</w:t>
      </w:r>
      <w:r>
        <w:t xml:space="preserve"> </w:t>
      </w:r>
    </w:p>
    <w:p w14:paraId="3B01CFE5" w14:textId="733A964F" w:rsidR="002334DA" w:rsidRPr="00863FA2" w:rsidRDefault="007C04F3" w:rsidP="00033227">
      <w:r>
        <w:t xml:space="preserve">The services undertaken by ORIMA </w:t>
      </w:r>
      <w:r w:rsidR="005B7D3E">
        <w:t>Research</w:t>
      </w:r>
      <w:r>
        <w:t xml:space="preserve">: </w:t>
      </w:r>
    </w:p>
    <w:p w14:paraId="5428036E" w14:textId="279B4FA7" w:rsidR="00C43F4C" w:rsidRPr="004D3E0F" w:rsidRDefault="00C43F4C" w:rsidP="005B7D3E">
      <w:pPr>
        <w:pStyle w:val="TableListNumber"/>
      </w:pPr>
      <w:r w:rsidRPr="004D3E0F">
        <w:t xml:space="preserve">Analysis of call recordings and supplementary information from retailers providing assistance to customers under the payment difficulty framework. </w:t>
      </w:r>
    </w:p>
    <w:p w14:paraId="1E187F9C" w14:textId="5A10C9F2" w:rsidR="00C43F4C" w:rsidRPr="004D3E0F" w:rsidRDefault="00C43F4C" w:rsidP="002334DA">
      <w:pPr>
        <w:pStyle w:val="TableListNumber"/>
      </w:pPr>
      <w:r w:rsidRPr="004D3E0F">
        <w:t xml:space="preserve">Assessment of, and </w:t>
      </w:r>
      <w:r w:rsidR="00ED4C73">
        <w:t>insight</w:t>
      </w:r>
      <w:r w:rsidRPr="004D3E0F">
        <w:t xml:space="preserve"> </w:t>
      </w:r>
      <w:r w:rsidR="00A83F0E">
        <w:t>into</w:t>
      </w:r>
      <w:r w:rsidRPr="004D3E0F">
        <w:t xml:space="preserve">, how retailers interacted with </w:t>
      </w:r>
      <w:r w:rsidR="00F10D84">
        <w:t>customer</w:t>
      </w:r>
      <w:r w:rsidRPr="004D3E0F">
        <w:t>s in these call recordings, primarily whether or not energy retailers are providing assistance to customers under the payment difficult framework appropriately.</w:t>
      </w:r>
    </w:p>
    <w:p w14:paraId="2CE445AF" w14:textId="51CE7F1F" w:rsidR="00C43F4C" w:rsidRPr="004D3E0F" w:rsidRDefault="00C43F4C" w:rsidP="002334DA">
      <w:pPr>
        <w:pStyle w:val="TableListNumber"/>
      </w:pPr>
      <w:r w:rsidRPr="004D3E0F">
        <w:t xml:space="preserve">Provision of this analysis, </w:t>
      </w:r>
      <w:r w:rsidR="00F10D84" w:rsidRPr="004D3E0F">
        <w:t>assessment,</w:t>
      </w:r>
      <w:r w:rsidRPr="004D3E0F">
        <w:t xml:space="preserve"> and </w:t>
      </w:r>
      <w:r w:rsidR="00ED4C73">
        <w:t>insight</w:t>
      </w:r>
      <w:r w:rsidRPr="004D3E0F">
        <w:t xml:space="preserve"> in forms appropriate for incorporation into the payment difficulty framework review findings report and as a supplementary report to be published publicly alongside the findings report when it is released.</w:t>
      </w:r>
    </w:p>
    <w:p w14:paraId="06712681" w14:textId="1B3A2981" w:rsidR="00C43F4C" w:rsidRPr="008F2BB0" w:rsidRDefault="002C3C1B" w:rsidP="00033227">
      <w:pPr>
        <w:rPr>
          <w:lang w:val="en"/>
        </w:rPr>
      </w:pPr>
      <w:r>
        <w:t xml:space="preserve">In the delivery of these services, </w:t>
      </w:r>
      <w:r w:rsidR="00AD4022">
        <w:t>ORIMA Research</w:t>
      </w:r>
      <w:r w:rsidR="00AD4022" w:rsidRPr="008F2BB0">
        <w:rPr>
          <w:lang w:val="en"/>
        </w:rPr>
        <w:t xml:space="preserve"> </w:t>
      </w:r>
      <w:r>
        <w:rPr>
          <w:lang w:val="en"/>
        </w:rPr>
        <w:t xml:space="preserve">produced: </w:t>
      </w:r>
    </w:p>
    <w:p w14:paraId="3DDEC6AE" w14:textId="74D6FEAB" w:rsidR="00C43F4C" w:rsidRDefault="002C3C1B" w:rsidP="002334DA">
      <w:pPr>
        <w:pStyle w:val="TableListNumber"/>
        <w:rPr>
          <w:lang w:val="en"/>
        </w:rPr>
      </w:pPr>
      <w:r>
        <w:t>A c</w:t>
      </w:r>
      <w:r w:rsidR="00C43F4C" w:rsidRPr="008F2BB0">
        <w:t>all recording</w:t>
      </w:r>
      <w:r w:rsidR="00BB6050">
        <w:t>s</w:t>
      </w:r>
      <w:r w:rsidR="00C43F4C" w:rsidRPr="008F2BB0">
        <w:t xml:space="preserve"> study report</w:t>
      </w:r>
      <w:r w:rsidR="00033227">
        <w:t>. T</w:t>
      </w:r>
      <w:r w:rsidR="00C43F4C" w:rsidRPr="008F2BB0">
        <w:t xml:space="preserve">his report </w:t>
      </w:r>
      <w:r>
        <w:t>is</w:t>
      </w:r>
      <w:r w:rsidR="00C43F4C" w:rsidRPr="008F2BB0">
        <w:t xml:space="preserve"> a summary of the themes and findings observed throughout the analysis of call recordings</w:t>
      </w:r>
      <w:r w:rsidR="00C43F4C">
        <w:t xml:space="preserve"> addressing the </w:t>
      </w:r>
      <w:r w:rsidR="00C43F4C" w:rsidRPr="008F2BB0">
        <w:t>objectives of the payment difficulty framework</w:t>
      </w:r>
      <w:r>
        <w:t xml:space="preserve"> and </w:t>
      </w:r>
      <w:r w:rsidR="00C43F4C">
        <w:t>k</w:t>
      </w:r>
      <w:r w:rsidR="00C43F4C" w:rsidRPr="00270A26">
        <w:rPr>
          <w:lang w:val="en"/>
        </w:rPr>
        <w:t xml:space="preserve">ey trends in the answers to call recording and information analysis.  </w:t>
      </w:r>
    </w:p>
    <w:p w14:paraId="2F62E8EC" w14:textId="03CFAA15" w:rsidR="00C43F4C" w:rsidRPr="00270A26" w:rsidRDefault="002C3C1B" w:rsidP="008D6E3F">
      <w:pPr>
        <w:pStyle w:val="TableListNumber"/>
        <w:rPr>
          <w:lang w:val="en"/>
        </w:rPr>
      </w:pPr>
      <w:r w:rsidRPr="008D6E3F">
        <w:rPr>
          <w:lang w:val="en"/>
        </w:rPr>
        <w:t xml:space="preserve">Five </w:t>
      </w:r>
      <w:r w:rsidR="008D6E3F" w:rsidRPr="008D6E3F">
        <w:t>customer</w:t>
      </w:r>
      <w:r w:rsidR="008D6E3F" w:rsidRPr="008D6E3F">
        <w:rPr>
          <w:lang w:val="en"/>
        </w:rPr>
        <w:t xml:space="preserve"> case studies of </w:t>
      </w:r>
      <w:r w:rsidR="00C43F4C" w:rsidRPr="00682898">
        <w:t>customers exemplifying particular observations or findings</w:t>
      </w:r>
      <w:r w:rsidR="00C43F4C" w:rsidRPr="00682898">
        <w:rPr>
          <w:lang w:val="en"/>
        </w:rPr>
        <w:t>.</w:t>
      </w:r>
      <w:r w:rsidR="00C43F4C" w:rsidRPr="00270A26">
        <w:rPr>
          <w:lang w:val="en"/>
        </w:rPr>
        <w:t xml:space="preserve"> </w:t>
      </w:r>
    </w:p>
    <w:p w14:paraId="64CDA3A2" w14:textId="4AE48241" w:rsidR="00C43F4C" w:rsidRPr="003C029F" w:rsidRDefault="00033227" w:rsidP="00C43F4C">
      <w:pPr>
        <w:rPr>
          <w:lang w:val="en"/>
        </w:rPr>
      </w:pPr>
      <w:r>
        <w:rPr>
          <w:lang w:val="en"/>
        </w:rPr>
        <w:t>These outputs have been released to accompany this report</w:t>
      </w:r>
      <w:r w:rsidR="00F16B96">
        <w:rPr>
          <w:lang w:val="en"/>
        </w:rPr>
        <w:t xml:space="preserve"> and are available on our </w:t>
      </w:r>
      <w:hyperlink r:id="rId123" w:history="1">
        <w:r w:rsidR="00F16B96" w:rsidRPr="00F16B96">
          <w:rPr>
            <w:rStyle w:val="Hyperlink"/>
            <w:lang w:val="en"/>
          </w:rPr>
          <w:t>website</w:t>
        </w:r>
      </w:hyperlink>
      <w:r>
        <w:rPr>
          <w:lang w:val="en"/>
        </w:rPr>
        <w:t>.</w:t>
      </w:r>
    </w:p>
    <w:p w14:paraId="3725795B" w14:textId="52ABF49D" w:rsidR="00CE46D9" w:rsidRDefault="00CE46D9" w:rsidP="00CE46D9">
      <w:pPr>
        <w:pStyle w:val="Heading1"/>
      </w:pPr>
      <w:bookmarkStart w:id="262" w:name="_Ref103770659"/>
      <w:bookmarkStart w:id="263" w:name="_Toc104850153"/>
      <w:r w:rsidRPr="00445D9A">
        <w:lastRenderedPageBreak/>
        <w:t xml:space="preserve">Appendix 2: </w:t>
      </w:r>
      <w:r w:rsidR="005C7B5F">
        <w:t>Additional c</w:t>
      </w:r>
      <w:r w:rsidRPr="00445D9A">
        <w:t xml:space="preserve">ustomer outcomes </w:t>
      </w:r>
      <w:r w:rsidR="005C7B5F">
        <w:t>analysis</w:t>
      </w:r>
      <w:bookmarkEnd w:id="262"/>
      <w:bookmarkEnd w:id="263"/>
    </w:p>
    <w:p w14:paraId="5537C256" w14:textId="77777777" w:rsidR="002A3C51" w:rsidRDefault="002A3C51" w:rsidP="002A3C51">
      <w:pPr>
        <w:pStyle w:val="Introductionsentence"/>
      </w:pPr>
      <w:bookmarkStart w:id="264" w:name="_Ref103773189"/>
      <w:r>
        <w:t>From September 2021 to April 2022, we collected and analysed a wide range of data to inform the review of the implementation of payment difficulty framework.</w:t>
      </w:r>
    </w:p>
    <w:p w14:paraId="572735F5" w14:textId="77777777" w:rsidR="002A3C51" w:rsidRDefault="002A3C51" w:rsidP="002A3C51">
      <w:r>
        <w:t>Since 2019, when the framework was implemented, we have collected quantitative data from retailers on the implementation of the framework. Our main source of data is from retailer reporting as required by the Compliance and Performance Reporting Guideline. This guideline requires each Victorian retailer to formally report to us aggregate and average data mostly relating to tailored assistance numbers, arrears levels, and disconnection.</w:t>
      </w:r>
      <w:r>
        <w:rPr>
          <w:rStyle w:val="FootnoteReference"/>
        </w:rPr>
        <w:footnoteReference w:id="149"/>
      </w:r>
    </w:p>
    <w:p w14:paraId="164DD43E" w14:textId="77777777" w:rsidR="002A3C51" w:rsidRDefault="002A3C51" w:rsidP="002A3C51">
      <w:r>
        <w:t>As part of the review, and in our on-going monitoring of the market, we have collected and analysed other data sources to supplement the regular reporting we receive. This included:</w:t>
      </w:r>
    </w:p>
    <w:p w14:paraId="42D41901" w14:textId="77777777" w:rsidR="002A3C51" w:rsidRDefault="002A3C51" w:rsidP="002A3C51">
      <w:pPr>
        <w:pStyle w:val="TableBullet"/>
      </w:pPr>
      <w:r>
        <w:t xml:space="preserve">Customer invoice data (of a sample of electricity customers) submitted by specific retailers, detailing the price customers are paying and their energy consumption. This data has been collected from retailers using our powers under the </w:t>
      </w:r>
      <w:r w:rsidRPr="006D2C40">
        <w:rPr>
          <w:i/>
          <w:iCs/>
        </w:rPr>
        <w:t>Essential Services Commission Act 2001</w:t>
      </w:r>
      <w:r>
        <w:t xml:space="preserve"> and is also data that has been submitted to the Australian Competition and Consumer Commission for its project on electricity marketing monitoring between 2018 and 2025.</w:t>
      </w:r>
      <w:r>
        <w:rPr>
          <w:rStyle w:val="FootnoteReference"/>
        </w:rPr>
        <w:footnoteReference w:id="150"/>
      </w:r>
    </w:p>
    <w:p w14:paraId="5DD003F8" w14:textId="77777777" w:rsidR="002A3C51" w:rsidRDefault="002A3C51" w:rsidP="002A3C51">
      <w:pPr>
        <w:pStyle w:val="TableBullet"/>
      </w:pPr>
      <w:r>
        <w:t xml:space="preserve">Data on concession and utility relief grants, by retailer, provided by the </w:t>
      </w:r>
      <w:r w:rsidRPr="00F67A39">
        <w:t>Department of Families, Fairness and Housing</w:t>
      </w:r>
      <w:r>
        <w:t>.</w:t>
      </w:r>
    </w:p>
    <w:p w14:paraId="10351B50" w14:textId="77777777" w:rsidR="002A3C51" w:rsidRDefault="002A3C51" w:rsidP="002A3C51">
      <w:pPr>
        <w:pStyle w:val="TableBullet"/>
      </w:pPr>
      <w:r>
        <w:t>Further data on customer disconnections, from a voluntarily request to electricity distributors.</w:t>
      </w:r>
    </w:p>
    <w:p w14:paraId="606573D9" w14:textId="77777777" w:rsidR="002A3C51" w:rsidRDefault="002A3C51" w:rsidP="002A3C51">
      <w:r>
        <w:t>We have analysed this quantitative data to understand the implementation of the framework as it relates to disconnected for non-payment, customer arrears, and the extent that customers receive assistance.</w:t>
      </w:r>
    </w:p>
    <w:p w14:paraId="2F1A36FB" w14:textId="77777777" w:rsidR="002A3C51" w:rsidRDefault="002A3C51" w:rsidP="002A3C51">
      <w:r>
        <w:t xml:space="preserve">This appendix provides additional data and figures not presented directly in the findings report. </w:t>
      </w:r>
    </w:p>
    <w:p w14:paraId="1809A9AB" w14:textId="77777777" w:rsidR="002A3C51" w:rsidRDefault="002A3C51" w:rsidP="002A3C51">
      <w:pPr>
        <w:spacing w:before="0" w:line="259" w:lineRule="auto"/>
        <w:rPr>
          <w:rFonts w:ascii="Tahoma" w:eastAsiaTheme="majorEastAsia" w:hAnsi="Tahoma" w:cstheme="majorBidi"/>
          <w:b/>
          <w:color w:val="4986A0" w:themeColor="text2"/>
          <w:szCs w:val="24"/>
        </w:rPr>
      </w:pPr>
      <w:r>
        <w:br w:type="page"/>
      </w:r>
    </w:p>
    <w:p w14:paraId="45BEB6CC" w14:textId="77777777" w:rsidR="002A3C51" w:rsidRDefault="002A3C51" w:rsidP="002A3C51">
      <w:pPr>
        <w:pStyle w:val="Heading2"/>
      </w:pPr>
      <w:bookmarkStart w:id="265" w:name="_Toc104850154"/>
      <w:r>
        <w:lastRenderedPageBreak/>
        <w:t>Standard assistance</w:t>
      </w:r>
      <w:bookmarkEnd w:id="265"/>
    </w:p>
    <w:p w14:paraId="40779A5C" w14:textId="69A9A503" w:rsidR="002A3C51" w:rsidRDefault="002A3C51" w:rsidP="002A3C51">
      <w:pPr>
        <w:pStyle w:val="Figure-Table-BoxHeading"/>
        <w:numPr>
          <w:ilvl w:val="0"/>
          <w:numId w:val="0"/>
        </w:numPr>
      </w:pPr>
      <w:bookmarkStart w:id="266" w:name="_Ref99640600"/>
      <w:bookmarkStart w:id="267" w:name="_Toc100134481"/>
      <w:bookmarkStart w:id="268" w:name="_Toc100137043"/>
      <w:bookmarkStart w:id="269" w:name="_Toc103943813"/>
      <w:r>
        <w:t xml:space="preserve">Figure </w:t>
      </w:r>
      <w:r>
        <w:fldChar w:fldCharType="begin"/>
      </w:r>
      <w:r>
        <w:instrText>SEQ Figure \* ARABIC</w:instrText>
      </w:r>
      <w:r>
        <w:fldChar w:fldCharType="separate"/>
      </w:r>
      <w:r w:rsidR="00357DD7">
        <w:rPr>
          <w:noProof/>
        </w:rPr>
        <w:t>43</w:t>
      </w:r>
      <w:r>
        <w:fldChar w:fldCharType="end"/>
      </w:r>
      <w:bookmarkEnd w:id="266"/>
      <w:r>
        <w:tab/>
        <w:t xml:space="preserve">Levels of </w:t>
      </w:r>
      <w:r w:rsidRPr="00FF311D">
        <w:t>standard</w:t>
      </w:r>
      <w:r>
        <w:t xml:space="preserve"> assistance since the framework introduced</w:t>
      </w:r>
      <w:bookmarkEnd w:id="267"/>
      <w:bookmarkEnd w:id="268"/>
      <w:bookmarkEnd w:id="269"/>
      <w:r w:rsidR="0000103B">
        <w:t>, 2019 to 2021</w:t>
      </w:r>
    </w:p>
    <w:p w14:paraId="476984A0" w14:textId="7CDB2AB7" w:rsidR="002A3C51" w:rsidRDefault="007C1EAE" w:rsidP="002A3C51">
      <w:pPr>
        <w:keepLines/>
      </w:pPr>
      <w:r w:rsidRPr="007C1EAE">
        <w:rPr>
          <w:noProof/>
        </w:rPr>
        <w:drawing>
          <wp:inline distT="0" distB="0" distL="0" distR="0" wp14:anchorId="2A485249" wp14:editId="0B6F239A">
            <wp:extent cx="6120130" cy="2162175"/>
            <wp:effectExtent l="0" t="0" r="0" b="9525"/>
            <wp:docPr id="100012" name="Picture 100012" descr="Bar chart showing the levels of standard assistance since the framework was introduced. The levels of assistance increased steadily from the second half of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Picture 100012" descr="Bar chart showing the levels of standard assistance since the framework was introduced. The levels of assistance increased steadily from the second half of 20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20130" cy="2162175"/>
                    </a:xfrm>
                    <a:prstGeom prst="rect">
                      <a:avLst/>
                    </a:prstGeom>
                    <a:noFill/>
                    <a:ln>
                      <a:noFill/>
                    </a:ln>
                  </pic:spPr>
                </pic:pic>
              </a:graphicData>
            </a:graphic>
          </wp:inline>
        </w:drawing>
      </w:r>
    </w:p>
    <w:p w14:paraId="3611D9B9" w14:textId="6DDB5668" w:rsidR="002A3C51" w:rsidRDefault="002A3C51" w:rsidP="002A3C51">
      <w:pPr>
        <w:pStyle w:val="Heading2"/>
      </w:pPr>
      <w:bookmarkStart w:id="270" w:name="_Toc104850155"/>
      <w:r>
        <w:t>Tailored assistance</w:t>
      </w:r>
      <w:bookmarkEnd w:id="270"/>
    </w:p>
    <w:p w14:paraId="099E5C5F" w14:textId="77777777" w:rsidR="00B24A0C" w:rsidRDefault="00B24A0C" w:rsidP="00B24A0C">
      <w:r>
        <w:t>Under the framework, customers can receive two forms of tailored assistance depending on whether they are:</w:t>
      </w:r>
    </w:p>
    <w:p w14:paraId="1B4A54B9" w14:textId="77777777" w:rsidR="00B24A0C" w:rsidRDefault="00B24A0C" w:rsidP="008E42FA">
      <w:pPr>
        <w:pStyle w:val="ListBullet"/>
        <w:numPr>
          <w:ilvl w:val="0"/>
          <w:numId w:val="21"/>
        </w:numPr>
      </w:pPr>
      <w:r>
        <w:t>able to continue paying for their ongoing bills while gradually reducing their debt (can pay their ongoing use), or</w:t>
      </w:r>
    </w:p>
    <w:p w14:paraId="0DA0F721" w14:textId="77777777" w:rsidR="00B24A0C" w:rsidRDefault="00B24A0C" w:rsidP="008E42FA">
      <w:pPr>
        <w:pStyle w:val="ListBullet"/>
        <w:numPr>
          <w:ilvl w:val="0"/>
          <w:numId w:val="21"/>
        </w:numPr>
      </w:pPr>
      <w:r>
        <w:t>unable to afford their ongoing and future energy use (cannot pay their ongoing use).</w:t>
      </w:r>
    </w:p>
    <w:p w14:paraId="128EC168" w14:textId="5A7D02D3" w:rsidR="00B24A0C" w:rsidRPr="00B24A0C" w:rsidRDefault="00B24A0C" w:rsidP="00B24A0C">
      <w:r>
        <w:t>During 2019, the first year of the framework, we observed an overall increase in customers receiving both forms of assistance. However, we have since seen a moderate increase in customers receiving assistance who can pay their ongoing usage, but a decrease in those who cannot</w:t>
      </w:r>
      <w:r w:rsidR="003951BD">
        <w:t>.</w:t>
      </w:r>
      <w:r w:rsidR="00845E99">
        <w:t xml:space="preserve"> Our analysis also indicates considerable variation between retailers on the proportion of tailored assistance customers who can and cannot pay on-going usage.</w:t>
      </w:r>
    </w:p>
    <w:p w14:paraId="65DA61C0" w14:textId="479E8DD7" w:rsidR="002A3C51" w:rsidRDefault="002A3C51" w:rsidP="002A3C51">
      <w:pPr>
        <w:pStyle w:val="Figure-Table-BoxHeading"/>
        <w:keepNext/>
        <w:numPr>
          <w:ilvl w:val="0"/>
          <w:numId w:val="0"/>
        </w:numPr>
      </w:pPr>
      <w:bookmarkStart w:id="271" w:name="_Ref86933857"/>
      <w:bookmarkStart w:id="272" w:name="_Toc100134483"/>
      <w:bookmarkStart w:id="273" w:name="_Toc100137045"/>
      <w:bookmarkStart w:id="274" w:name="_Toc103943814"/>
      <w:r>
        <w:lastRenderedPageBreak/>
        <w:t xml:space="preserve">Figure </w:t>
      </w:r>
      <w:r>
        <w:fldChar w:fldCharType="begin"/>
      </w:r>
      <w:r>
        <w:instrText>SEQ Figure \* ARABIC</w:instrText>
      </w:r>
      <w:r>
        <w:fldChar w:fldCharType="separate"/>
      </w:r>
      <w:r w:rsidR="00357DD7">
        <w:rPr>
          <w:noProof/>
        </w:rPr>
        <w:t>44</w:t>
      </w:r>
      <w:r>
        <w:fldChar w:fldCharType="end"/>
      </w:r>
      <w:bookmarkEnd w:id="271"/>
      <w:r>
        <w:tab/>
      </w:r>
      <w:r w:rsidR="0000103B">
        <w:t>Number of t</w:t>
      </w:r>
      <w:r>
        <w:t xml:space="preserve">ailored assistance electricity </w:t>
      </w:r>
      <w:r w:rsidRPr="00527339">
        <w:t>customers</w:t>
      </w:r>
      <w:r>
        <w:t xml:space="preserve"> by type of tailored assistance</w:t>
      </w:r>
      <w:bookmarkEnd w:id="272"/>
      <w:bookmarkEnd w:id="273"/>
      <w:bookmarkEnd w:id="274"/>
      <w:r w:rsidR="0000103B">
        <w:t>, 2019 to 2021</w:t>
      </w:r>
    </w:p>
    <w:p w14:paraId="05E4F0E6" w14:textId="77D9F6C7" w:rsidR="002A3C51" w:rsidRDefault="008D37BD" w:rsidP="00F10D84">
      <w:pPr>
        <w:spacing w:after="360"/>
      </w:pPr>
      <w:r w:rsidRPr="008D37BD">
        <w:rPr>
          <w:noProof/>
        </w:rPr>
        <w:drawing>
          <wp:inline distT="0" distB="0" distL="0" distR="0" wp14:anchorId="3E026C2E" wp14:editId="756FAF30">
            <wp:extent cx="6120130" cy="1979295"/>
            <wp:effectExtent l="0" t="0" r="0" b="1905"/>
            <wp:docPr id="100013" name="Picture 100013" descr="Bar chart showing tailored assistance for electricity customers by type of tailored assistance. The chart compares customers who can pay for ongoing usage and those who cannot. Assistance for customers who can pay has steadily increased, while it has slightly decreased for those who can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Picture 100013" descr="Bar chart showing tailored assistance for electricity customers by type of tailored assistance. The chart compares customers who can pay for ongoing usage and those who cannot. Assistance for customers who can pay has steadily increased, while it has slightly decreased for those who canno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20130" cy="1979295"/>
                    </a:xfrm>
                    <a:prstGeom prst="rect">
                      <a:avLst/>
                    </a:prstGeom>
                    <a:noFill/>
                    <a:ln>
                      <a:noFill/>
                    </a:ln>
                  </pic:spPr>
                </pic:pic>
              </a:graphicData>
            </a:graphic>
          </wp:inline>
        </w:drawing>
      </w:r>
      <w:r w:rsidR="002A3C51">
        <w:t xml:space="preserve"> </w:t>
      </w:r>
    </w:p>
    <w:p w14:paraId="3AFA5B7B" w14:textId="0D4FF217" w:rsidR="002A3C51" w:rsidRDefault="002A3C51" w:rsidP="002A3C51">
      <w:pPr>
        <w:pStyle w:val="Figure-Table-BoxHeading"/>
        <w:numPr>
          <w:ilvl w:val="0"/>
          <w:numId w:val="0"/>
        </w:numPr>
      </w:pPr>
      <w:bookmarkStart w:id="275" w:name="_Ref99642821"/>
      <w:bookmarkStart w:id="276" w:name="_Toc100134485"/>
      <w:bookmarkStart w:id="277" w:name="_Toc100137047"/>
      <w:bookmarkStart w:id="278" w:name="_Toc103943815"/>
      <w:r>
        <w:t xml:space="preserve">Figure </w:t>
      </w:r>
      <w:r>
        <w:fldChar w:fldCharType="begin"/>
      </w:r>
      <w:r>
        <w:instrText>SEQ Figure \* ARABIC</w:instrText>
      </w:r>
      <w:r>
        <w:fldChar w:fldCharType="separate"/>
      </w:r>
      <w:r w:rsidR="00357DD7">
        <w:rPr>
          <w:noProof/>
        </w:rPr>
        <w:t>45</w:t>
      </w:r>
      <w:r>
        <w:fldChar w:fldCharType="end"/>
      </w:r>
      <w:bookmarkEnd w:id="275"/>
      <w:r>
        <w:tab/>
        <w:t>Proportion of tailored assistance customers, by retailer</w:t>
      </w:r>
      <w:r w:rsidR="0000103B">
        <w:t xml:space="preserve"> size,</w:t>
      </w:r>
      <w:r w:rsidR="00624A03">
        <w:t xml:space="preserve"> June 2020 to December 2021</w:t>
      </w:r>
      <w:bookmarkEnd w:id="276"/>
      <w:bookmarkEnd w:id="277"/>
      <w:bookmarkEnd w:id="278"/>
    </w:p>
    <w:p w14:paraId="319452CE" w14:textId="219AAEAB" w:rsidR="002A3C51" w:rsidRDefault="00685D3E" w:rsidP="002A3C51">
      <w:bookmarkStart w:id="279" w:name="_Toc99120277"/>
      <w:r w:rsidRPr="00685D3E">
        <w:rPr>
          <w:noProof/>
        </w:rPr>
        <w:drawing>
          <wp:inline distT="0" distB="0" distL="0" distR="0" wp14:anchorId="21192E28" wp14:editId="278AC28A">
            <wp:extent cx="6120130" cy="1796415"/>
            <wp:effectExtent l="0" t="0" r="0" b="0"/>
            <wp:docPr id="100015" name="Picture 100015" descr="Bar chart showing the proportion of tailored assistance customers, by size of retailer. The chart compares customers who can pay for ongoing usage and those who cannot from June 2020 to December 2021. Large and medium retailers have significantly more customers who can pay for ongoing usage receiving assistance. However, small retailers have a higher proportion of customers who cannot pay for ongoing usage receiving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Picture 100015" descr="Bar chart showing the proportion of tailored assistance customers, by size of retailer. The chart compares customers who can pay for ongoing usage and those who cannot from June 2020 to December 2021. Large and medium retailers have significantly more customers who can pay for ongoing usage receiving assistance. However, small retailers have a higher proportion of customers who cannot pay for ongoing usage receiving assistanc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20130" cy="1796415"/>
                    </a:xfrm>
                    <a:prstGeom prst="rect">
                      <a:avLst/>
                    </a:prstGeom>
                    <a:noFill/>
                    <a:ln>
                      <a:noFill/>
                    </a:ln>
                  </pic:spPr>
                </pic:pic>
              </a:graphicData>
            </a:graphic>
          </wp:inline>
        </w:drawing>
      </w:r>
    </w:p>
    <w:p w14:paraId="22396980" w14:textId="77777777" w:rsidR="002A3C51" w:rsidRDefault="002A3C51" w:rsidP="00B565A4">
      <w:pPr>
        <w:pStyle w:val="Heading3"/>
      </w:pPr>
      <w:r>
        <w:lastRenderedPageBreak/>
        <w:t>Geographical location of tailored assistance customers</w:t>
      </w:r>
    </w:p>
    <w:p w14:paraId="0F9123FA" w14:textId="0F469F4D" w:rsidR="002A3C51" w:rsidRDefault="002A05C5" w:rsidP="00B565A4">
      <w:pPr>
        <w:keepNext/>
        <w:keepLines/>
      </w:pPr>
      <w:r>
        <w:fldChar w:fldCharType="begin"/>
      </w:r>
      <w:r>
        <w:instrText xml:space="preserve"> REF _Ref99641046 \h </w:instrText>
      </w:r>
      <w:r>
        <w:fldChar w:fldCharType="separate"/>
      </w:r>
      <w:r w:rsidR="00357DD7">
        <w:t xml:space="preserve">Figure </w:t>
      </w:r>
      <w:r w:rsidR="00357DD7">
        <w:rPr>
          <w:noProof/>
        </w:rPr>
        <w:t>46</w:t>
      </w:r>
      <w:r>
        <w:fldChar w:fldCharType="end"/>
      </w:r>
      <w:r w:rsidR="002A3C51">
        <w:t xml:space="preserve"> is based on a voluntary data request to retailers about where tailored assistance customers were located (by postcode, as at 30 June 2021), which shows that a higher proportion of regional Victorian customers are accessing tailored assistance compared to metropolitan Melbourne.</w:t>
      </w:r>
    </w:p>
    <w:p w14:paraId="65E0ECF4" w14:textId="701E9A7B" w:rsidR="002A3C51" w:rsidRPr="009237D4" w:rsidRDefault="002A3C51" w:rsidP="00B565A4">
      <w:pPr>
        <w:pStyle w:val="Figure-Table-BoxHeading"/>
        <w:keepNext/>
        <w:keepLines/>
        <w:numPr>
          <w:ilvl w:val="0"/>
          <w:numId w:val="0"/>
        </w:numPr>
      </w:pPr>
      <w:bookmarkStart w:id="280" w:name="_Ref99641046"/>
      <w:bookmarkStart w:id="281" w:name="_Toc100134487"/>
      <w:bookmarkStart w:id="282" w:name="_Toc100137049"/>
      <w:bookmarkStart w:id="283" w:name="_Toc103943816"/>
      <w:bookmarkStart w:id="284" w:name="_Ref104394820"/>
      <w:r>
        <w:t xml:space="preserve">Figure </w:t>
      </w:r>
      <w:r>
        <w:fldChar w:fldCharType="begin"/>
      </w:r>
      <w:r>
        <w:instrText>SEQ Figure \* ARABIC</w:instrText>
      </w:r>
      <w:r>
        <w:fldChar w:fldCharType="separate"/>
      </w:r>
      <w:r w:rsidR="00357DD7">
        <w:rPr>
          <w:noProof/>
        </w:rPr>
        <w:t>46</w:t>
      </w:r>
      <w:r>
        <w:fldChar w:fldCharType="end"/>
      </w:r>
      <w:bookmarkEnd w:id="280"/>
      <w:r>
        <w:tab/>
        <w:t>Proportion of Victorian receiving tailored assistance by Local Government Area</w:t>
      </w:r>
      <w:bookmarkEnd w:id="281"/>
      <w:bookmarkEnd w:id="282"/>
      <w:bookmarkEnd w:id="283"/>
      <w:bookmarkEnd w:id="284"/>
    </w:p>
    <w:p w14:paraId="00EF2AAE" w14:textId="2FD6368C" w:rsidR="002A3C51" w:rsidRDefault="008E7465" w:rsidP="00B565A4">
      <w:pPr>
        <w:keepNext/>
        <w:keepLines/>
        <w:rPr>
          <w:lang w:val="en-US"/>
        </w:rPr>
      </w:pPr>
      <w:r>
        <w:rPr>
          <w:noProof/>
          <w:lang w:val="en-US"/>
        </w:rPr>
        <w:drawing>
          <wp:inline distT="0" distB="0" distL="0" distR="0" wp14:anchorId="563F615D" wp14:editId="7A0AAE0A">
            <wp:extent cx="6120000" cy="4287429"/>
            <wp:effectExtent l="0" t="0" r="0" b="0"/>
            <wp:docPr id="100016" name="Picture 100016" descr="Map showing the proportion of Victorian residents receiving tailored assistance by local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Picture 100016" descr="Map showing the proportion of Victorian residents receiving tailored assistance by local government."/>
                    <pic:cNvPicPr/>
                  </pic:nvPicPr>
                  <pic:blipFill>
                    <a:blip r:embed="rId127">
                      <a:extLst>
                        <a:ext uri="{28A0092B-C50C-407E-A947-70E740481C1C}">
                          <a14:useLocalDpi xmlns:a14="http://schemas.microsoft.com/office/drawing/2010/main" val="0"/>
                        </a:ext>
                      </a:extLst>
                    </a:blip>
                    <a:stretch>
                      <a:fillRect/>
                    </a:stretch>
                  </pic:blipFill>
                  <pic:spPr>
                    <a:xfrm>
                      <a:off x="0" y="0"/>
                      <a:ext cx="6120000" cy="4287429"/>
                    </a:xfrm>
                    <a:prstGeom prst="rect">
                      <a:avLst/>
                    </a:prstGeom>
                  </pic:spPr>
                </pic:pic>
              </a:graphicData>
            </a:graphic>
          </wp:inline>
        </w:drawing>
      </w:r>
    </w:p>
    <w:p w14:paraId="14752174" w14:textId="77777777" w:rsidR="002A3C51" w:rsidRDefault="002A3C51" w:rsidP="00B565A4">
      <w:pPr>
        <w:pStyle w:val="Figure-Table-BoxSubtitle"/>
        <w:keepNext/>
        <w:keepLines/>
      </w:pPr>
      <w:bookmarkStart w:id="285" w:name="_Toc99120291"/>
      <w:bookmarkStart w:id="286" w:name="_Ref99630351"/>
      <w:bookmarkStart w:id="287" w:name="_Toc100134469"/>
      <w:bookmarkStart w:id="288" w:name="_Toc100137031"/>
    </w:p>
    <w:p w14:paraId="17330A2A" w14:textId="71BA13A0" w:rsidR="005D245E" w:rsidRPr="00CA00BA" w:rsidRDefault="005D245E" w:rsidP="005D245E">
      <w:pPr>
        <w:pStyle w:val="Caption"/>
        <w:rPr>
          <w:lang w:val="en-US"/>
        </w:rPr>
      </w:pPr>
      <w:r>
        <w:t>Source: Voluntary data request to retailers to inform the review.</w:t>
      </w:r>
    </w:p>
    <w:p w14:paraId="7245071C" w14:textId="77777777" w:rsidR="002A3C51" w:rsidRDefault="002A3C51" w:rsidP="00B565A4">
      <w:pPr>
        <w:pStyle w:val="Figure-Table-BoxSubtitle"/>
        <w:keepNext/>
        <w:keepLines/>
        <w:sectPr w:rsidR="002A3C51" w:rsidSect="002A3C51">
          <w:headerReference w:type="even" r:id="rId128"/>
          <w:headerReference w:type="default" r:id="rId129"/>
          <w:footerReference w:type="even" r:id="rId130"/>
          <w:footerReference w:type="default" r:id="rId131"/>
          <w:headerReference w:type="first" r:id="rId132"/>
          <w:footerReference w:type="first" r:id="rId133"/>
          <w:type w:val="continuous"/>
          <w:pgSz w:w="11906" w:h="16838" w:code="9"/>
          <w:pgMar w:top="1134" w:right="1134" w:bottom="1134" w:left="1134" w:header="709" w:footer="692" w:gutter="0"/>
          <w:cols w:space="708"/>
          <w:docGrid w:linePitch="360"/>
        </w:sectPr>
      </w:pPr>
    </w:p>
    <w:p w14:paraId="5D2EBC53" w14:textId="7B4F70FD" w:rsidR="002A3C51" w:rsidRDefault="002A3C51" w:rsidP="002A3C51">
      <w:pPr>
        <w:pStyle w:val="Heading3"/>
      </w:pPr>
      <w:r>
        <w:lastRenderedPageBreak/>
        <w:t xml:space="preserve">Time taken to commence </w:t>
      </w:r>
      <w:r w:rsidR="002A05C5">
        <w:t xml:space="preserve">tailored </w:t>
      </w:r>
      <w:r>
        <w:t>assistance</w:t>
      </w:r>
    </w:p>
    <w:p w14:paraId="64FBAAF8" w14:textId="3C226F07" w:rsidR="002A3C51" w:rsidRPr="005F0A32" w:rsidRDefault="002A3C51" w:rsidP="00503686">
      <w:pPr>
        <w:pStyle w:val="Figure-Table-BoxHeading"/>
        <w:keepNext/>
        <w:keepLines/>
        <w:numPr>
          <w:ilvl w:val="0"/>
          <w:numId w:val="0"/>
        </w:numPr>
        <w:spacing w:after="0"/>
      </w:pPr>
      <w:bookmarkStart w:id="289" w:name="_Toc103943817"/>
      <w:r w:rsidRPr="005F0A32" w:rsidDel="00B5068A">
        <w:t xml:space="preserve">Figure </w:t>
      </w:r>
      <w:r w:rsidRPr="005F0A32" w:rsidDel="00B5068A">
        <w:fldChar w:fldCharType="begin"/>
      </w:r>
      <w:r w:rsidRPr="005F0A32" w:rsidDel="00B5068A">
        <w:instrText>SEQ Figure \* ARABIC</w:instrText>
      </w:r>
      <w:r w:rsidRPr="005F0A32" w:rsidDel="00B5068A">
        <w:fldChar w:fldCharType="separate"/>
      </w:r>
      <w:r w:rsidR="00357DD7">
        <w:rPr>
          <w:noProof/>
        </w:rPr>
        <w:t>47</w:t>
      </w:r>
      <w:r w:rsidRPr="005F0A32" w:rsidDel="00B5068A">
        <w:fldChar w:fldCharType="end"/>
      </w:r>
      <w:r>
        <w:tab/>
      </w:r>
      <w:r w:rsidRPr="005F0A32" w:rsidDel="00B5068A">
        <w:t xml:space="preserve">Proportion of electricity customers </w:t>
      </w:r>
      <w:r>
        <w:t xml:space="preserve">commencing </w:t>
      </w:r>
      <w:r w:rsidRPr="005F0A32">
        <w:t>assistance</w:t>
      </w:r>
      <w:r>
        <w:t>,</w:t>
      </w:r>
      <w:r w:rsidRPr="005F0A32">
        <w:t xml:space="preserve"> by age of overdue bills</w:t>
      </w:r>
      <w:bookmarkEnd w:id="289"/>
    </w:p>
    <w:p w14:paraId="25DADEBC" w14:textId="5D0450E6" w:rsidR="002A3C51" w:rsidRDefault="00E77448" w:rsidP="00BD3C03">
      <w:pPr>
        <w:pStyle w:val="ListBullet"/>
        <w:keepNext/>
        <w:keepLines/>
        <w:numPr>
          <w:ilvl w:val="0"/>
          <w:numId w:val="0"/>
        </w:numPr>
        <w:spacing w:after="0"/>
        <w:contextualSpacing w:val="0"/>
      </w:pPr>
      <w:r w:rsidRPr="00E77448">
        <w:rPr>
          <w:noProof/>
        </w:rPr>
        <w:drawing>
          <wp:inline distT="0" distB="0" distL="0" distR="0" wp14:anchorId="55A4E162" wp14:editId="4DDBDD91">
            <wp:extent cx="6120000" cy="2163925"/>
            <wp:effectExtent l="0" t="0" r="0" b="8255"/>
            <wp:docPr id="100018" name="Picture 100018" descr="Bar chart showing the proportion of electricity customers commencing assistance based on how many days overdue the bills are. The chart compares customers who can pay for ongoing usage and those who cannot. The most common number of days is 0-30 days for both groups of customers. The second most common is 180 days or 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Picture 100018" descr="Bar chart showing the proportion of electricity customers commencing assistance based on how many days overdue the bills are. The chart compares customers who can pay for ongoing usage and those who cannot. The most common number of days is 0-30 days for both groups of customers. The second most common is 180 days or more. "/>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120000" cy="2163925"/>
                    </a:xfrm>
                    <a:prstGeom prst="rect">
                      <a:avLst/>
                    </a:prstGeom>
                    <a:noFill/>
                    <a:ln>
                      <a:noFill/>
                    </a:ln>
                  </pic:spPr>
                </pic:pic>
              </a:graphicData>
            </a:graphic>
          </wp:inline>
        </w:drawing>
      </w:r>
    </w:p>
    <w:p w14:paraId="49EFC5DA" w14:textId="71C4D8AF" w:rsidR="005D245E" w:rsidRDefault="005D245E" w:rsidP="00F10D84">
      <w:pPr>
        <w:pStyle w:val="Caption"/>
        <w:spacing w:after="360"/>
      </w:pPr>
      <w:r>
        <w:t>Source: Voluntary data request to retailers to inform the review.</w:t>
      </w:r>
      <w:r>
        <w:rPr>
          <w:lang w:val="en-US"/>
        </w:rPr>
        <w:t xml:space="preserve"> </w:t>
      </w:r>
    </w:p>
    <w:p w14:paraId="589FA8B0" w14:textId="1D0CDC58" w:rsidR="002A3C51" w:rsidRDefault="002A3C51" w:rsidP="002A3C51">
      <w:pPr>
        <w:pStyle w:val="Heading3"/>
      </w:pPr>
      <w:r>
        <w:t>Practical assistance, concessions and utility relief grants</w:t>
      </w:r>
    </w:p>
    <w:p w14:paraId="116DE4F4" w14:textId="7219E962" w:rsidR="00D93011" w:rsidRPr="00D93011" w:rsidRDefault="00D93011" w:rsidP="00D93011">
      <w:r>
        <w:t>During the coronavirus pandemic, we collected further data from retailers on customers calls seeking assistance</w:t>
      </w:r>
      <w:r w:rsidR="007C19B8">
        <w:t xml:space="preserve"> and </w:t>
      </w:r>
      <w:r>
        <w:t>observed a</w:t>
      </w:r>
      <w:r w:rsidR="007C19B8">
        <w:t>n</w:t>
      </w:r>
      <w:r>
        <w:t xml:space="preserve"> increase in customers enquiring about assistance in 2020.</w:t>
      </w:r>
    </w:p>
    <w:p w14:paraId="00175257" w14:textId="5A3A303A" w:rsidR="002A3C51" w:rsidRPr="002B5F1C" w:rsidRDefault="002A3C51" w:rsidP="00503686">
      <w:pPr>
        <w:pStyle w:val="Figure-Table-BoxHeading"/>
        <w:numPr>
          <w:ilvl w:val="0"/>
          <w:numId w:val="0"/>
        </w:numPr>
        <w:spacing w:after="0"/>
      </w:pPr>
      <w:bookmarkStart w:id="290" w:name="_Ref87002207"/>
      <w:bookmarkStart w:id="291" w:name="_Toc100134488"/>
      <w:bookmarkStart w:id="292" w:name="_Toc100137050"/>
      <w:bookmarkStart w:id="293" w:name="_Toc103943818"/>
      <w:r w:rsidRPr="002B5F1C">
        <w:t xml:space="preserve">Figure </w:t>
      </w:r>
      <w:r>
        <w:fldChar w:fldCharType="begin"/>
      </w:r>
      <w:r>
        <w:instrText>SEQ Figure \* ARABIC</w:instrText>
      </w:r>
      <w:r>
        <w:fldChar w:fldCharType="separate"/>
      </w:r>
      <w:r w:rsidR="00357DD7">
        <w:rPr>
          <w:noProof/>
        </w:rPr>
        <w:t>48</w:t>
      </w:r>
      <w:r>
        <w:fldChar w:fldCharType="end"/>
      </w:r>
      <w:bookmarkEnd w:id="290"/>
      <w:r>
        <w:tab/>
      </w:r>
      <w:r w:rsidRPr="002B5F1C">
        <w:t>Electricity residential accounts commencing tailored assistance and offered practical assistance measures</w:t>
      </w:r>
      <w:r>
        <w:t xml:space="preserve">, compared to </w:t>
      </w:r>
      <w:r w:rsidRPr="002B5F1C">
        <w:t>customers enquiring about assistance</w:t>
      </w:r>
      <w:bookmarkEnd w:id="291"/>
      <w:bookmarkEnd w:id="292"/>
      <w:bookmarkEnd w:id="293"/>
    </w:p>
    <w:p w14:paraId="19BE8463" w14:textId="09A06FDC" w:rsidR="002A3C51" w:rsidRPr="001A21B1" w:rsidRDefault="002A3C51" w:rsidP="002A3C51">
      <w:pPr>
        <w:rPr>
          <w:rFonts w:ascii="Tahoma" w:eastAsiaTheme="majorEastAsia" w:hAnsi="Tahoma" w:cstheme="majorBidi"/>
          <w:b/>
          <w:color w:val="4986A0" w:themeColor="text2"/>
          <w:szCs w:val="24"/>
        </w:rPr>
      </w:pPr>
      <w:r>
        <w:rPr>
          <w:noProof/>
        </w:rPr>
        <w:drawing>
          <wp:inline distT="0" distB="0" distL="0" distR="0" wp14:anchorId="5299357E" wp14:editId="36DE7359">
            <wp:extent cx="6121400" cy="2374711"/>
            <wp:effectExtent l="0" t="0" r="0" b="6985"/>
            <wp:docPr id="9" name="Chart 9" descr="Compound bar and line chart showing electricity residential accounts commencing tailored assistance and offered practical assistance measures, compared to customers enquiring about assistance. &#10;Customers enquiring about assistance increased between April and May 2020  but decreased slightly from June 2020. The number of residential accounts offered practical assistance measures and tailored assistance has remained steady.">
              <a:extLst xmlns:a="http://schemas.openxmlformats.org/drawingml/2006/main">
                <a:ext uri="{FF2B5EF4-FFF2-40B4-BE49-F238E27FC236}">
                  <a16:creationId xmlns:a16="http://schemas.microsoft.com/office/drawing/2014/main" id="{D00C4B13-8577-467F-BD8A-5B82C608F9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18E002A8" w14:textId="77777777" w:rsidR="00AD13DA" w:rsidRDefault="00AD13DA">
      <w:pPr>
        <w:spacing w:before="0" w:line="259" w:lineRule="auto"/>
        <w:rPr>
          <w:rFonts w:asciiTheme="majorHAnsi" w:eastAsiaTheme="majorEastAsia" w:hAnsiTheme="majorHAnsi" w:cstheme="majorBidi"/>
          <w:b/>
          <w:color w:val="4986A0" w:themeColor="text2"/>
          <w:szCs w:val="24"/>
          <w:lang w:val="en-US"/>
        </w:rPr>
      </w:pPr>
      <w:bookmarkStart w:id="294" w:name="_Ref87006119"/>
      <w:bookmarkStart w:id="295" w:name="_Toc100134489"/>
      <w:bookmarkStart w:id="296" w:name="_Toc100137051"/>
      <w:bookmarkEnd w:id="285"/>
      <w:r>
        <w:br w:type="page"/>
      </w:r>
    </w:p>
    <w:p w14:paraId="637D89EC" w14:textId="77777777" w:rsidR="00B36DAA" w:rsidRDefault="00B36DAA" w:rsidP="00B36DAA">
      <w:r>
        <w:lastRenderedPageBreak/>
        <w:t>In Victoria, the following supports are available for eligible customers:</w:t>
      </w:r>
    </w:p>
    <w:p w14:paraId="6221155F" w14:textId="77777777" w:rsidR="00B36DAA" w:rsidRDefault="00B36DAA" w:rsidP="008E42FA">
      <w:pPr>
        <w:pStyle w:val="ListBullet"/>
        <w:numPr>
          <w:ilvl w:val="0"/>
          <w:numId w:val="25"/>
        </w:numPr>
      </w:pPr>
      <w:r>
        <w:t>Annual electricity concessions (applied all year), provide a 17.5 per cent reduction on an electricity bill.</w:t>
      </w:r>
    </w:p>
    <w:p w14:paraId="2A3DDA45" w14:textId="77777777" w:rsidR="00B36DAA" w:rsidRDefault="00B36DAA" w:rsidP="008E42FA">
      <w:pPr>
        <w:pStyle w:val="ListBullet"/>
        <w:numPr>
          <w:ilvl w:val="0"/>
          <w:numId w:val="25"/>
        </w:numPr>
      </w:pPr>
      <w:r>
        <w:t>Winter gas concession (applied between 1 May to 31 October), provides a 17.5 per cent reduction on a gas bill for the relevant period</w:t>
      </w:r>
    </w:p>
    <w:p w14:paraId="21EB4D1A" w14:textId="77777777" w:rsidR="00B36DAA" w:rsidRDefault="00B36DAA" w:rsidP="008E42FA">
      <w:pPr>
        <w:pStyle w:val="ListBullet"/>
        <w:numPr>
          <w:ilvl w:val="0"/>
          <w:numId w:val="25"/>
        </w:numPr>
      </w:pPr>
      <w:r>
        <w:t>Utility relief grants, for eligible households every two years – of up to $650 for electricity and gas separately or $1,300 if a household has only a single source of energy.</w:t>
      </w:r>
    </w:p>
    <w:p w14:paraId="6C67C22F" w14:textId="3E6FEFD2" w:rsidR="00B36DAA" w:rsidRDefault="00B36DAA" w:rsidP="00B36DAA">
      <w:r>
        <w:t>Almost one million Victorian households received annual electricity concessions in 2020–21</w:t>
      </w:r>
      <w:r w:rsidR="009C6067">
        <w:t>, which was an increase of around 12 per cent from the previous year</w:t>
      </w:r>
      <w:r>
        <w:t>.</w:t>
      </w:r>
      <w:r w:rsidR="003A5D6C">
        <w:rPr>
          <w:rStyle w:val="FootnoteReference"/>
        </w:rPr>
        <w:footnoteReference w:id="151"/>
      </w:r>
      <w:r w:rsidR="00BE582B">
        <w:t xml:space="preserve"> For utility relief grants, we have observed a significant increase in customers accessing these grants. Over 69,000 residential electricity customers received these grants within the last two years.</w:t>
      </w:r>
    </w:p>
    <w:p w14:paraId="3CE986F5" w14:textId="1E2727D0" w:rsidR="002A3C51" w:rsidRPr="00A107F9" w:rsidRDefault="002A3C51" w:rsidP="00B07FBC">
      <w:pPr>
        <w:pStyle w:val="Figureheading"/>
      </w:pPr>
      <w:bookmarkStart w:id="297" w:name="_Toc103943819"/>
      <w:r w:rsidRPr="00A107F9">
        <w:t xml:space="preserve">Figure </w:t>
      </w:r>
      <w:r w:rsidRPr="00A107F9">
        <w:fldChar w:fldCharType="begin"/>
      </w:r>
      <w:r>
        <w:instrText>SEQ Figure \* ARABIC</w:instrText>
      </w:r>
      <w:r w:rsidRPr="00A107F9">
        <w:fldChar w:fldCharType="separate"/>
      </w:r>
      <w:r w:rsidR="00357DD7">
        <w:rPr>
          <w:noProof/>
        </w:rPr>
        <w:t>49</w:t>
      </w:r>
      <w:r w:rsidRPr="00A107F9">
        <w:fldChar w:fldCharType="end"/>
      </w:r>
      <w:bookmarkEnd w:id="294"/>
      <w:r>
        <w:tab/>
      </w:r>
      <w:r w:rsidR="004E4F64">
        <w:t>Number of h</w:t>
      </w:r>
      <w:r>
        <w:t>ouseholds that received a</w:t>
      </w:r>
      <w:r w:rsidRPr="00A107F9">
        <w:t>nnual concessions for electricity and gas</w:t>
      </w:r>
      <w:bookmarkEnd w:id="295"/>
      <w:bookmarkEnd w:id="296"/>
      <w:bookmarkEnd w:id="297"/>
      <w:r w:rsidR="004E4F64">
        <w:t xml:space="preserve">, from 2017-18 to </w:t>
      </w:r>
      <w:r w:rsidR="00FE3A38">
        <w:t>2020-21</w:t>
      </w:r>
      <w:r w:rsidRPr="00A107F9">
        <w:t xml:space="preserve"> </w:t>
      </w:r>
    </w:p>
    <w:p w14:paraId="65EB46F4" w14:textId="6AEFF867" w:rsidR="002A3C51" w:rsidRDefault="002A3C51" w:rsidP="00503686">
      <w:pPr>
        <w:spacing w:before="0" w:after="0"/>
      </w:pPr>
      <w:r>
        <w:rPr>
          <w:noProof/>
        </w:rPr>
        <w:drawing>
          <wp:inline distT="0" distB="0" distL="0" distR="0" wp14:anchorId="2F9C04E5" wp14:editId="14632A7F">
            <wp:extent cx="6120000" cy="1583141"/>
            <wp:effectExtent l="0" t="0" r="0" b="0"/>
            <wp:docPr id="55" name="Chart 55" descr="Bar chart showing households that received annual concessions for electricity and gas in financial year 17-18 until financial year 20-21. &#10;The number of households receiving concessions has increased slightly. More households receive concessions for electricity compared to gas.">
              <a:extLst xmlns:a="http://schemas.openxmlformats.org/drawingml/2006/main">
                <a:ext uri="{FF2B5EF4-FFF2-40B4-BE49-F238E27FC236}">
                  <a16:creationId xmlns:a16="http://schemas.microsoft.com/office/drawing/2014/main" id="{66FBF4C5-6877-415F-8E3A-3FF695B3C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0E0DE020" w14:textId="5975B44F" w:rsidR="002A3C51" w:rsidRDefault="005D245E" w:rsidP="00714CDD">
      <w:pPr>
        <w:pStyle w:val="Caption"/>
      </w:pPr>
      <w:r>
        <w:t xml:space="preserve">Source: </w:t>
      </w:r>
      <w:r w:rsidR="002A3C51">
        <w:t>Data provided by the Department of Families, Fairness and Housing Victoria</w:t>
      </w:r>
    </w:p>
    <w:p w14:paraId="46894665" w14:textId="54EAAF45" w:rsidR="002F3F25" w:rsidRPr="009618B5" w:rsidRDefault="002A3C51" w:rsidP="00F10D84">
      <w:pPr>
        <w:pStyle w:val="Figureheading"/>
        <w:keepNext/>
        <w:spacing w:before="360"/>
        <w:rPr>
          <w:rStyle w:val="Figure-Table-BoxHeadingChar"/>
          <w:b/>
        </w:rPr>
      </w:pPr>
      <w:bookmarkStart w:id="298" w:name="_Ref86935748"/>
      <w:bookmarkStart w:id="299" w:name="_Toc103943820"/>
      <w:bookmarkStart w:id="300" w:name="_Toc100134491"/>
      <w:bookmarkStart w:id="301" w:name="_Toc100137053"/>
      <w:r w:rsidRPr="009618B5">
        <w:rPr>
          <w:rStyle w:val="Figure-Table-BoxHeadingChar"/>
          <w:b/>
        </w:rPr>
        <w:lastRenderedPageBreak/>
        <w:t xml:space="preserve">Figure </w:t>
      </w:r>
      <w:r w:rsidRPr="009618B5">
        <w:rPr>
          <w:rStyle w:val="Figure-Table-BoxHeadingChar"/>
          <w:b/>
        </w:rPr>
        <w:fldChar w:fldCharType="begin"/>
      </w:r>
      <w:r w:rsidRPr="009618B5">
        <w:rPr>
          <w:rStyle w:val="Figure-Table-BoxHeadingChar"/>
          <w:b/>
        </w:rPr>
        <w:instrText>SEQ Figure \* ARABIC</w:instrText>
      </w:r>
      <w:r w:rsidRPr="009618B5">
        <w:rPr>
          <w:rStyle w:val="Figure-Table-BoxHeadingChar"/>
          <w:b/>
        </w:rPr>
        <w:fldChar w:fldCharType="separate"/>
      </w:r>
      <w:r w:rsidR="00357DD7">
        <w:rPr>
          <w:rStyle w:val="Figure-Table-BoxHeadingChar"/>
          <w:b/>
          <w:noProof/>
        </w:rPr>
        <w:t>50</w:t>
      </w:r>
      <w:r w:rsidRPr="009618B5">
        <w:rPr>
          <w:rStyle w:val="Figure-Table-BoxHeadingChar"/>
          <w:b/>
        </w:rPr>
        <w:fldChar w:fldCharType="end"/>
      </w:r>
      <w:bookmarkEnd w:id="298"/>
      <w:r w:rsidRPr="009618B5">
        <w:rPr>
          <w:rStyle w:val="Figure-Table-BoxHeadingChar"/>
          <w:b/>
        </w:rPr>
        <w:tab/>
        <w:t>Number of utility relief grants approved</w:t>
      </w:r>
      <w:bookmarkEnd w:id="299"/>
      <w:r w:rsidR="00FE3A38">
        <w:rPr>
          <w:rStyle w:val="Figure-Table-BoxHeadingChar"/>
          <w:b/>
        </w:rPr>
        <w:t xml:space="preserve">, </w:t>
      </w:r>
      <w:r w:rsidR="00FE3A38">
        <w:t>from 2017-18 to 2020-21, by electricity and gas</w:t>
      </w:r>
    </w:p>
    <w:p w14:paraId="1C0EFFB0" w14:textId="100C438E" w:rsidR="00CE7364" w:rsidRDefault="002A3C51" w:rsidP="00F10D84">
      <w:pPr>
        <w:spacing w:after="360"/>
      </w:pPr>
      <w:r>
        <w:rPr>
          <w:noProof/>
        </w:rPr>
        <w:drawing>
          <wp:inline distT="0" distB="0" distL="0" distR="0" wp14:anchorId="0581E48D" wp14:editId="3A25B7E1">
            <wp:extent cx="6120000" cy="1591294"/>
            <wp:effectExtent l="0" t="0" r="0" b="0"/>
            <wp:docPr id="20" name="Chart 20" descr="Bar chart showing the number of utility relief grants approved from financial year 17-18 until financial year 20-21. There has been a notable increase in the number of approvals.">
              <a:extLst xmlns:a="http://schemas.openxmlformats.org/drawingml/2006/main">
                <a:ext uri="{FF2B5EF4-FFF2-40B4-BE49-F238E27FC236}">
                  <a16:creationId xmlns:a16="http://schemas.microsoft.com/office/drawing/2014/main" id="{ABE8ECA4-EEC7-4315-AFA8-F0E34525D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bookmarkEnd w:id="300"/>
      <w:bookmarkEnd w:id="301"/>
    </w:p>
    <w:p w14:paraId="649B3CFF" w14:textId="77777777" w:rsidR="00F10D84" w:rsidRDefault="00F10D84" w:rsidP="00F10D84">
      <w:pPr>
        <w:spacing w:after="360"/>
      </w:pPr>
    </w:p>
    <w:p w14:paraId="7259854B" w14:textId="56D5E776" w:rsidR="002A3C51" w:rsidRDefault="002A3C51" w:rsidP="00DF47A7">
      <w:pPr>
        <w:pStyle w:val="Figureheading"/>
      </w:pPr>
      <w:bookmarkStart w:id="302" w:name="_Toc100134493"/>
      <w:bookmarkStart w:id="303" w:name="_Toc100137055"/>
      <w:bookmarkStart w:id="304" w:name="_Toc103943821"/>
      <w:r w:rsidRPr="00160997">
        <w:t xml:space="preserve">Figure </w:t>
      </w:r>
      <w:r>
        <w:fldChar w:fldCharType="begin"/>
      </w:r>
      <w:r>
        <w:instrText>SEQ Figure \* ARABIC</w:instrText>
      </w:r>
      <w:r>
        <w:fldChar w:fldCharType="separate"/>
      </w:r>
      <w:r w:rsidR="00357DD7">
        <w:rPr>
          <w:noProof/>
        </w:rPr>
        <w:t>51</w:t>
      </w:r>
      <w:r>
        <w:fldChar w:fldCharType="end"/>
      </w:r>
      <w:r w:rsidRPr="00160997">
        <w:t xml:space="preserve"> </w:t>
      </w:r>
      <w:r>
        <w:tab/>
        <w:t xml:space="preserve">Percentage of submitted </w:t>
      </w:r>
      <w:r w:rsidR="00C376A7">
        <w:t>utility relief grant</w:t>
      </w:r>
      <w:r>
        <w:t xml:space="preserve"> applications approved</w:t>
      </w:r>
      <w:bookmarkEnd w:id="302"/>
      <w:bookmarkEnd w:id="303"/>
      <w:bookmarkEnd w:id="304"/>
      <w:r w:rsidR="00603DF7">
        <w:t>, from 2017-18 to 2020-21, by electricity, gas and water</w:t>
      </w:r>
    </w:p>
    <w:p w14:paraId="6F5B82AF" w14:textId="14EA82E5" w:rsidR="002A3C51" w:rsidRDefault="00FE6030" w:rsidP="002A3C51">
      <w:pPr>
        <w:keepNext/>
        <w:keepLines/>
      </w:pPr>
      <w:r w:rsidRPr="00FE6030">
        <w:rPr>
          <w:noProof/>
        </w:rPr>
        <w:drawing>
          <wp:inline distT="0" distB="0" distL="0" distR="0" wp14:anchorId="78F3BD62" wp14:editId="69AA9BB4">
            <wp:extent cx="6107430" cy="2156460"/>
            <wp:effectExtent l="0" t="0" r="7620" b="0"/>
            <wp:docPr id="11" name="Picture 11" descr="Bar chart showing the Percentage of submitted utility relief grant applications approved, shown by financial year from 2017-18 to 2020-21, shown for electricity, gas and water. There has been variation since 2018-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chart showing the Percentage of submitted utility relief grant applications approved, shown by financial year from 2017-18 to 2020-21, shown for electricity, gas and water. There has been variation since 2018-19. "/>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107430" cy="2156460"/>
                    </a:xfrm>
                    <a:prstGeom prst="rect">
                      <a:avLst/>
                    </a:prstGeom>
                    <a:noFill/>
                    <a:ln>
                      <a:noFill/>
                    </a:ln>
                  </pic:spPr>
                </pic:pic>
              </a:graphicData>
            </a:graphic>
          </wp:inline>
        </w:drawing>
      </w:r>
    </w:p>
    <w:p w14:paraId="24B157E8" w14:textId="0482B57E" w:rsidR="002A3C51" w:rsidRDefault="008566C5" w:rsidP="00941E31">
      <w:pPr>
        <w:pStyle w:val="Caption"/>
      </w:pPr>
      <w:r>
        <w:t xml:space="preserve">Source: </w:t>
      </w:r>
      <w:r w:rsidR="002A3C51">
        <w:t>Data provided by the Department of Families, Fairness and Housing Victoria</w:t>
      </w:r>
    </w:p>
    <w:p w14:paraId="42861B26" w14:textId="77777777" w:rsidR="002A3C51" w:rsidRDefault="002A3C51" w:rsidP="00DF47A7">
      <w:pPr>
        <w:pStyle w:val="Heading3"/>
      </w:pPr>
      <w:r>
        <w:lastRenderedPageBreak/>
        <w:t>Energy consumption</w:t>
      </w:r>
    </w:p>
    <w:p w14:paraId="2DCC5FAA" w14:textId="42DB7A26" w:rsidR="002A3C51" w:rsidRDefault="002A3C51" w:rsidP="00DF47A7">
      <w:pPr>
        <w:keepNext/>
        <w:keepLines/>
      </w:pPr>
      <w:r>
        <w:t>I</w:t>
      </w:r>
      <w:r w:rsidRPr="00706282">
        <w:t xml:space="preserve">ncreased </w:t>
      </w:r>
      <w:r>
        <w:t xml:space="preserve">electricity </w:t>
      </w:r>
      <w:r w:rsidRPr="00706282">
        <w:t xml:space="preserve">usage </w:t>
      </w:r>
      <w:r>
        <w:t xml:space="preserve">for customers receiving assistance </w:t>
      </w:r>
      <w:r w:rsidRPr="00706282">
        <w:t xml:space="preserve">is </w:t>
      </w:r>
      <w:r>
        <w:t xml:space="preserve">observed </w:t>
      </w:r>
      <w:r w:rsidRPr="00706282">
        <w:t>across Victoria</w:t>
      </w:r>
      <w:r>
        <w:t>,</w:t>
      </w:r>
      <w:r w:rsidRPr="00706282">
        <w:t xml:space="preserve"> but </w:t>
      </w:r>
      <w:r>
        <w:t>this is</w:t>
      </w:r>
      <w:r w:rsidRPr="00706282">
        <w:t xml:space="preserve"> more pronounced outside of </w:t>
      </w:r>
      <w:r>
        <w:t xml:space="preserve">metropolitan Melbourne </w:t>
      </w:r>
      <w:r w:rsidRPr="00706282">
        <w:t>areas, such as in the distribution areas of AusNet Services (</w:t>
      </w:r>
      <w:r>
        <w:t xml:space="preserve">North and </w:t>
      </w:r>
      <w:r w:rsidRPr="00706282">
        <w:t>eastern Victoria) and Powercor (</w:t>
      </w:r>
      <w:r>
        <w:t>western</w:t>
      </w:r>
      <w:r w:rsidRPr="00706282">
        <w:t xml:space="preserve"> Victoria).</w:t>
      </w:r>
      <w:r>
        <w:t xml:space="preserve"> This is consistent with analysis conducted by postcode.</w:t>
      </w:r>
      <w:r w:rsidR="009F6B17">
        <w:t xml:space="preserve"> </w:t>
      </w:r>
    </w:p>
    <w:p w14:paraId="24A018E8" w14:textId="58A3D461" w:rsidR="00A45210" w:rsidRPr="00BD5AF3" w:rsidRDefault="00A45210" w:rsidP="00DF47A7">
      <w:pPr>
        <w:keepNext/>
        <w:keepLines/>
      </w:pPr>
      <w:r>
        <w:t xml:space="preserve">Figures in this section </w:t>
      </w:r>
      <w:r w:rsidR="00A9137E">
        <w:t>come from c</w:t>
      </w:r>
      <w:r w:rsidRPr="00A45210">
        <w:t>onfidential data from nine retailers between 1 January 2019 and 30 December 2020, as per Australian Competition and Consumer Commission’s project on electricity marketing monitoring between 2018 and 2025. Tailored assistance customers are defined as hardship customers in the data.</w:t>
      </w:r>
    </w:p>
    <w:p w14:paraId="147ED4F4" w14:textId="4887E649" w:rsidR="002A3C51" w:rsidRDefault="002A3C51" w:rsidP="009618B5">
      <w:pPr>
        <w:pStyle w:val="Figure-Table-BoxHeading"/>
        <w:keepNext/>
        <w:keepLines/>
        <w:numPr>
          <w:ilvl w:val="0"/>
          <w:numId w:val="0"/>
        </w:numPr>
        <w:ind w:left="851" w:hanging="851"/>
      </w:pPr>
      <w:bookmarkStart w:id="305" w:name="_Ref99628785"/>
      <w:bookmarkStart w:id="306" w:name="_Toc100134472"/>
      <w:bookmarkStart w:id="307" w:name="_Toc100137034"/>
      <w:bookmarkStart w:id="308" w:name="_Toc103943822"/>
      <w:bookmarkStart w:id="309" w:name="_Ref99630799"/>
      <w:bookmarkStart w:id="310" w:name="_Toc100134473"/>
      <w:bookmarkStart w:id="311" w:name="_Toc100137035"/>
      <w:bookmarkEnd w:id="286"/>
      <w:bookmarkEnd w:id="287"/>
      <w:bookmarkEnd w:id="288"/>
      <w:r>
        <w:t xml:space="preserve">Figure </w:t>
      </w:r>
      <w:r>
        <w:fldChar w:fldCharType="begin"/>
      </w:r>
      <w:r>
        <w:instrText>SEQ Figure \* ARABIC</w:instrText>
      </w:r>
      <w:r>
        <w:fldChar w:fldCharType="separate"/>
      </w:r>
      <w:r w:rsidR="00357DD7">
        <w:rPr>
          <w:noProof/>
        </w:rPr>
        <w:t>52</w:t>
      </w:r>
      <w:r>
        <w:fldChar w:fldCharType="end"/>
      </w:r>
      <w:bookmarkEnd w:id="305"/>
      <w:r>
        <w:tab/>
        <w:t>Median electricity usage per day (kWh)</w:t>
      </w:r>
      <w:r w:rsidR="00603DF7">
        <w:t>,</w:t>
      </w:r>
      <w:r>
        <w:t xml:space="preserve"> by distribution zone</w:t>
      </w:r>
      <w:bookmarkEnd w:id="306"/>
      <w:bookmarkEnd w:id="307"/>
      <w:bookmarkEnd w:id="308"/>
    </w:p>
    <w:p w14:paraId="60BC4019" w14:textId="45372EF8" w:rsidR="002A3C51" w:rsidRPr="00966046" w:rsidRDefault="008E0267" w:rsidP="00DF47A7">
      <w:pPr>
        <w:keepNext/>
        <w:keepLines/>
      </w:pPr>
      <w:r w:rsidRPr="008E0267">
        <w:rPr>
          <w:noProof/>
        </w:rPr>
        <w:drawing>
          <wp:inline distT="0" distB="0" distL="0" distR="0" wp14:anchorId="389296D0" wp14:editId="23EE3297">
            <wp:extent cx="6120000" cy="2018639"/>
            <wp:effectExtent l="0" t="0" r="0" b="1270"/>
            <wp:docPr id="100022" name="Picture 100022" descr="Bar chart showing the median electricity usage per day by distribution zone. The chart compared tailored assistance customers with those who do not receive tailored assistance. For tailored assistance customers, the highest usage comes from the Powecor distribut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Picture 100022" descr="Bar chart showing the median electricity usage per day by distribution zone. The chart compared tailored assistance customers with those who do not receive tailored assistance. For tailored assistance customers, the highest usage comes from the Powecor distribution zon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120000" cy="2018639"/>
                    </a:xfrm>
                    <a:prstGeom prst="rect">
                      <a:avLst/>
                    </a:prstGeom>
                    <a:noFill/>
                    <a:ln>
                      <a:noFill/>
                    </a:ln>
                  </pic:spPr>
                </pic:pic>
              </a:graphicData>
            </a:graphic>
          </wp:inline>
        </w:drawing>
      </w:r>
    </w:p>
    <w:p w14:paraId="5E305567" w14:textId="01695852" w:rsidR="00A877F4" w:rsidRDefault="00A877F4" w:rsidP="00DF47A7">
      <w:pPr>
        <w:keepNext/>
        <w:keepLines/>
        <w:spacing w:before="0" w:line="259" w:lineRule="auto"/>
        <w:rPr>
          <w:rFonts w:asciiTheme="majorHAnsi" w:eastAsiaTheme="majorEastAsia" w:hAnsiTheme="majorHAnsi" w:cstheme="majorBidi"/>
          <w:b/>
          <w:color w:val="4986A0" w:themeColor="text2"/>
          <w:szCs w:val="24"/>
          <w:lang w:val="en-US"/>
        </w:rPr>
      </w:pPr>
      <w:bookmarkStart w:id="312" w:name="_Toc103943823"/>
    </w:p>
    <w:p w14:paraId="42436719" w14:textId="77777777" w:rsidR="00A877F4" w:rsidRDefault="00A877F4">
      <w:pPr>
        <w:spacing w:before="0" w:line="259" w:lineRule="auto"/>
        <w:rPr>
          <w:rFonts w:asciiTheme="majorHAnsi" w:eastAsiaTheme="majorEastAsia" w:hAnsiTheme="majorHAnsi" w:cstheme="majorBidi"/>
          <w:b/>
          <w:color w:val="4986A0" w:themeColor="text2"/>
          <w:szCs w:val="24"/>
          <w:lang w:val="en-US"/>
        </w:rPr>
      </w:pPr>
      <w:r>
        <w:br w:type="page"/>
      </w:r>
    </w:p>
    <w:p w14:paraId="17DB1021" w14:textId="6B89D152" w:rsidR="002A3C51" w:rsidRDefault="002A3C51" w:rsidP="00373FA4">
      <w:pPr>
        <w:pStyle w:val="Figure-Table-BoxHeading"/>
        <w:numPr>
          <w:ilvl w:val="0"/>
          <w:numId w:val="0"/>
        </w:numPr>
        <w:spacing w:before="0" w:after="0" w:line="240" w:lineRule="auto"/>
        <w:rPr>
          <w:lang w:val="en-GB"/>
        </w:rPr>
      </w:pPr>
      <w:r>
        <w:lastRenderedPageBreak/>
        <w:t xml:space="preserve">Figure </w:t>
      </w:r>
      <w:r>
        <w:fldChar w:fldCharType="begin"/>
      </w:r>
      <w:r>
        <w:instrText>SEQ Figure \* ARABIC</w:instrText>
      </w:r>
      <w:r>
        <w:fldChar w:fldCharType="separate"/>
      </w:r>
      <w:r w:rsidR="00357DD7">
        <w:rPr>
          <w:noProof/>
        </w:rPr>
        <w:t>53</w:t>
      </w:r>
      <w:r>
        <w:fldChar w:fldCharType="end"/>
      </w:r>
      <w:bookmarkEnd w:id="309"/>
      <w:r>
        <w:tab/>
      </w:r>
      <w:r w:rsidR="00AC2E20">
        <w:t xml:space="preserve">Customers </w:t>
      </w:r>
      <w:r w:rsidR="005472E9">
        <w:t xml:space="preserve">(receiving and not receiving tailored assistance) </w:t>
      </w:r>
      <w:r w:rsidR="00AC2E20">
        <w:t>using more electricity than average</w:t>
      </w:r>
      <w:r w:rsidR="005472E9">
        <w:t xml:space="preserve"> by postcode, Victoria</w:t>
      </w:r>
      <w:bookmarkEnd w:id="310"/>
      <w:bookmarkEnd w:id="311"/>
      <w:bookmarkEnd w:id="312"/>
    </w:p>
    <w:p w14:paraId="4A068E7D" w14:textId="1E16314D" w:rsidR="002A3C51" w:rsidRDefault="004772AA" w:rsidP="002A3C51">
      <w:pPr>
        <w:rPr>
          <w:lang w:val="en-GB"/>
        </w:rPr>
      </w:pPr>
      <w:r>
        <w:rPr>
          <w:noProof/>
          <w:lang w:val="en-GB"/>
        </w:rPr>
        <w:drawing>
          <wp:inline distT="0" distB="0" distL="0" distR="0" wp14:anchorId="67461A5A" wp14:editId="3F990DBC">
            <wp:extent cx="6120000" cy="3985812"/>
            <wp:effectExtent l="0" t="0" r="0" b="0"/>
            <wp:docPr id="100023" name="Picture 100023" descr="Map showing the location of customers receiving assistance using more electricity than average, by post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Picture 100023" descr="Map showing the location of customers receiving assistance using more electricity than average, by postcode "/>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120000" cy="3985812"/>
                    </a:xfrm>
                    <a:prstGeom prst="rect">
                      <a:avLst/>
                    </a:prstGeom>
                  </pic:spPr>
                </pic:pic>
              </a:graphicData>
            </a:graphic>
          </wp:inline>
        </w:drawing>
      </w:r>
    </w:p>
    <w:p w14:paraId="78953CB4" w14:textId="7C60ABA8" w:rsidR="002A3C51" w:rsidRPr="00373FA4" w:rsidRDefault="002A3C51" w:rsidP="00373FA4">
      <w:pPr>
        <w:pStyle w:val="Figure-Table-BoxHeading"/>
        <w:numPr>
          <w:ilvl w:val="0"/>
          <w:numId w:val="0"/>
        </w:numPr>
        <w:spacing w:before="0" w:after="0" w:line="240" w:lineRule="auto"/>
      </w:pPr>
      <w:bookmarkStart w:id="313" w:name="_Toc103943824"/>
      <w:r>
        <w:t xml:space="preserve">Figure </w:t>
      </w:r>
      <w:r>
        <w:fldChar w:fldCharType="begin"/>
      </w:r>
      <w:r>
        <w:instrText>SEQ Figure \* ARABIC</w:instrText>
      </w:r>
      <w:r>
        <w:fldChar w:fldCharType="separate"/>
      </w:r>
      <w:r w:rsidR="00357DD7">
        <w:rPr>
          <w:noProof/>
        </w:rPr>
        <w:t>54</w:t>
      </w:r>
      <w:r>
        <w:fldChar w:fldCharType="end"/>
      </w:r>
      <w:r>
        <w:tab/>
      </w:r>
      <w:r w:rsidR="00A877F4">
        <w:t xml:space="preserve">Customers (receiving and not receiving tailored assistance) using more electricity than average by postcode, </w:t>
      </w:r>
      <w:bookmarkEnd w:id="313"/>
      <w:r w:rsidR="00A877F4">
        <w:t>Melbourne and surrounds</w:t>
      </w:r>
    </w:p>
    <w:p w14:paraId="1046C9CB" w14:textId="53F36A9A" w:rsidR="006D474A" w:rsidRDefault="00190DB7" w:rsidP="002A3C51">
      <w:pPr>
        <w:rPr>
          <w:lang w:val="en-GB"/>
        </w:rPr>
      </w:pPr>
      <w:r>
        <w:rPr>
          <w:noProof/>
          <w:lang w:val="en-GB"/>
        </w:rPr>
        <w:drawing>
          <wp:inline distT="0" distB="0" distL="0" distR="0" wp14:anchorId="21623C45" wp14:editId="6598F8D4">
            <wp:extent cx="5760000" cy="3369463"/>
            <wp:effectExtent l="0" t="0" r="0" b="2540"/>
            <wp:docPr id="100029" name="Picture 100029" descr="Map of customers receiving assistance, using more electricity compared to average, by post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Picture 100029" descr="Map of customers receiving assistance, using more electricity compared to average, by postcod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760000" cy="3369463"/>
                    </a:xfrm>
                    <a:prstGeom prst="rect">
                      <a:avLst/>
                    </a:prstGeom>
                  </pic:spPr>
                </pic:pic>
              </a:graphicData>
            </a:graphic>
          </wp:inline>
        </w:drawing>
      </w:r>
    </w:p>
    <w:p w14:paraId="06B822BA" w14:textId="55CCBB19" w:rsidR="002A3C51" w:rsidRPr="00A24074" w:rsidRDefault="002A3C51" w:rsidP="009618B5">
      <w:pPr>
        <w:pStyle w:val="Figure-Table-BoxHeading"/>
        <w:numPr>
          <w:ilvl w:val="0"/>
          <w:numId w:val="0"/>
        </w:numPr>
        <w:spacing w:before="0" w:after="0" w:line="240" w:lineRule="auto"/>
      </w:pPr>
      <w:bookmarkStart w:id="314" w:name="_Ref99630800"/>
      <w:bookmarkStart w:id="315" w:name="_Toc100134474"/>
      <w:bookmarkStart w:id="316" w:name="_Toc100137036"/>
      <w:bookmarkStart w:id="317" w:name="_Toc103943825"/>
      <w:r>
        <w:lastRenderedPageBreak/>
        <w:t xml:space="preserve">Figure </w:t>
      </w:r>
      <w:r>
        <w:fldChar w:fldCharType="begin"/>
      </w:r>
      <w:r>
        <w:instrText>SEQ Figure \* ARABIC</w:instrText>
      </w:r>
      <w:r>
        <w:fldChar w:fldCharType="separate"/>
      </w:r>
      <w:r w:rsidR="00357DD7">
        <w:rPr>
          <w:noProof/>
        </w:rPr>
        <w:t>55</w:t>
      </w:r>
      <w:r>
        <w:fldChar w:fldCharType="end"/>
      </w:r>
      <w:bookmarkEnd w:id="314"/>
      <w:r>
        <w:tab/>
        <w:t>How much more electricity is being used by customers receiving assistance compared to</w:t>
      </w:r>
      <w:r w:rsidR="00C073D2">
        <w:t xml:space="preserve"> the</w:t>
      </w:r>
      <w:r>
        <w:t xml:space="preserve"> average</w:t>
      </w:r>
      <w:r w:rsidR="00C073D2">
        <w:t xml:space="preserve"> customer’s use</w:t>
      </w:r>
      <w:r>
        <w:t>, by postcode</w:t>
      </w:r>
      <w:bookmarkEnd w:id="315"/>
      <w:bookmarkEnd w:id="316"/>
      <w:bookmarkEnd w:id="317"/>
      <w:r w:rsidR="006D474A">
        <w:t>, Victoria</w:t>
      </w:r>
    </w:p>
    <w:p w14:paraId="6118F2F7" w14:textId="0EC40132" w:rsidR="002A3C51" w:rsidRDefault="00085C1E" w:rsidP="009F3E1C">
      <w:pPr>
        <w:rPr>
          <w:lang w:val="en-GB"/>
        </w:rPr>
      </w:pPr>
      <w:r>
        <w:rPr>
          <w:noProof/>
          <w:lang w:val="en-GB"/>
        </w:rPr>
        <w:drawing>
          <wp:inline distT="0" distB="0" distL="0" distR="0" wp14:anchorId="3856457A" wp14:editId="2DF48035">
            <wp:extent cx="5580000" cy="3799704"/>
            <wp:effectExtent l="0" t="0" r="1905" b="0"/>
            <wp:docPr id="65" name="Picture 65" descr="A map of Victoria showing How much more electricity is being used by customers receiving assistance compared to the average customer’s, by postcode. There is great variation across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map of Victoria showing How much more electricity is being used by customers receiving assistance compared to the average customer’s, by postcode. There is great variation across the state."/>
                    <pic:cNvPicPr/>
                  </pic:nvPicPr>
                  <pic:blipFill>
                    <a:blip r:embed="rId142">
                      <a:extLst>
                        <a:ext uri="{28A0092B-C50C-407E-A947-70E740481C1C}">
                          <a14:useLocalDpi xmlns:a14="http://schemas.microsoft.com/office/drawing/2010/main" val="0"/>
                        </a:ext>
                      </a:extLst>
                    </a:blip>
                    <a:stretch>
                      <a:fillRect/>
                    </a:stretch>
                  </pic:blipFill>
                  <pic:spPr>
                    <a:xfrm>
                      <a:off x="0" y="0"/>
                      <a:ext cx="5580000" cy="3799704"/>
                    </a:xfrm>
                    <a:prstGeom prst="rect">
                      <a:avLst/>
                    </a:prstGeom>
                  </pic:spPr>
                </pic:pic>
              </a:graphicData>
            </a:graphic>
          </wp:inline>
        </w:drawing>
      </w:r>
    </w:p>
    <w:p w14:paraId="4CCB13E7" w14:textId="6729FE79" w:rsidR="00F06390" w:rsidRPr="00A24074" w:rsidRDefault="002A3C51" w:rsidP="009618B5">
      <w:pPr>
        <w:pStyle w:val="Figure-Table-BoxHeading"/>
        <w:numPr>
          <w:ilvl w:val="0"/>
          <w:numId w:val="0"/>
        </w:numPr>
        <w:spacing w:before="0" w:after="0" w:line="240" w:lineRule="auto"/>
      </w:pPr>
      <w:bookmarkStart w:id="318" w:name="_Toc103943826"/>
      <w:r>
        <w:t xml:space="preserve">Figure </w:t>
      </w:r>
      <w:r>
        <w:fldChar w:fldCharType="begin"/>
      </w:r>
      <w:r>
        <w:instrText>SEQ Figure \* ARABIC</w:instrText>
      </w:r>
      <w:r>
        <w:fldChar w:fldCharType="separate"/>
      </w:r>
      <w:r w:rsidR="00357DD7">
        <w:rPr>
          <w:noProof/>
        </w:rPr>
        <w:t>56</w:t>
      </w:r>
      <w:r>
        <w:fldChar w:fldCharType="end"/>
      </w:r>
      <w:r>
        <w:tab/>
        <w:t xml:space="preserve">How much more electricity is being used by customers receiving assistance compared to </w:t>
      </w:r>
      <w:r w:rsidR="00C073D2">
        <w:t xml:space="preserve">the </w:t>
      </w:r>
      <w:r>
        <w:t>average</w:t>
      </w:r>
      <w:r w:rsidR="00C073D2">
        <w:t xml:space="preserve"> customer’s use</w:t>
      </w:r>
      <w:r>
        <w:t>, by postcode</w:t>
      </w:r>
      <w:bookmarkEnd w:id="318"/>
      <w:r w:rsidR="00C073D2">
        <w:t>, Melbourne and surrounds</w:t>
      </w:r>
    </w:p>
    <w:p w14:paraId="191734A9" w14:textId="7DC1AB78" w:rsidR="006D474A" w:rsidRDefault="00421498" w:rsidP="009F3E1C">
      <w:pPr>
        <w:rPr>
          <w:lang w:val="en-GB"/>
        </w:rPr>
      </w:pPr>
      <w:r>
        <w:rPr>
          <w:noProof/>
          <w:lang w:val="en-GB"/>
        </w:rPr>
        <w:drawing>
          <wp:inline distT="0" distB="0" distL="0" distR="0" wp14:anchorId="1A31A641" wp14:editId="437A929A">
            <wp:extent cx="5580000" cy="3660752"/>
            <wp:effectExtent l="0" t="0" r="1905" b="0"/>
            <wp:docPr id="68" name="Picture 68" descr="A map of Melbourne and surrounds showing How much more electricity is being used by customers receiving assistance compared to the average customer’s, by postcode. There is great variation across post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map of Melbourne and surrounds showing How much more electricity is being used by customers receiving assistance compared to the average customer’s, by postcode. There is great variation across postcodes."/>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580000" cy="3660752"/>
                    </a:xfrm>
                    <a:prstGeom prst="rect">
                      <a:avLst/>
                    </a:prstGeom>
                  </pic:spPr>
                </pic:pic>
              </a:graphicData>
            </a:graphic>
          </wp:inline>
        </w:drawing>
      </w:r>
    </w:p>
    <w:p w14:paraId="2A4BFCDB" w14:textId="77777777" w:rsidR="002A3C51" w:rsidRDefault="002A3C51" w:rsidP="002A3C51">
      <w:pPr>
        <w:pStyle w:val="Heading2"/>
      </w:pPr>
      <w:bookmarkStart w:id="319" w:name="_Toc104850156"/>
      <w:bookmarkStart w:id="320" w:name="_Ref86922115"/>
      <w:bookmarkStart w:id="321" w:name="_Toc100134495"/>
      <w:bookmarkStart w:id="322" w:name="_Toc100137057"/>
      <w:bookmarkStart w:id="323" w:name="_Toc100147003"/>
      <w:bookmarkEnd w:id="279"/>
      <w:r>
        <w:lastRenderedPageBreak/>
        <w:t>Customer arrears</w:t>
      </w:r>
      <w:bookmarkEnd w:id="319"/>
    </w:p>
    <w:p w14:paraId="40301FA5" w14:textId="77777777" w:rsidR="002A3C51" w:rsidRPr="008C57AB" w:rsidRDefault="002A3C51" w:rsidP="002A3C51">
      <w:r>
        <w:t>Since 2019, the average arrears of tailored assistance customers who can pay for their on-going usage has remained stable</w:t>
      </w:r>
      <w:r w:rsidRPr="004D3738">
        <w:t>.</w:t>
      </w:r>
      <w:r>
        <w:t xml:space="preserve"> However, the average arrears for customers who cannot pay for their on-going usage has increased by 35 per cent between March 2019 and December 2021</w:t>
      </w:r>
      <w:r w:rsidRPr="004D3738">
        <w:t>.</w:t>
      </w:r>
    </w:p>
    <w:p w14:paraId="113ADEBA" w14:textId="074693A1" w:rsidR="002A3C51" w:rsidRDefault="002A3C51" w:rsidP="00845565">
      <w:pPr>
        <w:pStyle w:val="Figureheading"/>
      </w:pPr>
      <w:bookmarkStart w:id="324" w:name="_Toc103943827"/>
      <w:r>
        <w:t xml:space="preserve">Figure </w:t>
      </w:r>
      <w:r>
        <w:fldChar w:fldCharType="begin"/>
      </w:r>
      <w:r>
        <w:instrText>SEQ Figure \* ARABIC</w:instrText>
      </w:r>
      <w:r>
        <w:fldChar w:fldCharType="separate"/>
      </w:r>
      <w:r w:rsidR="00357DD7">
        <w:rPr>
          <w:noProof/>
        </w:rPr>
        <w:t>57</w:t>
      </w:r>
      <w:r>
        <w:fldChar w:fldCharType="end"/>
      </w:r>
      <w:bookmarkEnd w:id="320"/>
      <w:r>
        <w:tab/>
      </w:r>
      <w:r w:rsidRPr="002B5F1C">
        <w:t>Average</w:t>
      </w:r>
      <w:r>
        <w:t xml:space="preserve"> </w:t>
      </w:r>
      <w:r w:rsidR="009B20B4">
        <w:t xml:space="preserve">arrears of </w:t>
      </w:r>
      <w:r>
        <w:t xml:space="preserve">customers </w:t>
      </w:r>
      <w:r w:rsidR="009B20B4">
        <w:t>(who can pay for their ongoing energy use)</w:t>
      </w:r>
      <w:r w:rsidR="00845565">
        <w:t xml:space="preserve"> </w:t>
      </w:r>
      <w:r>
        <w:t xml:space="preserve">receiving assistance </w:t>
      </w:r>
      <w:bookmarkEnd w:id="321"/>
      <w:bookmarkEnd w:id="322"/>
      <w:bookmarkEnd w:id="324"/>
    </w:p>
    <w:p w14:paraId="0075D83B" w14:textId="58FCABEB" w:rsidR="00AC5E94" w:rsidRDefault="002A3C51" w:rsidP="00F10D84">
      <w:pPr>
        <w:spacing w:after="360"/>
      </w:pPr>
      <w:r w:rsidRPr="002457FC">
        <w:rPr>
          <w:noProof/>
        </w:rPr>
        <w:drawing>
          <wp:inline distT="0" distB="0" distL="0" distR="0" wp14:anchorId="48FDE581" wp14:editId="59CFB676">
            <wp:extent cx="6120130" cy="2157095"/>
            <wp:effectExtent l="0" t="0" r="0" b="0"/>
            <wp:docPr id="38" name="Picture 38" descr="Bar chart showing the average arrears for customers who can pay for ongoing usage and who receive assistance. The arrears have remained steady fro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ar chart showing the average arrears for customers who can pay for ongoing usage and who receive assistance. The arrears have remained steady from 201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20130" cy="2157095"/>
                    </a:xfrm>
                    <a:prstGeom prst="rect">
                      <a:avLst/>
                    </a:prstGeom>
                    <a:noFill/>
                    <a:ln>
                      <a:noFill/>
                    </a:ln>
                  </pic:spPr>
                </pic:pic>
              </a:graphicData>
            </a:graphic>
          </wp:inline>
        </w:drawing>
      </w:r>
      <w:bookmarkStart w:id="325" w:name="_Ref86933900"/>
      <w:bookmarkStart w:id="326" w:name="_Toc100134496"/>
      <w:bookmarkStart w:id="327" w:name="_Toc100137058"/>
      <w:bookmarkStart w:id="328" w:name="_Toc103943828"/>
    </w:p>
    <w:p w14:paraId="1DF8B051" w14:textId="591C3D60" w:rsidR="002A3C51" w:rsidRDefault="002A3C51" w:rsidP="00845565">
      <w:pPr>
        <w:pStyle w:val="Figureheading"/>
      </w:pPr>
      <w:r>
        <w:t xml:space="preserve">Figure </w:t>
      </w:r>
      <w:r>
        <w:fldChar w:fldCharType="begin"/>
      </w:r>
      <w:r>
        <w:instrText>SEQ Figure \* ARABIC</w:instrText>
      </w:r>
      <w:r>
        <w:fldChar w:fldCharType="separate"/>
      </w:r>
      <w:r w:rsidR="00357DD7">
        <w:rPr>
          <w:noProof/>
        </w:rPr>
        <w:t>58</w:t>
      </w:r>
      <w:r>
        <w:fldChar w:fldCharType="end"/>
      </w:r>
      <w:bookmarkEnd w:id="325"/>
      <w:r>
        <w:tab/>
      </w:r>
      <w:r w:rsidR="00967E23" w:rsidRPr="002B5F1C">
        <w:t>Average</w:t>
      </w:r>
      <w:r w:rsidR="00967E23">
        <w:t xml:space="preserve"> arrears of customers (who cannot pay for their ongoing energy use) receiving assistance </w:t>
      </w:r>
      <w:bookmarkEnd w:id="326"/>
      <w:bookmarkEnd w:id="327"/>
      <w:bookmarkEnd w:id="328"/>
    </w:p>
    <w:p w14:paraId="6890E2FF" w14:textId="0F4EA4C9" w:rsidR="002A3C51" w:rsidRDefault="002A3C51" w:rsidP="002A3C51">
      <w:r w:rsidRPr="005164CB">
        <w:rPr>
          <w:noProof/>
        </w:rPr>
        <w:drawing>
          <wp:inline distT="0" distB="0" distL="0" distR="0" wp14:anchorId="5B46D4D8" wp14:editId="1E4B88CE">
            <wp:extent cx="6120130" cy="2157095"/>
            <wp:effectExtent l="0" t="0" r="5715" b="9525"/>
            <wp:docPr id="47" name="Picture 47" descr="Bar chart showing the average arrears of customers who cannot pay for ongoing usage and who receive assistance. The arrears have steadily increased fro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ar chart showing the average arrears of customers who cannot pay for ongoing usage and who receive assistance. The arrears have steadily increased from 201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20130" cy="2157095"/>
                    </a:xfrm>
                    <a:prstGeom prst="rect">
                      <a:avLst/>
                    </a:prstGeom>
                    <a:noFill/>
                    <a:ln>
                      <a:noFill/>
                    </a:ln>
                  </pic:spPr>
                </pic:pic>
              </a:graphicData>
            </a:graphic>
          </wp:inline>
        </w:drawing>
      </w:r>
    </w:p>
    <w:p w14:paraId="19614D18" w14:textId="77777777" w:rsidR="002A3C51" w:rsidRDefault="002A3C51" w:rsidP="002A3C51">
      <w:pPr>
        <w:spacing w:before="0" w:line="259" w:lineRule="auto"/>
        <w:rPr>
          <w:rFonts w:asciiTheme="majorHAnsi" w:eastAsiaTheme="majorEastAsia" w:hAnsiTheme="majorHAnsi" w:cstheme="majorBidi"/>
          <w:b/>
          <w:color w:val="4986A0" w:themeColor="text2"/>
          <w:szCs w:val="24"/>
          <w:lang w:val="en-US"/>
        </w:rPr>
      </w:pPr>
      <w:bookmarkStart w:id="329" w:name="_Ref99657443"/>
      <w:bookmarkStart w:id="330" w:name="_Toc100134497"/>
      <w:bookmarkStart w:id="331" w:name="_Toc100137059"/>
      <w:bookmarkStart w:id="332" w:name="_Ref99657417"/>
      <w:r>
        <w:br w:type="page"/>
      </w:r>
    </w:p>
    <w:p w14:paraId="44D7603E" w14:textId="2B7242D0" w:rsidR="002A3C51" w:rsidRDefault="002A3C51" w:rsidP="002A3C51">
      <w:pPr>
        <w:pStyle w:val="Figure-Table-BoxHeading"/>
        <w:numPr>
          <w:ilvl w:val="0"/>
          <w:numId w:val="0"/>
        </w:numPr>
        <w:rPr>
          <w:noProof/>
        </w:rPr>
      </w:pPr>
      <w:bookmarkStart w:id="333" w:name="_Toc103943829"/>
      <w:r>
        <w:lastRenderedPageBreak/>
        <w:t xml:space="preserve">Figure </w:t>
      </w:r>
      <w:r>
        <w:fldChar w:fldCharType="begin"/>
      </w:r>
      <w:r>
        <w:instrText>SEQ Figure \* ARABIC</w:instrText>
      </w:r>
      <w:r>
        <w:fldChar w:fldCharType="separate"/>
      </w:r>
      <w:r w:rsidR="00357DD7">
        <w:rPr>
          <w:noProof/>
        </w:rPr>
        <w:t>59</w:t>
      </w:r>
      <w:r>
        <w:fldChar w:fldCharType="end"/>
      </w:r>
      <w:bookmarkEnd w:id="329"/>
      <w:r>
        <w:tab/>
      </w:r>
      <w:r w:rsidR="00CC0EE5">
        <w:t xml:space="preserve">Average arrears </w:t>
      </w:r>
      <w:r w:rsidR="00967E23">
        <w:t xml:space="preserve">of customers </w:t>
      </w:r>
      <w:r w:rsidRPr="00C42425">
        <w:t>commencing</w:t>
      </w:r>
      <w:r w:rsidRPr="00801B33">
        <w:t xml:space="preserve"> </w:t>
      </w:r>
      <w:r>
        <w:t xml:space="preserve">a </w:t>
      </w:r>
      <w:r w:rsidRPr="00801B33">
        <w:t>hardship program</w:t>
      </w:r>
      <w:r w:rsidR="00CC0EE5">
        <w:t xml:space="preserve"> or assistance</w:t>
      </w:r>
      <w:bookmarkEnd w:id="333"/>
      <w:r w:rsidR="001C4029">
        <w:t xml:space="preserve"> under the framework</w:t>
      </w:r>
      <w:r w:rsidRPr="00377E9E">
        <w:rPr>
          <w:noProof/>
        </w:rPr>
        <w:t xml:space="preserve"> </w:t>
      </w:r>
      <w:bookmarkEnd w:id="330"/>
      <w:bookmarkEnd w:id="331"/>
    </w:p>
    <w:bookmarkEnd w:id="332"/>
    <w:p w14:paraId="15941227" w14:textId="4DFBF6DA" w:rsidR="002A3C51" w:rsidRDefault="00FA63D7" w:rsidP="009618B5">
      <w:r w:rsidRPr="00FA63D7">
        <w:rPr>
          <w:noProof/>
        </w:rPr>
        <w:drawing>
          <wp:inline distT="0" distB="0" distL="0" distR="0" wp14:anchorId="30022305" wp14:editId="517CBB7F">
            <wp:extent cx="6120130" cy="2306320"/>
            <wp:effectExtent l="0" t="0" r="0" b="0"/>
            <wp:docPr id="6" name="Picture 6" descr="Bar chart showing the average customer arrears when commencing a hardship program prior to the framework or receiving assistance after the introduction of the framework. &#10;Customer arrears were increasing from 2013 to 2019. From 2019, arrears of customers who cannot pay for ongoing usage have slightly decreased and remained steady for electricity and gas respectively. &#10;From 2019, the arrears of customers who can pay for ongoing usage have decreased slightly for both electricity and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chart showing the average customer arrears when commencing a hardship program prior to the framework or receiving assistance after the introduction of the framework. &#10;Customer arrears were increasing from 2013 to 2019. From 2019, arrears of customers who cannot pay for ongoing usage have slightly decreased and remained steady for electricity and gas respectively. &#10;From 2019, the arrears of customers who can pay for ongoing usage have decreased slightly for both electricity and gas."/>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20130" cy="2306320"/>
                    </a:xfrm>
                    <a:prstGeom prst="rect">
                      <a:avLst/>
                    </a:prstGeom>
                    <a:noFill/>
                    <a:ln>
                      <a:noFill/>
                    </a:ln>
                  </pic:spPr>
                </pic:pic>
              </a:graphicData>
            </a:graphic>
          </wp:inline>
        </w:drawing>
      </w:r>
    </w:p>
    <w:p w14:paraId="6C891DA9" w14:textId="0645C5E8" w:rsidR="002A3C51" w:rsidRDefault="002A3C51" w:rsidP="002A3C51">
      <w:r>
        <w:t xml:space="preserve">Throughout the coronavirus pandemic during 2020 and 2021, we collected further data from retailers on the amount of arrears for customers who were not receiving assistance. This includes customers who may have previously been receiving assistance but have outstanding arrears. Our analysis indicates that at the end of June 2021, approximately </w:t>
      </w:r>
      <w:r w:rsidR="00A245E2">
        <w:t>10</w:t>
      </w:r>
      <w:r w:rsidR="003956E4">
        <w:t xml:space="preserve"> per cent</w:t>
      </w:r>
      <w:r>
        <w:t xml:space="preserve"> of all electricity and gas residential customers in Victoria had an outstanding debt but were not receiving assistance, with most having arrears of less than $300.</w:t>
      </w:r>
    </w:p>
    <w:p w14:paraId="6343BEC6" w14:textId="086EC66C" w:rsidR="002A3C51" w:rsidRDefault="002A3C51" w:rsidP="009618B5">
      <w:pPr>
        <w:pStyle w:val="Figureheading"/>
      </w:pPr>
      <w:bookmarkStart w:id="334" w:name="_Ref99659277"/>
      <w:bookmarkStart w:id="335" w:name="_Toc100134505"/>
      <w:bookmarkStart w:id="336" w:name="_Toc100137067"/>
      <w:bookmarkStart w:id="337" w:name="_Toc103943830"/>
      <w:bookmarkStart w:id="338" w:name="_Toc99120276"/>
      <w:r w:rsidRPr="002C7198">
        <w:t xml:space="preserve">Figure </w:t>
      </w:r>
      <w:r w:rsidRPr="002C7198">
        <w:fldChar w:fldCharType="begin"/>
      </w:r>
      <w:r w:rsidRPr="002C7198">
        <w:instrText>SEQ Figure \* ARABIC</w:instrText>
      </w:r>
      <w:r w:rsidRPr="002C7198">
        <w:fldChar w:fldCharType="separate"/>
      </w:r>
      <w:r w:rsidR="00357DD7">
        <w:rPr>
          <w:noProof/>
        </w:rPr>
        <w:t>60</w:t>
      </w:r>
      <w:r w:rsidRPr="002C7198">
        <w:fldChar w:fldCharType="end"/>
      </w:r>
      <w:bookmarkEnd w:id="334"/>
      <w:r w:rsidR="00DE457D">
        <w:tab/>
      </w:r>
      <w:r>
        <w:t xml:space="preserve">Number of customers with </w:t>
      </w:r>
      <w:r w:rsidR="001C4029">
        <w:t xml:space="preserve">arrears who are </w:t>
      </w:r>
      <w:r>
        <w:t>not receiving assistan</w:t>
      </w:r>
      <w:bookmarkEnd w:id="335"/>
      <w:bookmarkEnd w:id="336"/>
      <w:r>
        <w:t>ce</w:t>
      </w:r>
      <w:bookmarkEnd w:id="337"/>
      <w:r w:rsidR="00694803">
        <w:t>, by electricity and gas</w:t>
      </w:r>
    </w:p>
    <w:p w14:paraId="38FA9ECD" w14:textId="74C05F0F" w:rsidR="002A3C51" w:rsidRDefault="005B1A5B" w:rsidP="002A3C51">
      <w:pPr>
        <w:pStyle w:val="Figure-Table-BoxHeading"/>
        <w:numPr>
          <w:ilvl w:val="0"/>
          <w:numId w:val="0"/>
        </w:numPr>
        <w:ind w:left="851" w:hanging="851"/>
      </w:pPr>
      <w:r w:rsidRPr="005B1A5B">
        <w:rPr>
          <w:noProof/>
        </w:rPr>
        <w:drawing>
          <wp:inline distT="0" distB="0" distL="0" distR="0" wp14:anchorId="7F25ED81" wp14:editId="0E72A961">
            <wp:extent cx="6120130" cy="2160905"/>
            <wp:effectExtent l="0" t="0" r="0" b="0"/>
            <wp:docPr id="69" name="Picture 69" descr="Bar chart showing the number of customers with debt who do not receive assistance and their level of debt. &#10;The most common debt level for customers is greater than 0 dollars but less than or equal to 300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Bar chart showing the number of customers with debt who do not receive assistance and their level of debt. &#10;The most common debt level for customers is greater than 0 dollars but less than or equal to 300 dollars."/>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20130" cy="2160905"/>
                    </a:xfrm>
                    <a:prstGeom prst="rect">
                      <a:avLst/>
                    </a:prstGeom>
                    <a:noFill/>
                    <a:ln>
                      <a:noFill/>
                    </a:ln>
                  </pic:spPr>
                </pic:pic>
              </a:graphicData>
            </a:graphic>
          </wp:inline>
        </w:drawing>
      </w:r>
    </w:p>
    <w:bookmarkEnd w:id="338"/>
    <w:p w14:paraId="4BA55E89" w14:textId="5768BA67" w:rsidR="005D245E" w:rsidRPr="00CA00BA" w:rsidRDefault="005D245E" w:rsidP="005D245E">
      <w:pPr>
        <w:pStyle w:val="Caption"/>
        <w:rPr>
          <w:lang w:val="en-US"/>
        </w:rPr>
      </w:pPr>
      <w:r>
        <w:t>Source: Voluntary data request to retailers to inform the review.</w:t>
      </w:r>
      <w:r>
        <w:rPr>
          <w:lang w:val="en-US"/>
        </w:rPr>
        <w:t xml:space="preserve"> </w:t>
      </w:r>
    </w:p>
    <w:p w14:paraId="01AAF565" w14:textId="77777777" w:rsidR="002A3C51" w:rsidRDefault="002A3C51" w:rsidP="002A3C51">
      <w:pPr>
        <w:spacing w:before="0" w:line="259" w:lineRule="auto"/>
        <w:rPr>
          <w:rFonts w:ascii="Tahoma" w:eastAsiaTheme="majorEastAsia" w:hAnsi="Tahoma" w:cstheme="majorBidi"/>
          <w:b/>
          <w:sz w:val="26"/>
          <w:szCs w:val="26"/>
        </w:rPr>
      </w:pPr>
      <w:r>
        <w:br w:type="page"/>
      </w:r>
    </w:p>
    <w:p w14:paraId="1694CBC8" w14:textId="77777777" w:rsidR="002A3C51" w:rsidRDefault="002A3C51" w:rsidP="002A3C51">
      <w:pPr>
        <w:pStyle w:val="Heading2"/>
      </w:pPr>
      <w:bookmarkStart w:id="339" w:name="_Toc104850157"/>
      <w:r>
        <w:lastRenderedPageBreak/>
        <w:t>Disconnections</w:t>
      </w:r>
      <w:bookmarkEnd w:id="323"/>
      <w:bookmarkEnd w:id="339"/>
    </w:p>
    <w:p w14:paraId="4F1A87B0" w14:textId="62B00CEC" w:rsidR="00694803" w:rsidRPr="009618B5" w:rsidRDefault="002A3C51" w:rsidP="009618B5">
      <w:pPr>
        <w:pStyle w:val="Figure-Table-BoxHeading"/>
        <w:numPr>
          <w:ilvl w:val="0"/>
          <w:numId w:val="0"/>
        </w:numPr>
        <w:spacing w:before="0" w:after="0" w:line="240" w:lineRule="auto"/>
      </w:pPr>
      <w:bookmarkStart w:id="340" w:name="_Ref99665731"/>
      <w:bookmarkStart w:id="341" w:name="_Toc100137078"/>
      <w:bookmarkStart w:id="342" w:name="_Toc103943831"/>
      <w:bookmarkStart w:id="343" w:name="_Toc100134516"/>
      <w:bookmarkStart w:id="344" w:name="_Toc99120272"/>
      <w:r w:rsidRPr="009F3E1C">
        <w:t xml:space="preserve">Figure </w:t>
      </w:r>
      <w:r w:rsidRPr="00B07FBC">
        <w:fldChar w:fldCharType="begin"/>
      </w:r>
      <w:r w:rsidRPr="009618B5">
        <w:instrText>SEQ Figure \* ARABIC</w:instrText>
      </w:r>
      <w:r w:rsidRPr="00B07FBC">
        <w:fldChar w:fldCharType="separate"/>
      </w:r>
      <w:r w:rsidR="00357DD7">
        <w:rPr>
          <w:noProof/>
        </w:rPr>
        <w:t>61</w:t>
      </w:r>
      <w:r w:rsidRPr="00B07FBC">
        <w:fldChar w:fldCharType="end"/>
      </w:r>
      <w:bookmarkEnd w:id="340"/>
      <w:r w:rsidRPr="00B07FBC">
        <w:tab/>
      </w:r>
      <w:r w:rsidR="00F2329F">
        <w:t>Number of e</w:t>
      </w:r>
      <w:r w:rsidRPr="009F3E1C">
        <w:t>lectricity d</w:t>
      </w:r>
      <w:r w:rsidRPr="008F050A">
        <w:t>isconnection</w:t>
      </w:r>
      <w:r w:rsidR="00244398">
        <w:t>s</w:t>
      </w:r>
      <w:r w:rsidRPr="009F3E1C">
        <w:t xml:space="preserve"> </w:t>
      </w:r>
      <w:r w:rsidRPr="008F050A">
        <w:t xml:space="preserve">for non-payment </w:t>
      </w:r>
      <w:r w:rsidR="00F2329F" w:rsidRPr="00371FDB">
        <w:t>from July 2019 to June 2021</w:t>
      </w:r>
      <w:r w:rsidR="00F2329F">
        <w:t xml:space="preserve"> (</w:t>
      </w:r>
      <w:r w:rsidRPr="009F3E1C">
        <w:t>per 100 residential customers</w:t>
      </w:r>
      <w:r w:rsidR="0041104F">
        <w:t>),</w:t>
      </w:r>
      <w:r w:rsidRPr="009F3E1C">
        <w:t xml:space="preserve"> by postcode</w:t>
      </w:r>
      <w:bookmarkEnd w:id="341"/>
      <w:bookmarkEnd w:id="342"/>
    </w:p>
    <w:bookmarkEnd w:id="343"/>
    <w:p w14:paraId="446A12AC" w14:textId="0672FB50" w:rsidR="002A3C51" w:rsidRDefault="0032181A" w:rsidP="00846BAF">
      <w:r>
        <w:rPr>
          <w:noProof/>
        </w:rPr>
        <w:drawing>
          <wp:inline distT="0" distB="0" distL="0" distR="0" wp14:anchorId="5013B79F" wp14:editId="5B344F56">
            <wp:extent cx="5400000" cy="3371779"/>
            <wp:effectExtent l="0" t="0" r="0" b="635"/>
            <wp:docPr id="74" name="Picture 74" descr="A map of Victoria showing the Number of electricity disconnections for non-payment from July 2019 to June 2021 (per 100 residential customers), by postcode. There is great variation across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map of Victoria showing the Number of electricity disconnections for non-payment from July 2019 to June 2021 (per 100 residential customers), by postcode. There is great variation across the state."/>
                    <pic:cNvPicPr/>
                  </pic:nvPicPr>
                  <pic:blipFill>
                    <a:blip r:embed="rId148">
                      <a:extLst>
                        <a:ext uri="{28A0092B-C50C-407E-A947-70E740481C1C}">
                          <a14:useLocalDpi xmlns:a14="http://schemas.microsoft.com/office/drawing/2010/main" val="0"/>
                        </a:ext>
                      </a:extLst>
                    </a:blip>
                    <a:stretch>
                      <a:fillRect/>
                    </a:stretch>
                  </pic:blipFill>
                  <pic:spPr>
                    <a:xfrm>
                      <a:off x="0" y="0"/>
                      <a:ext cx="5400000" cy="3371779"/>
                    </a:xfrm>
                    <a:prstGeom prst="rect">
                      <a:avLst/>
                    </a:prstGeom>
                  </pic:spPr>
                </pic:pic>
              </a:graphicData>
            </a:graphic>
          </wp:inline>
        </w:drawing>
      </w:r>
    </w:p>
    <w:p w14:paraId="5CD3EA5F" w14:textId="77578970" w:rsidR="006D7A59" w:rsidRPr="00F4126A" w:rsidRDefault="00FD5905" w:rsidP="00AC5E94">
      <w:pPr>
        <w:pStyle w:val="Caption"/>
      </w:pPr>
      <w:r>
        <w:t xml:space="preserve">Source: </w:t>
      </w:r>
      <w:r w:rsidR="00846BAF">
        <w:t>D</w:t>
      </w:r>
      <w:r w:rsidR="00CC0EE5" w:rsidRPr="00F4126A">
        <w:t>ata from a voluntary request to distributors to inform the review.</w:t>
      </w:r>
      <w:bookmarkStart w:id="345" w:name="_Toc103943832"/>
    </w:p>
    <w:p w14:paraId="5173B1E4" w14:textId="5F53082E" w:rsidR="00692165" w:rsidRDefault="002A3C51" w:rsidP="000C387A">
      <w:pPr>
        <w:pStyle w:val="Figureheading"/>
        <w:spacing w:before="0" w:after="0" w:line="240" w:lineRule="auto"/>
      </w:pPr>
      <w:r w:rsidRPr="009F3E1C">
        <w:t>F</w:t>
      </w:r>
      <w:r w:rsidRPr="008F050A">
        <w:t xml:space="preserve">igure </w:t>
      </w:r>
      <w:r w:rsidRPr="008F050A">
        <w:fldChar w:fldCharType="begin"/>
      </w:r>
      <w:r w:rsidRPr="009618B5">
        <w:instrText>SEQ Figure \* ARABIC</w:instrText>
      </w:r>
      <w:r w:rsidRPr="008F050A">
        <w:fldChar w:fldCharType="separate"/>
      </w:r>
      <w:r w:rsidR="00357DD7">
        <w:rPr>
          <w:noProof/>
        </w:rPr>
        <w:t>62</w:t>
      </w:r>
      <w:r w:rsidRPr="008F050A">
        <w:fldChar w:fldCharType="end"/>
      </w:r>
      <w:r w:rsidRPr="009F3E1C">
        <w:tab/>
      </w:r>
      <w:r w:rsidRPr="008F050A">
        <w:t>Electricity d</w:t>
      </w:r>
      <w:r w:rsidRPr="00363FA1">
        <w:t xml:space="preserve">isconnection </w:t>
      </w:r>
      <w:r w:rsidRPr="007F12E6">
        <w:t>for non-payment per 100 residential customers by postcode (from July 2019 to June 2021)</w:t>
      </w:r>
      <w:bookmarkEnd w:id="345"/>
      <w:r w:rsidRPr="00922053">
        <w:t xml:space="preserve"> </w:t>
      </w:r>
      <w:bookmarkEnd w:id="264"/>
      <w:bookmarkEnd w:id="344"/>
      <w:r w:rsidR="007C27FE">
        <w:rPr>
          <w:noProof/>
        </w:rPr>
        <w:drawing>
          <wp:inline distT="0" distB="0" distL="0" distR="0" wp14:anchorId="22C39D30" wp14:editId="4A76B7B5">
            <wp:extent cx="5364000" cy="3346518"/>
            <wp:effectExtent l="0" t="0" r="8255" b="6350"/>
            <wp:docPr id="82" name="Picture 82" descr="A map of Melbourne and surrounds  showing the Number of electricity disconnections for non-payment from July 2019 to June 2021 (per 100 residential customers), by postcode. There is great variation across post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map of Melbourne and surrounds  showing the Number of electricity disconnections for non-payment from July 2019 to June 2021 (per 100 residential customers), by postcode. There is great variation across postcodes."/>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364000" cy="3346518"/>
                    </a:xfrm>
                    <a:prstGeom prst="rect">
                      <a:avLst/>
                    </a:prstGeom>
                  </pic:spPr>
                </pic:pic>
              </a:graphicData>
            </a:graphic>
          </wp:inline>
        </w:drawing>
      </w:r>
    </w:p>
    <w:p w14:paraId="78C29A29" w14:textId="5B5ABE09" w:rsidR="00CC0EE5" w:rsidRPr="00C40B7B" w:rsidRDefault="00FD5905" w:rsidP="00AC5E94">
      <w:pPr>
        <w:pStyle w:val="Caption"/>
      </w:pPr>
      <w:r w:rsidRPr="00FD5905">
        <w:t xml:space="preserve">Source: </w:t>
      </w:r>
      <w:r w:rsidR="00CC0EE5" w:rsidRPr="00692165">
        <w:t>Data f</w:t>
      </w:r>
      <w:r w:rsidR="00CC0EE5" w:rsidRPr="00C40B7B">
        <w:t>rom a voluntary request to distributors to inform the review.</w:t>
      </w:r>
    </w:p>
    <w:p w14:paraId="64A0A86B" w14:textId="77777777" w:rsidR="00BF2A13" w:rsidRDefault="00BF2A13" w:rsidP="00BF2A13">
      <w:pPr>
        <w:pStyle w:val="Heading2"/>
      </w:pPr>
      <w:bookmarkStart w:id="346" w:name="_Toc104850158"/>
      <w:r>
        <w:lastRenderedPageBreak/>
        <w:t>Variability of outcomes by retailer</w:t>
      </w:r>
      <w:bookmarkEnd w:id="346"/>
    </w:p>
    <w:p w14:paraId="026A090F" w14:textId="77777777" w:rsidR="00BF2A13" w:rsidRDefault="00BF2A13" w:rsidP="00BF2A13">
      <w:r>
        <w:t>The following figures show the variability of outcomes by de-identified retailers, as shown throughout the findings report.</w:t>
      </w:r>
      <w:r w:rsidRPr="00075B48">
        <w:t xml:space="preserve"> </w:t>
      </w:r>
    </w:p>
    <w:p w14:paraId="38EA456A" w14:textId="77777777" w:rsidR="00BF2A13" w:rsidRPr="00FD621F" w:rsidRDefault="00BF2A13" w:rsidP="00BF2A13">
      <w:r>
        <w:t>Figures are based on a voluntary data request to retailers to inform the review, unless otherwise specified. We note that s</w:t>
      </w:r>
      <w:r w:rsidRPr="00F72789">
        <w:t>ome small retailers are not shown due to the retailer either not having tailored assistance customers, or no applicable data relevant to this metric for this time-period.</w:t>
      </w:r>
    </w:p>
    <w:p w14:paraId="0E75B97F" w14:textId="6046A301" w:rsidR="00BF2A13" w:rsidRPr="00877921" w:rsidRDefault="00BF2A13" w:rsidP="00BF2A13">
      <w:pPr>
        <w:pStyle w:val="Figure-Table-BoxHeading"/>
        <w:keepNext/>
        <w:keepLines/>
        <w:numPr>
          <w:ilvl w:val="0"/>
          <w:numId w:val="0"/>
        </w:numPr>
      </w:pPr>
      <w:r w:rsidRPr="009618B5">
        <w:rPr>
          <w:rStyle w:val="Figure-Table-BoxHeadingChar"/>
          <w:b/>
        </w:rPr>
        <w:t xml:space="preserve">Figure </w:t>
      </w:r>
      <w:r w:rsidR="008566C5" w:rsidRPr="009618B5">
        <w:rPr>
          <w:rStyle w:val="Figure-Table-BoxHeadingChar"/>
          <w:b/>
        </w:rPr>
        <w:fldChar w:fldCharType="begin"/>
      </w:r>
      <w:r w:rsidR="008566C5" w:rsidRPr="009618B5">
        <w:rPr>
          <w:rStyle w:val="Figure-Table-BoxHeadingChar"/>
          <w:b/>
        </w:rPr>
        <w:instrText>SEQ Figure \* ARABIC</w:instrText>
      </w:r>
      <w:r w:rsidR="008566C5" w:rsidRPr="009618B5">
        <w:rPr>
          <w:rStyle w:val="Figure-Table-BoxHeadingChar"/>
          <w:b/>
        </w:rPr>
        <w:fldChar w:fldCharType="separate"/>
      </w:r>
      <w:r w:rsidR="00357DD7">
        <w:rPr>
          <w:rStyle w:val="Figure-Table-BoxHeadingChar"/>
          <w:b/>
          <w:noProof/>
        </w:rPr>
        <w:t>63</w:t>
      </w:r>
      <w:r w:rsidR="008566C5" w:rsidRPr="009618B5">
        <w:rPr>
          <w:rStyle w:val="Figure-Table-BoxHeadingChar"/>
          <w:b/>
        </w:rPr>
        <w:fldChar w:fldCharType="end"/>
      </w:r>
      <w:r w:rsidRPr="009618B5">
        <w:rPr>
          <w:rStyle w:val="Figure-Table-BoxHeadingChar"/>
          <w:b/>
        </w:rPr>
        <w:tab/>
      </w:r>
      <w:r w:rsidRPr="00877921">
        <w:t xml:space="preserve">Average </w:t>
      </w:r>
      <w:r>
        <w:t xml:space="preserve">electricity arrears for </w:t>
      </w:r>
      <w:r w:rsidRPr="00877921">
        <w:t xml:space="preserve">customers </w:t>
      </w:r>
      <w:r>
        <w:t>(</w:t>
      </w:r>
      <w:r w:rsidRPr="00877921">
        <w:t>who can pay on-going usage</w:t>
      </w:r>
      <w:r>
        <w:t>)</w:t>
      </w:r>
      <w:r w:rsidRPr="00877921">
        <w:t xml:space="preserve"> commencing </w:t>
      </w:r>
      <w:r>
        <w:t xml:space="preserve">tailored </w:t>
      </w:r>
      <w:r w:rsidRPr="00877921">
        <w:t>assistance in 2020-21</w:t>
      </w:r>
      <w:r w:rsidR="00792B03">
        <w:t>,</w:t>
      </w:r>
      <w:r w:rsidR="00792B03" w:rsidRPr="00792B03">
        <w:t xml:space="preserve"> </w:t>
      </w:r>
      <w:r w:rsidR="00792B03">
        <w:t>by retailer, deidentified</w:t>
      </w:r>
    </w:p>
    <w:p w14:paraId="5559FA47" w14:textId="77777777" w:rsidR="00BF2A13" w:rsidRDefault="00BF2A13" w:rsidP="00F10D84">
      <w:r w:rsidRPr="00E454B7">
        <w:rPr>
          <w:noProof/>
        </w:rPr>
        <w:drawing>
          <wp:inline distT="0" distB="0" distL="0" distR="0" wp14:anchorId="63F2A7DB" wp14:editId="6F1E5F50">
            <wp:extent cx="6120130" cy="2376170"/>
            <wp:effectExtent l="0" t="0" r="0" b="5080"/>
            <wp:docPr id="8" name="Picture 8" descr="Bar chart showing the average electricity arrears for customers who can pay for their ongoing usage when commencing tailored assistance in 2020-21. The chart is sorted by large, medium, and small retailers. There is great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Bar chart showing the average electricity arrears for customers who can pay for their ongoing usage when commencing tailored assistance in 2020-21. The chart is sorted by large, medium, and small retailers. There is great variance in the outcome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2376170"/>
                    </a:xfrm>
                    <a:prstGeom prst="rect">
                      <a:avLst/>
                    </a:prstGeom>
                    <a:noFill/>
                    <a:ln>
                      <a:noFill/>
                    </a:ln>
                  </pic:spPr>
                </pic:pic>
              </a:graphicData>
            </a:graphic>
          </wp:inline>
        </w:drawing>
      </w:r>
      <w:r w:rsidRPr="00A3718E">
        <w:t xml:space="preserve"> </w:t>
      </w:r>
    </w:p>
    <w:p w14:paraId="3F06F350" w14:textId="77777777" w:rsidR="00C622FF" w:rsidRDefault="00C622FF" w:rsidP="00BF2A13">
      <w:pPr>
        <w:pStyle w:val="Figure-Table-BoxHeading"/>
        <w:keepNext/>
        <w:keepLines/>
        <w:numPr>
          <w:ilvl w:val="0"/>
          <w:numId w:val="0"/>
        </w:numPr>
      </w:pPr>
    </w:p>
    <w:p w14:paraId="77E35805" w14:textId="568FE38B" w:rsidR="00BF2A13" w:rsidRPr="00877921" w:rsidRDefault="00BF2A13" w:rsidP="00BF2A13">
      <w:pPr>
        <w:pStyle w:val="Figure-Table-BoxHeading"/>
        <w:keepNext/>
        <w:keepLines/>
        <w:numPr>
          <w:ilvl w:val="0"/>
          <w:numId w:val="0"/>
        </w:numPr>
      </w:pPr>
      <w:r w:rsidRPr="009618B5">
        <w:rPr>
          <w:rStyle w:val="Figure-Table-BoxHeadingChar"/>
          <w:b/>
        </w:rPr>
        <w:t xml:space="preserve">Figure </w:t>
      </w:r>
      <w:r w:rsidR="00A676CE" w:rsidRPr="009618B5">
        <w:rPr>
          <w:rStyle w:val="Figure-Table-BoxHeadingChar"/>
          <w:b/>
        </w:rPr>
        <w:fldChar w:fldCharType="begin"/>
      </w:r>
      <w:r w:rsidR="00A676CE" w:rsidRPr="009618B5">
        <w:rPr>
          <w:rStyle w:val="Figure-Table-BoxHeadingChar"/>
          <w:b/>
        </w:rPr>
        <w:instrText>SEQ Figure \* ARABIC</w:instrText>
      </w:r>
      <w:r w:rsidR="00A676CE" w:rsidRPr="009618B5">
        <w:rPr>
          <w:rStyle w:val="Figure-Table-BoxHeadingChar"/>
          <w:b/>
        </w:rPr>
        <w:fldChar w:fldCharType="separate"/>
      </w:r>
      <w:r w:rsidR="00357DD7">
        <w:rPr>
          <w:rStyle w:val="Figure-Table-BoxHeadingChar"/>
          <w:b/>
          <w:noProof/>
        </w:rPr>
        <w:t>64</w:t>
      </w:r>
      <w:r w:rsidR="00A676CE" w:rsidRPr="009618B5">
        <w:rPr>
          <w:rStyle w:val="Figure-Table-BoxHeadingChar"/>
          <w:b/>
        </w:rPr>
        <w:fldChar w:fldCharType="end"/>
      </w:r>
      <w:r w:rsidRPr="009618B5">
        <w:rPr>
          <w:rStyle w:val="Figure-Table-BoxHeadingChar"/>
          <w:b/>
        </w:rPr>
        <w:tab/>
      </w:r>
      <w:r w:rsidRPr="005F0A32" w:rsidDel="00B5068A">
        <w:t xml:space="preserve">Proportion of electricity customers </w:t>
      </w:r>
      <w:r w:rsidRPr="005F0A32">
        <w:t xml:space="preserve">(who can pay </w:t>
      </w:r>
      <w:r>
        <w:t xml:space="preserve">for their </w:t>
      </w:r>
      <w:r w:rsidRPr="00D425A5">
        <w:t>ongoing use) entering tailored assistance between 0-30 days of bill being overdue in 2020</w:t>
      </w:r>
      <w:r w:rsidRPr="00D425A5">
        <w:rPr>
          <w:rFonts w:ascii="Arial" w:hAnsi="Arial" w:cs="Arial"/>
          <w:color w:val="4D5156"/>
          <w:sz w:val="21"/>
          <w:szCs w:val="21"/>
        </w:rPr>
        <w:t>–</w:t>
      </w:r>
      <w:r w:rsidRPr="00D425A5">
        <w:t>21</w:t>
      </w:r>
    </w:p>
    <w:p w14:paraId="67B4BD09" w14:textId="77777777" w:rsidR="00BF2A13" w:rsidRDefault="00BF2A13" w:rsidP="00F10D84">
      <w:r w:rsidRPr="00C77279">
        <w:rPr>
          <w:noProof/>
        </w:rPr>
        <w:drawing>
          <wp:inline distT="0" distB="0" distL="0" distR="0" wp14:anchorId="7B3B6955" wp14:editId="3144EA06">
            <wp:extent cx="6120130" cy="2519045"/>
            <wp:effectExtent l="0" t="0" r="0" b="0"/>
            <wp:docPr id="13" name="Picture 13" descr="Bar chart showing the proportion of electricity customers entering tailored assistance between 0-30 days of the bill being overdue in 2020-21. The chart is for customers who can pay for their ongoing use and is sorted by large, medium, and small retailers. There is great variance across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Bar chart showing the proportion of electricity customers entering tailored assistance between 0-30 days of the bill being overdue in 2020-21. The chart is for customers who can pay for their ongoing use and is sorted by large, medium, and small retailers. There is great variance across the char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2519045"/>
                    </a:xfrm>
                    <a:prstGeom prst="rect">
                      <a:avLst/>
                    </a:prstGeom>
                    <a:noFill/>
                    <a:ln>
                      <a:noFill/>
                    </a:ln>
                  </pic:spPr>
                </pic:pic>
              </a:graphicData>
            </a:graphic>
          </wp:inline>
        </w:drawing>
      </w:r>
    </w:p>
    <w:p w14:paraId="1BC500FA" w14:textId="77777777" w:rsidR="00BF2A13" w:rsidRDefault="00BF2A13" w:rsidP="00BF2A13"/>
    <w:p w14:paraId="6FC33036" w14:textId="0D8909EA" w:rsidR="00BF2A13" w:rsidRDefault="00BF2A13" w:rsidP="00BF2A13">
      <w:pPr>
        <w:pStyle w:val="Figure-Table-BoxHeading"/>
        <w:keepNext/>
        <w:keepLines/>
        <w:numPr>
          <w:ilvl w:val="0"/>
          <w:numId w:val="0"/>
        </w:numPr>
      </w:pPr>
      <w:r w:rsidRPr="009618B5">
        <w:rPr>
          <w:rStyle w:val="Figure-Table-BoxHeadingChar"/>
          <w:b/>
        </w:rPr>
        <w:t xml:space="preserve">Figure </w:t>
      </w:r>
      <w:r w:rsidR="00006FDB" w:rsidRPr="009618B5">
        <w:rPr>
          <w:rStyle w:val="Figure-Table-BoxHeadingChar"/>
          <w:b/>
        </w:rPr>
        <w:fldChar w:fldCharType="begin"/>
      </w:r>
      <w:r w:rsidR="00006FDB" w:rsidRPr="009618B5">
        <w:rPr>
          <w:rStyle w:val="Figure-Table-BoxHeadingChar"/>
          <w:b/>
        </w:rPr>
        <w:instrText>SEQ Figure \* ARABIC</w:instrText>
      </w:r>
      <w:r w:rsidR="00006FDB" w:rsidRPr="009618B5">
        <w:rPr>
          <w:rStyle w:val="Figure-Table-BoxHeadingChar"/>
          <w:b/>
        </w:rPr>
        <w:fldChar w:fldCharType="separate"/>
      </w:r>
      <w:r w:rsidR="00357DD7">
        <w:rPr>
          <w:rStyle w:val="Figure-Table-BoxHeadingChar"/>
          <w:b/>
          <w:noProof/>
        </w:rPr>
        <w:t>65</w:t>
      </w:r>
      <w:r w:rsidR="00006FDB" w:rsidRPr="009618B5">
        <w:rPr>
          <w:rStyle w:val="Figure-Table-BoxHeadingChar"/>
          <w:b/>
        </w:rPr>
        <w:fldChar w:fldCharType="end"/>
      </w:r>
      <w:r w:rsidRPr="009618B5">
        <w:rPr>
          <w:rStyle w:val="Figure-Table-BoxHeadingChar"/>
          <w:b/>
        </w:rPr>
        <w:tab/>
      </w:r>
      <w:r>
        <w:t>Proportion of successful exits of customers (who can pay for their ongoing energy use) receiving tailored assistance</w:t>
      </w:r>
      <w:r w:rsidR="002B2CAF">
        <w:t>, by retailer, deidentified</w:t>
      </w:r>
    </w:p>
    <w:p w14:paraId="2E1D8D11" w14:textId="77777777" w:rsidR="00BF2A13" w:rsidRDefault="00BF2A13" w:rsidP="00F10D84">
      <w:r w:rsidRPr="002C55A6">
        <w:rPr>
          <w:noProof/>
        </w:rPr>
        <w:drawing>
          <wp:inline distT="0" distB="0" distL="0" distR="0" wp14:anchorId="3BD2C3AB" wp14:editId="1FA948A5">
            <wp:extent cx="6120130" cy="2519045"/>
            <wp:effectExtent l="0" t="0" r="0" b="5715"/>
            <wp:docPr id="21" name="Picture 21" descr="Bar chart showing successful exits of customers who can pay for their ongoing energy use receiving tailored assistance, sorted by large, medium, and small retailers. There is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 name="Picture 99974" descr="Bar chart showing successful exits of customers who can pay for their ongoing energy use receiving tailored assistance, sorted by large, medium, and small retailers. There is variance in the outcome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0130" cy="2519045"/>
                    </a:xfrm>
                    <a:prstGeom prst="rect">
                      <a:avLst/>
                    </a:prstGeom>
                    <a:noFill/>
                    <a:ln>
                      <a:noFill/>
                    </a:ln>
                  </pic:spPr>
                </pic:pic>
              </a:graphicData>
            </a:graphic>
          </wp:inline>
        </w:drawing>
      </w:r>
    </w:p>
    <w:p w14:paraId="21F992E0" w14:textId="77777777" w:rsidR="00C622FF" w:rsidRDefault="00C622FF" w:rsidP="00BF2A13"/>
    <w:p w14:paraId="3EB98BFC" w14:textId="49C99327" w:rsidR="00BF2A13" w:rsidRDefault="00BF2A13" w:rsidP="00BF2A13">
      <w:pPr>
        <w:pStyle w:val="Figure-Table-BoxHeading"/>
        <w:keepNext/>
        <w:keepLines/>
        <w:numPr>
          <w:ilvl w:val="0"/>
          <w:numId w:val="0"/>
        </w:numPr>
      </w:pPr>
      <w:r w:rsidRPr="009618B5">
        <w:rPr>
          <w:rStyle w:val="Figure-Table-BoxHeadingChar"/>
          <w:b/>
        </w:rPr>
        <w:t xml:space="preserve">Figure </w:t>
      </w:r>
      <w:r w:rsidR="00FC05EA" w:rsidRPr="009618B5">
        <w:rPr>
          <w:rStyle w:val="Figure-Table-BoxHeadingChar"/>
          <w:b/>
        </w:rPr>
        <w:fldChar w:fldCharType="begin"/>
      </w:r>
      <w:r w:rsidR="00FC05EA" w:rsidRPr="009618B5">
        <w:rPr>
          <w:rStyle w:val="Figure-Table-BoxHeadingChar"/>
          <w:b/>
        </w:rPr>
        <w:instrText>SEQ Figure \* ARABIC</w:instrText>
      </w:r>
      <w:r w:rsidR="00FC05EA" w:rsidRPr="009618B5">
        <w:rPr>
          <w:rStyle w:val="Figure-Table-BoxHeadingChar"/>
          <w:b/>
        </w:rPr>
        <w:fldChar w:fldCharType="separate"/>
      </w:r>
      <w:r w:rsidR="00357DD7">
        <w:rPr>
          <w:rStyle w:val="Figure-Table-BoxHeadingChar"/>
          <w:b/>
          <w:noProof/>
        </w:rPr>
        <w:t>66</w:t>
      </w:r>
      <w:r w:rsidR="00FC05EA" w:rsidRPr="009618B5">
        <w:rPr>
          <w:rStyle w:val="Figure-Table-BoxHeadingChar"/>
          <w:b/>
        </w:rPr>
        <w:fldChar w:fldCharType="end"/>
      </w:r>
      <w:r>
        <w:rPr>
          <w:rStyle w:val="Figure-Table-BoxHeadingChar"/>
          <w:b/>
        </w:rPr>
        <w:tab/>
      </w:r>
      <w:r>
        <w:t>Proportion of successful exits of customers (who cannot pay for their ongoing energy use) receiving tailored assistance</w:t>
      </w:r>
      <w:r w:rsidR="002B2CAF">
        <w:t>, by retailer, deidentified</w:t>
      </w:r>
    </w:p>
    <w:p w14:paraId="6F3C0EF9" w14:textId="77777777" w:rsidR="00BF2A13" w:rsidRDefault="00BF2A13" w:rsidP="00F10D84">
      <w:r w:rsidRPr="00D80715">
        <w:rPr>
          <w:noProof/>
        </w:rPr>
        <w:drawing>
          <wp:inline distT="0" distB="0" distL="0" distR="0" wp14:anchorId="3C54AD65" wp14:editId="178CD229">
            <wp:extent cx="6120130" cy="2519045"/>
            <wp:effectExtent l="0" t="0" r="0" b="0"/>
            <wp:docPr id="22" name="Picture 22" descr="Bar chart showing successful exits of customers who cannot pay for their ongoing use receiving tailored assistance. The chart is sorted by large, medium, and small retailers. There is great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9" name="Picture 99979" descr="Bar chart showing successful exits of customers who cannot pay for their ongoing use receiving tailored assistance. The chart is sorted by large, medium, and small retailers. There is great variance in the outcome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0130" cy="2519045"/>
                    </a:xfrm>
                    <a:prstGeom prst="rect">
                      <a:avLst/>
                    </a:prstGeom>
                    <a:noFill/>
                    <a:ln>
                      <a:noFill/>
                    </a:ln>
                  </pic:spPr>
                </pic:pic>
              </a:graphicData>
            </a:graphic>
          </wp:inline>
        </w:drawing>
      </w:r>
    </w:p>
    <w:p w14:paraId="2739A64C" w14:textId="77777777" w:rsidR="00F10D84" w:rsidRDefault="00F10D84" w:rsidP="00BF2A13">
      <w:pPr>
        <w:pStyle w:val="Figure-Table-BoxHeading"/>
        <w:keepNext/>
        <w:keepLines/>
        <w:numPr>
          <w:ilvl w:val="0"/>
          <w:numId w:val="0"/>
        </w:numPr>
        <w:rPr>
          <w:rStyle w:val="Figure-Table-BoxHeadingChar"/>
          <w:b/>
        </w:rPr>
      </w:pPr>
    </w:p>
    <w:p w14:paraId="6E174AC9" w14:textId="17D9EAA2" w:rsidR="00BF2A13" w:rsidRPr="00845DA6" w:rsidRDefault="00BF2A13" w:rsidP="00BF2A13">
      <w:pPr>
        <w:pStyle w:val="Figure-Table-BoxHeading"/>
        <w:keepNext/>
        <w:keepLines/>
        <w:numPr>
          <w:ilvl w:val="0"/>
          <w:numId w:val="0"/>
        </w:numPr>
      </w:pPr>
      <w:r w:rsidRPr="009618B5">
        <w:rPr>
          <w:rStyle w:val="Figure-Table-BoxHeadingChar"/>
          <w:b/>
        </w:rPr>
        <w:t xml:space="preserve">Figure </w:t>
      </w:r>
      <w:r w:rsidR="00A40A74" w:rsidRPr="009618B5">
        <w:rPr>
          <w:rStyle w:val="Figure-Table-BoxHeadingChar"/>
          <w:b/>
        </w:rPr>
        <w:fldChar w:fldCharType="begin"/>
      </w:r>
      <w:r w:rsidR="00A40A74" w:rsidRPr="009618B5">
        <w:rPr>
          <w:rStyle w:val="Figure-Table-BoxHeadingChar"/>
          <w:b/>
        </w:rPr>
        <w:instrText>SEQ Figure \* ARABIC</w:instrText>
      </w:r>
      <w:r w:rsidR="00A40A74" w:rsidRPr="009618B5">
        <w:rPr>
          <w:rStyle w:val="Figure-Table-BoxHeadingChar"/>
          <w:b/>
        </w:rPr>
        <w:fldChar w:fldCharType="separate"/>
      </w:r>
      <w:r w:rsidR="00357DD7">
        <w:rPr>
          <w:rStyle w:val="Figure-Table-BoxHeadingChar"/>
          <w:b/>
          <w:noProof/>
        </w:rPr>
        <w:t>67</w:t>
      </w:r>
      <w:r w:rsidR="00A40A74" w:rsidRPr="009618B5">
        <w:rPr>
          <w:rStyle w:val="Figure-Table-BoxHeadingChar"/>
          <w:b/>
        </w:rPr>
        <w:fldChar w:fldCharType="end"/>
      </w:r>
      <w:r>
        <w:rPr>
          <w:rStyle w:val="Figure-Table-BoxHeadingChar"/>
          <w:b/>
        </w:rPr>
        <w:tab/>
      </w:r>
      <w:r>
        <w:t>Proportion of tailored assistance customers (who can pay ongoing usage) who exited tailored assistance having not complied with their payment arrangements</w:t>
      </w:r>
      <w:r w:rsidR="002B2CAF">
        <w:t>, by retailer, deidentified</w:t>
      </w:r>
    </w:p>
    <w:p w14:paraId="0E9CE341" w14:textId="77777777" w:rsidR="00BF2A13" w:rsidRDefault="00BF2A13" w:rsidP="00F10D84">
      <w:r w:rsidRPr="00261520">
        <w:rPr>
          <w:noProof/>
        </w:rPr>
        <w:drawing>
          <wp:inline distT="0" distB="0" distL="0" distR="0" wp14:anchorId="106739E7" wp14:editId="6324FF93">
            <wp:extent cx="6120130" cy="2519045"/>
            <wp:effectExtent l="0" t="0" r="0" b="0"/>
            <wp:docPr id="23" name="Picture 23" descr="Bar chart showing the proportion of tailored assistance customers who can pay for ongoing usage and who have exited tailored assistance having not complied with the terms of their payment arrangements. The chart is sorted by large, medium, and small retailers. There is variance in the outcomes, but small retailers have a smaller pro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2" name="Picture 99992" descr="Bar chart showing the proportion of tailored assistance customers who can pay for ongoing usage and who have exited tailored assistance having not complied with the terms of their payment arrangements. The chart is sorted by large, medium, and small retailers. There is variance in the outcomes, but small retailers have a smaller proportio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130" cy="2519045"/>
                    </a:xfrm>
                    <a:prstGeom prst="rect">
                      <a:avLst/>
                    </a:prstGeom>
                    <a:noFill/>
                    <a:ln>
                      <a:noFill/>
                    </a:ln>
                  </pic:spPr>
                </pic:pic>
              </a:graphicData>
            </a:graphic>
          </wp:inline>
        </w:drawing>
      </w:r>
    </w:p>
    <w:p w14:paraId="1927A2E7" w14:textId="77777777" w:rsidR="00C622FF" w:rsidRDefault="00C622FF" w:rsidP="00BF2A13"/>
    <w:p w14:paraId="33C6ED2F" w14:textId="5C24DFF3" w:rsidR="00BF2A13" w:rsidRPr="00877921" w:rsidRDefault="00BF2A13" w:rsidP="00BF2A13">
      <w:pPr>
        <w:pStyle w:val="Figure-Table-BoxHeading"/>
        <w:keepNext/>
        <w:keepLines/>
        <w:numPr>
          <w:ilvl w:val="0"/>
          <w:numId w:val="0"/>
        </w:numPr>
      </w:pPr>
      <w:r w:rsidRPr="009618B5">
        <w:rPr>
          <w:rStyle w:val="Figure-Table-BoxHeadingChar"/>
          <w:b/>
        </w:rPr>
        <w:t xml:space="preserve">Figure </w:t>
      </w:r>
      <w:r w:rsidR="00C622FF" w:rsidRPr="009618B5">
        <w:rPr>
          <w:rStyle w:val="Figure-Table-BoxHeadingChar"/>
          <w:b/>
        </w:rPr>
        <w:fldChar w:fldCharType="begin"/>
      </w:r>
      <w:r w:rsidR="00C622FF" w:rsidRPr="009618B5">
        <w:rPr>
          <w:rStyle w:val="Figure-Table-BoxHeadingChar"/>
          <w:b/>
        </w:rPr>
        <w:instrText>SEQ Figure \* ARABIC</w:instrText>
      </w:r>
      <w:r w:rsidR="00C622FF" w:rsidRPr="009618B5">
        <w:rPr>
          <w:rStyle w:val="Figure-Table-BoxHeadingChar"/>
          <w:b/>
        </w:rPr>
        <w:fldChar w:fldCharType="separate"/>
      </w:r>
      <w:r w:rsidR="00357DD7">
        <w:rPr>
          <w:rStyle w:val="Figure-Table-BoxHeadingChar"/>
          <w:b/>
          <w:noProof/>
        </w:rPr>
        <w:t>68</w:t>
      </w:r>
      <w:r w:rsidR="00C622FF" w:rsidRPr="009618B5">
        <w:rPr>
          <w:rStyle w:val="Figure-Table-BoxHeadingChar"/>
          <w:b/>
        </w:rPr>
        <w:fldChar w:fldCharType="end"/>
      </w:r>
      <w:r>
        <w:rPr>
          <w:rStyle w:val="Figure-Table-BoxHeadingChar"/>
          <w:b/>
        </w:rPr>
        <w:tab/>
      </w:r>
      <w:r>
        <w:t>Proportion of tailored assistance customers (who cannot pay ongoing usage) who exited tailored assistance having not complied with their payment arrangements</w:t>
      </w:r>
      <w:r w:rsidR="002B2CAF">
        <w:t>, by retailer, deidentified</w:t>
      </w:r>
    </w:p>
    <w:p w14:paraId="7186033B" w14:textId="77777777" w:rsidR="00BF2A13" w:rsidRDefault="00BF2A13" w:rsidP="00F10D84">
      <w:r w:rsidRPr="00532AC1">
        <w:rPr>
          <w:noProof/>
        </w:rPr>
        <w:drawing>
          <wp:inline distT="0" distB="0" distL="0" distR="0" wp14:anchorId="1D6D8E22" wp14:editId="0EF27F21">
            <wp:extent cx="6120130" cy="2519045"/>
            <wp:effectExtent l="0" t="0" r="0" b="0"/>
            <wp:docPr id="25" name="Picture 25" descr="Bar chart showing the proportion of customers who cannot pay for ongoing usage and who have exited assistance having not complied with the terms of their payment arrangement. The chart is sorted by large, medium, and small retailers. There is great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8" name="Picture 99988" descr="Bar chart showing the proportion of customers who cannot pay for ongoing usage and who have exited assistance having not complied with the terms of their payment arrangement. The chart is sorted by large, medium, and small retailers. There is great variance in the outcom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0130" cy="2519045"/>
                    </a:xfrm>
                    <a:prstGeom prst="rect">
                      <a:avLst/>
                    </a:prstGeom>
                    <a:noFill/>
                    <a:ln>
                      <a:noFill/>
                    </a:ln>
                  </pic:spPr>
                </pic:pic>
              </a:graphicData>
            </a:graphic>
          </wp:inline>
        </w:drawing>
      </w:r>
    </w:p>
    <w:p w14:paraId="3D36E27F" w14:textId="299073B0" w:rsidR="00BF2A13" w:rsidRPr="00877921" w:rsidRDefault="00BF2A13" w:rsidP="00BF2A13">
      <w:pPr>
        <w:pStyle w:val="Figure-Table-BoxHeading"/>
        <w:keepNext/>
        <w:keepLines/>
        <w:numPr>
          <w:ilvl w:val="0"/>
          <w:numId w:val="0"/>
        </w:numPr>
      </w:pPr>
      <w:r w:rsidRPr="009618B5">
        <w:rPr>
          <w:rStyle w:val="Figure-Table-BoxHeadingChar"/>
          <w:b/>
        </w:rPr>
        <w:lastRenderedPageBreak/>
        <w:t xml:space="preserve">Figure </w:t>
      </w:r>
      <w:r w:rsidR="009528DF" w:rsidRPr="009618B5">
        <w:rPr>
          <w:rStyle w:val="Figure-Table-BoxHeadingChar"/>
          <w:b/>
        </w:rPr>
        <w:fldChar w:fldCharType="begin"/>
      </w:r>
      <w:r w:rsidR="009528DF" w:rsidRPr="009618B5">
        <w:rPr>
          <w:rStyle w:val="Figure-Table-BoxHeadingChar"/>
          <w:b/>
        </w:rPr>
        <w:instrText>SEQ Figure \* ARABIC</w:instrText>
      </w:r>
      <w:r w:rsidR="009528DF" w:rsidRPr="009618B5">
        <w:rPr>
          <w:rStyle w:val="Figure-Table-BoxHeadingChar"/>
          <w:b/>
        </w:rPr>
        <w:fldChar w:fldCharType="separate"/>
      </w:r>
      <w:r w:rsidR="00357DD7">
        <w:rPr>
          <w:rStyle w:val="Figure-Table-BoxHeadingChar"/>
          <w:b/>
          <w:noProof/>
        </w:rPr>
        <w:t>69</w:t>
      </w:r>
      <w:r w:rsidR="009528DF" w:rsidRPr="009618B5">
        <w:rPr>
          <w:rStyle w:val="Figure-Table-BoxHeadingChar"/>
          <w:b/>
        </w:rPr>
        <w:fldChar w:fldCharType="end"/>
      </w:r>
      <w:r>
        <w:rPr>
          <w:rStyle w:val="Figure-Table-BoxHeadingChar"/>
          <w:b/>
        </w:rPr>
        <w:tab/>
      </w:r>
      <w:r>
        <w:t>Number of c</w:t>
      </w:r>
      <w:r w:rsidRPr="00F84271">
        <w:t xml:space="preserve">ustomers </w:t>
      </w:r>
      <w:r>
        <w:t xml:space="preserve">not receiving assistance who owe </w:t>
      </w:r>
      <w:r w:rsidRPr="00F84271">
        <w:t xml:space="preserve">more than $1,000 </w:t>
      </w:r>
      <w:r>
        <w:t>to their retailer (</w:t>
      </w:r>
      <w:r w:rsidRPr="00F84271">
        <w:t>per 100 customers</w:t>
      </w:r>
      <w:r>
        <w:t>) by retailer, deidentified</w:t>
      </w:r>
    </w:p>
    <w:p w14:paraId="5AF33F50" w14:textId="5565B19B" w:rsidR="00C622FF" w:rsidRDefault="00BF2A13" w:rsidP="00F10D84">
      <w:pPr>
        <w:spacing w:after="360"/>
        <w:rPr>
          <w:lang w:val="en-US"/>
        </w:rPr>
      </w:pPr>
      <w:r w:rsidRPr="000D3044">
        <w:rPr>
          <w:noProof/>
        </w:rPr>
        <w:drawing>
          <wp:inline distT="0" distB="0" distL="0" distR="0" wp14:anchorId="0803C120" wp14:editId="13149B94">
            <wp:extent cx="6120130" cy="2210750"/>
            <wp:effectExtent l="0" t="0" r="0" b="0"/>
            <wp:docPr id="26" name="Picture 26" descr="Bar chart showing customers owing more than one thousand dollars and not receiving assistance per 100 customers, sorted by large, medium, and small retailers. There is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Bar chart showing customers owing more than one thousand dollars and not receiving assistance per 100 customers, sorted by large, medium, and small retailers. There is variance in the outcome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31175" cy="2214740"/>
                    </a:xfrm>
                    <a:prstGeom prst="rect">
                      <a:avLst/>
                    </a:prstGeom>
                    <a:noFill/>
                    <a:ln>
                      <a:noFill/>
                    </a:ln>
                  </pic:spPr>
                </pic:pic>
              </a:graphicData>
            </a:graphic>
          </wp:inline>
        </w:drawing>
      </w:r>
    </w:p>
    <w:p w14:paraId="66351F6F" w14:textId="035DDB08" w:rsidR="00BF2A13" w:rsidRDefault="00BF2A13" w:rsidP="00BF2A13">
      <w:pPr>
        <w:pStyle w:val="Figure-Table-BoxHeading"/>
        <w:keepNext/>
        <w:keepLines/>
        <w:numPr>
          <w:ilvl w:val="0"/>
          <w:numId w:val="0"/>
        </w:numPr>
      </w:pPr>
      <w:r w:rsidRPr="009618B5">
        <w:rPr>
          <w:rStyle w:val="Figure-Table-BoxHeadingChar"/>
          <w:b/>
        </w:rPr>
        <w:t xml:space="preserve">Figure </w:t>
      </w:r>
      <w:r w:rsidR="00753FD6" w:rsidRPr="009618B5">
        <w:rPr>
          <w:rStyle w:val="Figure-Table-BoxHeadingChar"/>
          <w:b/>
        </w:rPr>
        <w:fldChar w:fldCharType="begin"/>
      </w:r>
      <w:r w:rsidR="00753FD6" w:rsidRPr="009618B5">
        <w:rPr>
          <w:rStyle w:val="Figure-Table-BoxHeadingChar"/>
          <w:b/>
        </w:rPr>
        <w:instrText>SEQ Figure \* ARABIC</w:instrText>
      </w:r>
      <w:r w:rsidR="00753FD6" w:rsidRPr="009618B5">
        <w:rPr>
          <w:rStyle w:val="Figure-Table-BoxHeadingChar"/>
          <w:b/>
        </w:rPr>
        <w:fldChar w:fldCharType="separate"/>
      </w:r>
      <w:r w:rsidR="00357DD7">
        <w:rPr>
          <w:rStyle w:val="Figure-Table-BoxHeadingChar"/>
          <w:b/>
          <w:noProof/>
        </w:rPr>
        <w:t>70</w:t>
      </w:r>
      <w:r w:rsidR="00753FD6" w:rsidRPr="009618B5">
        <w:rPr>
          <w:rStyle w:val="Figure-Table-BoxHeadingChar"/>
          <w:b/>
        </w:rPr>
        <w:fldChar w:fldCharType="end"/>
      </w:r>
      <w:r>
        <w:rPr>
          <w:rStyle w:val="Figure-Table-BoxHeadingChar"/>
          <w:b/>
        </w:rPr>
        <w:tab/>
      </w:r>
      <w:r>
        <w:t xml:space="preserve">Percentage of utility </w:t>
      </w:r>
      <w:r w:rsidRPr="00E643C3">
        <w:t>relief</w:t>
      </w:r>
      <w:r>
        <w:t xml:space="preserve"> grant applications being submitted to DFFH compared to number of forms being requested, by retailer, deidentified </w:t>
      </w:r>
    </w:p>
    <w:p w14:paraId="1F03E5D4" w14:textId="187C42E6" w:rsidR="00BF2A13" w:rsidRDefault="00BF2A13" w:rsidP="00F10D84">
      <w:r w:rsidRPr="00040485">
        <w:rPr>
          <w:noProof/>
        </w:rPr>
        <w:drawing>
          <wp:inline distT="0" distB="0" distL="0" distR="0" wp14:anchorId="18A14406" wp14:editId="7DBB6A0D">
            <wp:extent cx="6120130" cy="2515870"/>
            <wp:effectExtent l="0" t="0" r="0" b="0"/>
            <wp:docPr id="45" name="Picture 45" descr="Bar chart showing the percentage of utility relief grant applications being submitted compared to forms being requested from the Department of families, fairness, and housing. The chart is sorted by large, medium, and small retailer. There is great variance in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6" name="Picture 99996" descr="Bar chart showing the percentage of utility relief grant applications being submitted compared to forms being requested from the Department of families, fairness, and housing. The chart is sorted by large, medium, and small retailer. There is great variance in  the outcomes."/>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20130" cy="2515870"/>
                    </a:xfrm>
                    <a:prstGeom prst="rect">
                      <a:avLst/>
                    </a:prstGeom>
                    <a:noFill/>
                    <a:ln>
                      <a:noFill/>
                    </a:ln>
                  </pic:spPr>
                </pic:pic>
              </a:graphicData>
            </a:graphic>
          </wp:inline>
        </w:drawing>
      </w:r>
    </w:p>
    <w:p w14:paraId="7394BD32" w14:textId="32C441FD" w:rsidR="00BF2A13" w:rsidRPr="002D57E3" w:rsidRDefault="00C622FF" w:rsidP="00AC5E94">
      <w:pPr>
        <w:pStyle w:val="Caption"/>
      </w:pPr>
      <w:r>
        <w:t xml:space="preserve">Source: </w:t>
      </w:r>
      <w:r w:rsidR="00BF2A13">
        <w:t>Data from Department of Families, Fairness and Housing Victoria</w:t>
      </w:r>
    </w:p>
    <w:p w14:paraId="2C2B166F" w14:textId="3D70A1CC" w:rsidR="00BF2A13" w:rsidRDefault="00BF2A13" w:rsidP="00BF2A13">
      <w:pPr>
        <w:pStyle w:val="Figure-Table-BoxHeading"/>
        <w:keepNext/>
        <w:numPr>
          <w:ilvl w:val="0"/>
          <w:numId w:val="0"/>
        </w:numPr>
      </w:pPr>
      <w:r w:rsidRPr="009618B5">
        <w:rPr>
          <w:rStyle w:val="Figure-Table-BoxHeadingChar"/>
          <w:b/>
        </w:rPr>
        <w:lastRenderedPageBreak/>
        <w:t xml:space="preserve">Figure </w:t>
      </w:r>
      <w:r w:rsidR="00773B2B" w:rsidRPr="009618B5">
        <w:rPr>
          <w:rStyle w:val="Figure-Table-BoxHeadingChar"/>
          <w:b/>
        </w:rPr>
        <w:fldChar w:fldCharType="begin"/>
      </w:r>
      <w:r w:rsidR="00773B2B" w:rsidRPr="009618B5">
        <w:rPr>
          <w:rStyle w:val="Figure-Table-BoxHeadingChar"/>
          <w:b/>
        </w:rPr>
        <w:instrText>SEQ Figure \* ARABIC</w:instrText>
      </w:r>
      <w:r w:rsidR="00773B2B" w:rsidRPr="009618B5">
        <w:rPr>
          <w:rStyle w:val="Figure-Table-BoxHeadingChar"/>
          <w:b/>
        </w:rPr>
        <w:fldChar w:fldCharType="separate"/>
      </w:r>
      <w:r w:rsidR="00357DD7">
        <w:rPr>
          <w:rStyle w:val="Figure-Table-BoxHeadingChar"/>
          <w:b/>
          <w:noProof/>
        </w:rPr>
        <w:t>71</w:t>
      </w:r>
      <w:r w:rsidR="00773B2B" w:rsidRPr="009618B5">
        <w:rPr>
          <w:rStyle w:val="Figure-Table-BoxHeadingChar"/>
          <w:b/>
        </w:rPr>
        <w:fldChar w:fldCharType="end"/>
      </w:r>
      <w:r>
        <w:rPr>
          <w:rStyle w:val="Figure-Table-BoxHeadingChar"/>
          <w:b/>
        </w:rPr>
        <w:tab/>
      </w:r>
      <w:r>
        <w:t xml:space="preserve">Residential </w:t>
      </w:r>
      <w:r w:rsidR="00A61620">
        <w:t>electricity</w:t>
      </w:r>
      <w:r>
        <w:t xml:space="preserve"> disconnections for non-payment (per 100 customers) from 2019 to 2021, by retailer, deidentified</w:t>
      </w:r>
    </w:p>
    <w:p w14:paraId="0C087020" w14:textId="77777777" w:rsidR="00BF2A13" w:rsidRDefault="00BF2A13" w:rsidP="00F10D84">
      <w:r w:rsidRPr="00F0086B">
        <w:rPr>
          <w:noProof/>
        </w:rPr>
        <w:drawing>
          <wp:inline distT="0" distB="0" distL="0" distR="0" wp14:anchorId="19E066B1" wp14:editId="50D0526A">
            <wp:extent cx="6120130" cy="2794000"/>
            <wp:effectExtent l="0" t="0" r="0" b="6350"/>
            <wp:docPr id="48" name="Picture 48" descr="Bar chart showing residential disconnections for non-payment per 100 customers from 2019 to 2021. The chart is sorted by retailer. There is variance in the outcomes, but small retailers have less disconnections and 2020 has had less disconnections in most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chart showing residential disconnections for non-payment per 100 customers from 2019 to 2021. The chart is sorted by retailer. There is variance in the outcomes, but small retailers have less disconnections and 2020 has had less disconnections in most case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130" cy="2794000"/>
                    </a:xfrm>
                    <a:prstGeom prst="rect">
                      <a:avLst/>
                    </a:prstGeom>
                    <a:noFill/>
                    <a:ln>
                      <a:noFill/>
                    </a:ln>
                  </pic:spPr>
                </pic:pic>
              </a:graphicData>
            </a:graphic>
          </wp:inline>
        </w:drawing>
      </w:r>
    </w:p>
    <w:p w14:paraId="3AC24043" w14:textId="1B24599E" w:rsidR="00BF2A13" w:rsidRDefault="00773B2B" w:rsidP="00F10D84">
      <w:pPr>
        <w:pStyle w:val="Caption"/>
        <w:spacing w:after="360"/>
      </w:pPr>
      <w:r>
        <w:t xml:space="preserve">Source: </w:t>
      </w:r>
      <w:r w:rsidR="00BF2A13">
        <w:t>Data as reported by retailers as per the Compliance and Performance Reporting Guideline</w:t>
      </w:r>
    </w:p>
    <w:p w14:paraId="49280C80" w14:textId="77777777" w:rsidR="00BF2A13" w:rsidRDefault="00BF2A13" w:rsidP="00BF2A13">
      <w:pPr>
        <w:spacing w:before="0" w:line="259" w:lineRule="auto"/>
        <w:rPr>
          <w:rFonts w:asciiTheme="majorHAnsi" w:eastAsiaTheme="majorEastAsia" w:hAnsiTheme="majorHAnsi" w:cstheme="majorBidi"/>
          <w:b/>
          <w:color w:val="4986A0" w:themeColor="text2"/>
          <w:szCs w:val="24"/>
          <w:lang w:val="en-US"/>
        </w:rPr>
      </w:pPr>
      <w:r>
        <w:br w:type="page"/>
      </w:r>
    </w:p>
    <w:p w14:paraId="20747341" w14:textId="77777777" w:rsidR="00BF2A13" w:rsidRDefault="00BF2A13" w:rsidP="00BF2A13">
      <w:pPr>
        <w:pStyle w:val="Heading2"/>
      </w:pPr>
      <w:bookmarkStart w:id="347" w:name="_Toc104850159"/>
      <w:r>
        <w:lastRenderedPageBreak/>
        <w:t>Variability of outcomes by retailer, based on invoice data</w:t>
      </w:r>
      <w:bookmarkEnd w:id="347"/>
    </w:p>
    <w:p w14:paraId="2E76358B" w14:textId="750F6C83" w:rsidR="00BF2A13" w:rsidRDefault="00BF2A13" w:rsidP="00BF2A13">
      <w:pPr>
        <w:pStyle w:val="Figureheading"/>
        <w:keepNext/>
      </w:pPr>
      <w:r w:rsidRPr="009618B5">
        <w:rPr>
          <w:rStyle w:val="Figure-Table-BoxHeadingChar"/>
          <w:b/>
        </w:rPr>
        <w:t xml:space="preserve">Figure </w:t>
      </w:r>
      <w:r w:rsidR="00773B2B" w:rsidRPr="009618B5">
        <w:rPr>
          <w:rStyle w:val="Figure-Table-BoxHeadingChar"/>
          <w:b/>
        </w:rPr>
        <w:fldChar w:fldCharType="begin"/>
      </w:r>
      <w:r w:rsidR="00773B2B" w:rsidRPr="009618B5">
        <w:rPr>
          <w:rStyle w:val="Figure-Table-BoxHeadingChar"/>
          <w:b/>
        </w:rPr>
        <w:instrText>SEQ Figure \* ARABIC</w:instrText>
      </w:r>
      <w:r w:rsidR="00773B2B" w:rsidRPr="009618B5">
        <w:rPr>
          <w:rStyle w:val="Figure-Table-BoxHeadingChar"/>
          <w:b/>
        </w:rPr>
        <w:fldChar w:fldCharType="separate"/>
      </w:r>
      <w:r w:rsidR="00357DD7">
        <w:rPr>
          <w:rStyle w:val="Figure-Table-BoxHeadingChar"/>
          <w:b/>
          <w:noProof/>
        </w:rPr>
        <w:t>72</w:t>
      </w:r>
      <w:r w:rsidR="00773B2B" w:rsidRPr="009618B5">
        <w:rPr>
          <w:rStyle w:val="Figure-Table-BoxHeadingChar"/>
          <w:b/>
        </w:rPr>
        <w:fldChar w:fldCharType="end"/>
      </w:r>
      <w:r>
        <w:rPr>
          <w:rStyle w:val="Figure-Table-BoxHeadingChar"/>
          <w:b/>
        </w:rPr>
        <w:tab/>
      </w:r>
      <w:r>
        <w:t>Effective cost per kWh between 1 Jan 2019 and 30 Dec 2020, by retailer, deidentified</w:t>
      </w:r>
    </w:p>
    <w:p w14:paraId="07F0E06E" w14:textId="77777777" w:rsidR="00BF2A13" w:rsidRDefault="00BF2A13" w:rsidP="00BF2A13">
      <w:r w:rsidRPr="003D3563">
        <w:rPr>
          <w:noProof/>
        </w:rPr>
        <w:drawing>
          <wp:inline distT="0" distB="0" distL="0" distR="0" wp14:anchorId="62F69C99" wp14:editId="29E28F99">
            <wp:extent cx="6115050" cy="1800225"/>
            <wp:effectExtent l="0" t="0" r="0" b="9525"/>
            <wp:docPr id="57" name="Picture 57" descr="Bar chart showing the effective cost per kilo watt hour by retailer between 1 January 2019 and 30 December 2020. The chart compares customers not receiving tailored assistance and customers receiving tailored assistance. Customers receiving assistance pay slightly less in most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ar chart showing the effective cost per kilo watt hour by retailer between 1 January 2019 and 30 December 2020. The chart compares customers not receiving tailored assistance and customers receiving tailored assistance. Customers receiving assistance pay slightly less in most case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15050" cy="1800225"/>
                    </a:xfrm>
                    <a:prstGeom prst="rect">
                      <a:avLst/>
                    </a:prstGeom>
                    <a:noFill/>
                    <a:ln>
                      <a:noFill/>
                    </a:ln>
                  </pic:spPr>
                </pic:pic>
              </a:graphicData>
            </a:graphic>
          </wp:inline>
        </w:drawing>
      </w:r>
    </w:p>
    <w:p w14:paraId="3EDE81A6" w14:textId="1865AACA" w:rsidR="00BF2A13" w:rsidRDefault="00A622C8" w:rsidP="00F10D84">
      <w:pPr>
        <w:pStyle w:val="Caption"/>
        <w:spacing w:after="360"/>
        <w:rPr>
          <w:lang w:val="en-GB"/>
        </w:rPr>
      </w:pPr>
      <w:r>
        <w:t xml:space="preserve">Source: </w:t>
      </w:r>
      <w:r w:rsidR="00BF2A13">
        <w:t>Confidential data from nine retailers between 1 January 2019 and 30 December 2020, as per the Australian Competition and Consumer Commission’s project on electricity marketing monitoring between 2018 and 2025.</w:t>
      </w:r>
      <w:r w:rsidR="00BF2A13" w:rsidRPr="00664F82">
        <w:t xml:space="preserve"> </w:t>
      </w:r>
      <w:r w:rsidR="00BF2A13">
        <w:t xml:space="preserve">Tailored assistance customers are </w:t>
      </w:r>
      <w:r w:rsidR="00BF2A13">
        <w:rPr>
          <w:lang w:val="en-GB"/>
        </w:rPr>
        <w:t>defined as hardship customers in the data.</w:t>
      </w:r>
    </w:p>
    <w:p w14:paraId="7920A527" w14:textId="7AF41143" w:rsidR="00BF2A13" w:rsidRDefault="00BF2A13" w:rsidP="00BF2A13">
      <w:pPr>
        <w:pStyle w:val="Figure-Table-BoxHeading"/>
        <w:numPr>
          <w:ilvl w:val="0"/>
          <w:numId w:val="0"/>
        </w:numPr>
        <w:ind w:left="851" w:hanging="851"/>
      </w:pPr>
      <w:r w:rsidRPr="009618B5">
        <w:rPr>
          <w:rStyle w:val="Figure-Table-BoxHeadingChar"/>
          <w:b/>
        </w:rPr>
        <w:t xml:space="preserve">Figure </w:t>
      </w:r>
      <w:r w:rsidR="00577348" w:rsidRPr="009618B5">
        <w:rPr>
          <w:rStyle w:val="Figure-Table-BoxHeadingChar"/>
          <w:b/>
        </w:rPr>
        <w:fldChar w:fldCharType="begin"/>
      </w:r>
      <w:r w:rsidR="00577348" w:rsidRPr="009618B5">
        <w:rPr>
          <w:rStyle w:val="Figure-Table-BoxHeadingChar"/>
          <w:b/>
        </w:rPr>
        <w:instrText>SEQ Figure \* ARABIC</w:instrText>
      </w:r>
      <w:r w:rsidR="00577348" w:rsidRPr="009618B5">
        <w:rPr>
          <w:rStyle w:val="Figure-Table-BoxHeadingChar"/>
          <w:b/>
        </w:rPr>
        <w:fldChar w:fldCharType="separate"/>
      </w:r>
      <w:r w:rsidR="00357DD7">
        <w:rPr>
          <w:rStyle w:val="Figure-Table-BoxHeadingChar"/>
          <w:b/>
          <w:noProof/>
        </w:rPr>
        <w:t>73</w:t>
      </w:r>
      <w:r w:rsidR="00577348" w:rsidRPr="009618B5">
        <w:rPr>
          <w:rStyle w:val="Figure-Table-BoxHeadingChar"/>
          <w:b/>
        </w:rPr>
        <w:fldChar w:fldCharType="end"/>
      </w:r>
      <w:r w:rsidR="00577348">
        <w:rPr>
          <w:rStyle w:val="Figure-Table-BoxHeadingChar"/>
          <w:b/>
        </w:rPr>
        <w:tab/>
      </w:r>
      <w:r>
        <w:tab/>
        <w:t>Median electricity usage per day (kWh), by retailer, deidentified</w:t>
      </w:r>
    </w:p>
    <w:p w14:paraId="746CBFED" w14:textId="77777777" w:rsidR="00BF2A13" w:rsidRDefault="00BF2A13" w:rsidP="00BF2A13">
      <w:pPr>
        <w:rPr>
          <w:lang w:val="en-GB"/>
        </w:rPr>
      </w:pPr>
      <w:r w:rsidRPr="003B3654">
        <w:rPr>
          <w:noProof/>
        </w:rPr>
        <w:drawing>
          <wp:inline distT="0" distB="0" distL="0" distR="0" wp14:anchorId="73AB9747" wp14:editId="18D76F90">
            <wp:extent cx="6120130" cy="2150745"/>
            <wp:effectExtent l="0" t="0" r="0" b="1905"/>
            <wp:docPr id="72" name="Picture 72" descr="Bar chart of median electricity usage per day. The chart is sorted by retailers and compares customers receiving tailored assistance with those who do not. Tailored assistance customers have consistently higher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Bar chart of median electricity usage per day. The chart is sorted by retailers and compares customers receiving tailored assistance with those who do not. Tailored assistance customers have consistently higher us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0130" cy="2150745"/>
                    </a:xfrm>
                    <a:prstGeom prst="rect">
                      <a:avLst/>
                    </a:prstGeom>
                    <a:noFill/>
                    <a:ln>
                      <a:noFill/>
                    </a:ln>
                  </pic:spPr>
                </pic:pic>
              </a:graphicData>
            </a:graphic>
          </wp:inline>
        </w:drawing>
      </w:r>
    </w:p>
    <w:p w14:paraId="415674FE" w14:textId="52F0CEB4" w:rsidR="00D838C8" w:rsidRPr="000B3956" w:rsidRDefault="00577348" w:rsidP="00F10D84">
      <w:pPr>
        <w:pStyle w:val="Caption"/>
      </w:pPr>
      <w:r>
        <w:t xml:space="preserve">Source: </w:t>
      </w:r>
      <w:r w:rsidR="00BF2A13">
        <w:t>Confidential data from nine retailers</w:t>
      </w:r>
      <w:r w:rsidR="00BF2A13" w:rsidRPr="00FF59FF">
        <w:t xml:space="preserve"> </w:t>
      </w:r>
      <w:r w:rsidR="00BF2A13">
        <w:t xml:space="preserve">between 1 January 2019 and 30 December 2020, as per Australian Competition and Consumer Commission’s project on electricity marketing monitoring between 2018 and 2025. Tailored assistance customers are </w:t>
      </w:r>
      <w:r w:rsidR="00BF2A13">
        <w:rPr>
          <w:lang w:val="en-GB"/>
        </w:rPr>
        <w:t>defined as hardship customers in the data.</w:t>
      </w:r>
    </w:p>
    <w:p w14:paraId="26076991" w14:textId="522B75B1" w:rsidR="00E21638" w:rsidRDefault="00E21638" w:rsidP="00E21638">
      <w:pPr>
        <w:pStyle w:val="Heading1"/>
      </w:pPr>
      <w:bookmarkStart w:id="348" w:name="_Ref103956397"/>
      <w:bookmarkStart w:id="349" w:name="_Toc104850160"/>
      <w:bookmarkEnd w:id="8"/>
      <w:bookmarkEnd w:id="9"/>
      <w:bookmarkEnd w:id="10"/>
      <w:r>
        <w:lastRenderedPageBreak/>
        <w:t>Appendix</w:t>
      </w:r>
      <w:r w:rsidR="000E6450">
        <w:t xml:space="preserve"> 3</w:t>
      </w:r>
      <w:r>
        <w:t>: Early observations workshop report</w:t>
      </w:r>
      <w:bookmarkEnd w:id="348"/>
      <w:bookmarkEnd w:id="349"/>
      <w:r>
        <w:t xml:space="preserve">  </w:t>
      </w:r>
    </w:p>
    <w:p w14:paraId="79674DBC" w14:textId="1DC609B5" w:rsidR="000E6450" w:rsidRDefault="00E21638" w:rsidP="00E21638">
      <w:pPr>
        <w:rPr>
          <w:rStyle w:val="SubtitleChar"/>
        </w:rPr>
      </w:pPr>
      <w:r w:rsidRPr="00FD3681">
        <w:rPr>
          <w:rStyle w:val="SubtitleChar"/>
        </w:rPr>
        <w:t xml:space="preserve">On 16 November 2021, we held a workshop </w:t>
      </w:r>
      <w:r w:rsidR="00824EAE">
        <w:rPr>
          <w:rStyle w:val="SubtitleChar"/>
        </w:rPr>
        <w:t xml:space="preserve">with representatives from the energy and community sectors </w:t>
      </w:r>
      <w:r w:rsidR="0077005D">
        <w:rPr>
          <w:rStyle w:val="SubtitleChar"/>
        </w:rPr>
        <w:t xml:space="preserve">and government </w:t>
      </w:r>
      <w:r w:rsidRPr="00FD3681">
        <w:rPr>
          <w:rStyle w:val="SubtitleChar"/>
        </w:rPr>
        <w:t xml:space="preserve">to explore </w:t>
      </w:r>
      <w:r w:rsidR="00824EAE">
        <w:rPr>
          <w:rStyle w:val="SubtitleChar"/>
        </w:rPr>
        <w:t xml:space="preserve">and invite feedback about </w:t>
      </w:r>
      <w:r w:rsidRPr="00FD3681">
        <w:rPr>
          <w:rStyle w:val="SubtitleChar"/>
        </w:rPr>
        <w:t>our early observations</w:t>
      </w:r>
      <w:r w:rsidR="000E6450">
        <w:rPr>
          <w:rStyle w:val="SubtitleChar"/>
        </w:rPr>
        <w:t xml:space="preserve">. </w:t>
      </w:r>
    </w:p>
    <w:p w14:paraId="41AEA944" w14:textId="0CBB9C5C" w:rsidR="00E21638" w:rsidRDefault="00E21638" w:rsidP="00E21638">
      <w:r>
        <w:t xml:space="preserve">Participants were invited to provide feedback </w:t>
      </w:r>
      <w:r w:rsidRPr="00F609B4">
        <w:t xml:space="preserve">about what </w:t>
      </w:r>
      <w:r>
        <w:t xml:space="preserve">the early observations </w:t>
      </w:r>
      <w:r w:rsidRPr="00F609B4">
        <w:t xml:space="preserve">told us about the implementation of the framework. </w:t>
      </w:r>
      <w:r w:rsidR="00F01DF9">
        <w:t xml:space="preserve">These observations were </w:t>
      </w:r>
      <w:r w:rsidR="00F01DF9" w:rsidRPr="00F01DF9">
        <w:t>drawn from our preliminary analysis of quantitative data submitted by retailers and consumer insights from case studies, surveys and research.</w:t>
      </w:r>
      <w:r w:rsidR="00F01DF9">
        <w:t xml:space="preserve"> </w:t>
      </w:r>
      <w:r>
        <w:t xml:space="preserve">The </w:t>
      </w:r>
      <w:r w:rsidRPr="00840A1E">
        <w:t>workshop was attended by over 90 participants.</w:t>
      </w:r>
      <w:r>
        <w:t xml:space="preserve"> </w:t>
      </w:r>
    </w:p>
    <w:p w14:paraId="64A07409" w14:textId="77777777" w:rsidR="00E21638" w:rsidRPr="007C6057" w:rsidRDefault="00E21638" w:rsidP="00E21638">
      <w:pPr>
        <w:pStyle w:val="Pull-out"/>
        <w:rPr>
          <w:b/>
          <w:bCs/>
        </w:rPr>
      </w:pPr>
      <w:r w:rsidRPr="007C6057">
        <w:rPr>
          <w:b/>
          <w:bCs/>
        </w:rPr>
        <w:t>Workshop design</w:t>
      </w:r>
      <w:r>
        <w:rPr>
          <w:b/>
          <w:bCs/>
        </w:rPr>
        <w:t xml:space="preserve"> and delivery</w:t>
      </w:r>
    </w:p>
    <w:p w14:paraId="7A907168" w14:textId="7AB4A36E" w:rsidR="00E21638" w:rsidRDefault="00E21638" w:rsidP="00E21638">
      <w:pPr>
        <w:pStyle w:val="Pull-out"/>
      </w:pPr>
      <w:r>
        <w:t xml:space="preserve">We presented nine </w:t>
      </w:r>
      <w:hyperlink r:id="rId151" w:anchor="toc-read-our-early-observations" w:history="1">
        <w:r w:rsidR="00335A02" w:rsidRPr="009A79EC">
          <w:rPr>
            <w:rStyle w:val="Hyperlink"/>
          </w:rPr>
          <w:t>observations</w:t>
        </w:r>
      </w:hyperlink>
      <w:r w:rsidR="00BA4451">
        <w:fldChar w:fldCharType="begin"/>
      </w:r>
      <w:r w:rsidR="00BA4451">
        <w:fldChar w:fldCharType="separate"/>
      </w:r>
      <w:r w:rsidRPr="00A81F4D">
        <w:rPr>
          <w:rStyle w:val="Hyperlink"/>
        </w:rPr>
        <w:t>early observations</w:t>
      </w:r>
      <w:r w:rsidR="00BA4451">
        <w:rPr>
          <w:rStyle w:val="Hyperlink"/>
        </w:rPr>
        <w:fldChar w:fldCharType="end"/>
      </w:r>
      <w:r>
        <w:t xml:space="preserve"> about the implementation of the framework. To assist participants to prepare for the workshop, these observations had been sent to registered participants beforehand.</w:t>
      </w:r>
    </w:p>
    <w:p w14:paraId="125B9174" w14:textId="77777777" w:rsidR="00E21638" w:rsidRDefault="00E21638" w:rsidP="00E21638">
      <w:pPr>
        <w:pStyle w:val="Pull-out"/>
      </w:pPr>
      <w:r>
        <w:t xml:space="preserve">Participants were allocated to one of nine breakout rooms. We tried to ensure there was an even distribution of participants from retailers, the community sector, government, and the commission staff in each room. These breakout rooms ran for 45 minutes. </w:t>
      </w:r>
    </w:p>
    <w:p w14:paraId="5DE7CD8E" w14:textId="77777777" w:rsidR="00E21638" w:rsidRDefault="00E21638" w:rsidP="00E21638">
      <w:pPr>
        <w:pStyle w:val="Pull-out"/>
      </w:pPr>
      <w:r>
        <w:t>Each group was given three observations to discuss and asked to respond to the question: ‘What does this tell us about how the framework is being implemented?’ Each observation also had a list of sub-questions to prompt discussion. Each group was facilitated by a commission staff member and some groups also had a commission note-taker. An online Mural board (an online digital collaboration tool) was used to capture the discussion.</w:t>
      </w:r>
    </w:p>
    <w:p w14:paraId="20C5A631" w14:textId="77777777" w:rsidR="00E21638" w:rsidRDefault="00E21638" w:rsidP="00E21638">
      <w:pPr>
        <w:pStyle w:val="Pull-out"/>
      </w:pPr>
      <w:r>
        <w:t>After the breakout rooms closed, the Mural board links were shared with participants to take a ten minute ‘walk around the virtual room’ to review the boards and add comments. Links to the locked Mural boards were shared with registered participants after the workshop.</w:t>
      </w:r>
    </w:p>
    <w:p w14:paraId="598564F7" w14:textId="77777777" w:rsidR="00E21638" w:rsidRDefault="00E21638" w:rsidP="00E21638">
      <w:pPr>
        <w:spacing w:before="0" w:line="259" w:lineRule="auto"/>
        <w:rPr>
          <w:rFonts w:ascii="Tahoma" w:eastAsiaTheme="majorEastAsia" w:hAnsi="Tahoma" w:cstheme="majorBidi"/>
          <w:b/>
          <w:sz w:val="26"/>
          <w:szCs w:val="26"/>
        </w:rPr>
      </w:pPr>
      <w:bookmarkStart w:id="350" w:name="_Toc100080626"/>
      <w:bookmarkStart w:id="351" w:name="_Toc98951384"/>
      <w:r>
        <w:br w:type="page"/>
      </w:r>
    </w:p>
    <w:p w14:paraId="6D7F364A" w14:textId="77777777" w:rsidR="00E21638" w:rsidRDefault="00E21638" w:rsidP="00E21638">
      <w:pPr>
        <w:pStyle w:val="Heading2"/>
      </w:pPr>
      <w:bookmarkStart w:id="352" w:name="_Toc104850161"/>
      <w:r>
        <w:lastRenderedPageBreak/>
        <w:t>Participant feedback</w:t>
      </w:r>
      <w:bookmarkEnd w:id="350"/>
      <w:bookmarkEnd w:id="352"/>
    </w:p>
    <w:bookmarkEnd w:id="351"/>
    <w:p w14:paraId="44529790" w14:textId="77777777" w:rsidR="00E21638" w:rsidRDefault="00E21638" w:rsidP="00E21638">
      <w:r>
        <w:t>Four main themes emerged from the discussions at the workshop.</w:t>
      </w:r>
    </w:p>
    <w:p w14:paraId="2F8D51B2" w14:textId="50062A30" w:rsidR="00E21638" w:rsidRDefault="00E21638" w:rsidP="00E21638">
      <w:r>
        <w:rPr>
          <w:noProof/>
        </w:rPr>
        <w:drawing>
          <wp:inline distT="0" distB="0" distL="0" distR="0" wp14:anchorId="3B045F23" wp14:editId="2C12901B">
            <wp:extent cx="6104255" cy="1738091"/>
            <wp:effectExtent l="0" t="0" r="0" b="0"/>
            <wp:docPr id="44" name="Picture 44" descr="Infographic showing main themes that emerged from the stakeholder workshops:&#10;Better engagement could better support customers&#10;Implementation of the framework can vary&#10;Broader issues faced by customers&#10;The role of government support alongside th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nfographic showing main themes that emerged from the stakeholder workshops:&#10;Better engagement could better support customers&#10;Implementation of the framework can vary&#10;Broader issues faced by customers&#10;The role of government support alongside the framework"/>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18160" cy="1742050"/>
                    </a:xfrm>
                    <a:prstGeom prst="rect">
                      <a:avLst/>
                    </a:prstGeom>
                    <a:noFill/>
                  </pic:spPr>
                </pic:pic>
              </a:graphicData>
            </a:graphic>
          </wp:inline>
        </w:drawing>
      </w:r>
    </w:p>
    <w:p w14:paraId="5B83E018" w14:textId="77777777" w:rsidR="00E21638" w:rsidRDefault="00E21638" w:rsidP="00E21638">
      <w:r>
        <w:t>The following sections present summaries of the comments made by participants during the workshop. These comments reflect participants views expressed during the workshop</w:t>
      </w:r>
      <w:r w:rsidRPr="009715B6">
        <w:t xml:space="preserve"> and do not necessarily reflect the commission’s overall understanding.</w:t>
      </w:r>
    </w:p>
    <w:p w14:paraId="6D38EF07" w14:textId="73E26E4B" w:rsidR="00E21638" w:rsidRDefault="00104BCD" w:rsidP="00E21638">
      <w:pPr>
        <w:pStyle w:val="Heading3"/>
      </w:pPr>
      <w:r>
        <w:t xml:space="preserve">Theme 1: </w:t>
      </w:r>
      <w:r w:rsidR="00E21638" w:rsidRPr="00C465CA">
        <w:t>Better engagement could better support customers</w:t>
      </w:r>
    </w:p>
    <w:p w14:paraId="3C36D87A" w14:textId="77777777" w:rsidR="00E21638" w:rsidRDefault="00E21638" w:rsidP="00E21638">
      <w:r>
        <w:t xml:space="preserve">The comments under the theme ‘better engagement could better support customers’ relate to: </w:t>
      </w:r>
    </w:p>
    <w:p w14:paraId="1F1BA0C1" w14:textId="77777777" w:rsidR="00E21638" w:rsidRDefault="00E21638" w:rsidP="008E42FA">
      <w:pPr>
        <w:pStyle w:val="ListParagraph"/>
        <w:numPr>
          <w:ilvl w:val="0"/>
          <w:numId w:val="26"/>
        </w:numPr>
      </w:pPr>
      <w:r>
        <w:t>triggers for customer engagement</w:t>
      </w:r>
    </w:p>
    <w:p w14:paraId="01F2DD31" w14:textId="77777777" w:rsidR="00E21638" w:rsidRDefault="00E21638" w:rsidP="008E42FA">
      <w:pPr>
        <w:pStyle w:val="ListParagraph"/>
        <w:numPr>
          <w:ilvl w:val="0"/>
          <w:numId w:val="26"/>
        </w:numPr>
      </w:pPr>
      <w:r>
        <w:t>t</w:t>
      </w:r>
      <w:r w:rsidRPr="00114400">
        <w:t>he experience of customers with low financial or English literacy</w:t>
      </w:r>
    </w:p>
    <w:p w14:paraId="5D1C4271" w14:textId="77777777" w:rsidR="00E21638" w:rsidRDefault="00E21638" w:rsidP="008E42FA">
      <w:pPr>
        <w:pStyle w:val="ListParagraph"/>
        <w:numPr>
          <w:ilvl w:val="0"/>
          <w:numId w:val="26"/>
        </w:numPr>
      </w:pPr>
      <w:r>
        <w:t>e</w:t>
      </w:r>
      <w:r w:rsidRPr="00114400">
        <w:t>ngaging the disengaged</w:t>
      </w:r>
    </w:p>
    <w:p w14:paraId="202DD840" w14:textId="77777777" w:rsidR="00E21638" w:rsidRDefault="00E21638" w:rsidP="008E42FA">
      <w:pPr>
        <w:pStyle w:val="ListParagraph"/>
        <w:numPr>
          <w:ilvl w:val="0"/>
          <w:numId w:val="26"/>
        </w:numPr>
      </w:pPr>
      <w:r>
        <w:t>h</w:t>
      </w:r>
      <w:r w:rsidRPr="00114400">
        <w:t>ow to improve engagement</w:t>
      </w:r>
    </w:p>
    <w:p w14:paraId="19CDC8A6" w14:textId="77777777" w:rsidR="00E21638" w:rsidRPr="00520716" w:rsidRDefault="00E21638" w:rsidP="008E42FA">
      <w:pPr>
        <w:pStyle w:val="ListParagraph"/>
        <w:numPr>
          <w:ilvl w:val="0"/>
          <w:numId w:val="26"/>
        </w:numPr>
        <w:rPr>
          <w:bCs/>
        </w:rPr>
      </w:pPr>
      <w:r>
        <w:rPr>
          <w:bCs/>
        </w:rPr>
        <w:t>a</w:t>
      </w:r>
      <w:r w:rsidRPr="00520716">
        <w:rPr>
          <w:bCs/>
        </w:rPr>
        <w:t>ppropriateness and timing of communication</w:t>
      </w:r>
    </w:p>
    <w:p w14:paraId="06974107" w14:textId="77777777" w:rsidR="00E21638" w:rsidRPr="00520716" w:rsidRDefault="00E21638" w:rsidP="008E42FA">
      <w:pPr>
        <w:pStyle w:val="ListParagraph"/>
        <w:numPr>
          <w:ilvl w:val="0"/>
          <w:numId w:val="26"/>
        </w:numPr>
        <w:rPr>
          <w:bCs/>
        </w:rPr>
      </w:pPr>
      <w:r>
        <w:rPr>
          <w:bCs/>
        </w:rPr>
        <w:t>h</w:t>
      </w:r>
      <w:r w:rsidRPr="00520716">
        <w:rPr>
          <w:bCs/>
        </w:rPr>
        <w:t>ow to improve communication with customers</w:t>
      </w:r>
      <w:r>
        <w:rPr>
          <w:bCs/>
        </w:rPr>
        <w:t>.</w:t>
      </w:r>
    </w:p>
    <w:tbl>
      <w:tblPr>
        <w:tblStyle w:val="TableGrid"/>
        <w:tblW w:w="0" w:type="auto"/>
        <w:tblLook w:val="04A0" w:firstRow="1" w:lastRow="0" w:firstColumn="1" w:lastColumn="0" w:noHBand="0" w:noVBand="1"/>
      </w:tblPr>
      <w:tblGrid>
        <w:gridCol w:w="1582"/>
        <w:gridCol w:w="8056"/>
      </w:tblGrid>
      <w:tr w:rsidR="00E21638" w:rsidRPr="00114400" w14:paraId="532E1940" w14:textId="77777777" w:rsidTr="004F1BC7">
        <w:trPr>
          <w:cnfStyle w:val="100000000000" w:firstRow="1" w:lastRow="0" w:firstColumn="0" w:lastColumn="0" w:oddVBand="0" w:evenVBand="0" w:oddHBand="0" w:evenHBand="0" w:firstRowFirstColumn="0" w:firstRowLastColumn="0" w:lastRowFirstColumn="0" w:lastRowLastColumn="0"/>
        </w:trPr>
        <w:tc>
          <w:tcPr>
            <w:tcW w:w="0" w:type="auto"/>
            <w:gridSpan w:val="2"/>
            <w:shd w:val="clear" w:color="auto" w:fill="CE0058" w:themeFill="accent2"/>
          </w:tcPr>
          <w:p w14:paraId="73A67046" w14:textId="77777777" w:rsidR="00E21638" w:rsidRPr="00B13430" w:rsidRDefault="00E21638" w:rsidP="00B13430">
            <w:pPr>
              <w:pStyle w:val="Heading4"/>
              <w:outlineLvl w:val="3"/>
              <w:rPr>
                <w:b/>
                <w:bCs/>
              </w:rPr>
            </w:pPr>
            <w:r w:rsidRPr="00B13430">
              <w:rPr>
                <w:b/>
                <w:bCs/>
                <w:color w:val="FFFFFF" w:themeColor="background1"/>
              </w:rPr>
              <w:t>Triggers for engagement</w:t>
            </w:r>
          </w:p>
        </w:tc>
      </w:tr>
      <w:tr w:rsidR="00E21638" w:rsidRPr="00114400" w14:paraId="1843AB39" w14:textId="77777777" w:rsidTr="001D2976">
        <w:trPr>
          <w:cnfStyle w:val="000000100000" w:firstRow="0" w:lastRow="0" w:firstColumn="0" w:lastColumn="0" w:oddVBand="0" w:evenVBand="0" w:oddHBand="1" w:evenHBand="0" w:firstRowFirstColumn="0" w:firstRowLastColumn="0" w:lastRowFirstColumn="0" w:lastRowLastColumn="0"/>
          <w:trHeight w:val="1587"/>
        </w:trPr>
        <w:tc>
          <w:tcPr>
            <w:tcW w:w="0" w:type="auto"/>
          </w:tcPr>
          <w:p w14:paraId="2A8B94C7" w14:textId="39C0C259" w:rsidR="00E21638" w:rsidRPr="00114400" w:rsidRDefault="00E21638" w:rsidP="004F1BC7">
            <w:bookmarkStart w:id="353" w:name="_Toc98951385"/>
            <w:bookmarkStart w:id="354" w:name="_Toc100080627"/>
            <w:r>
              <w:rPr>
                <w:noProof/>
              </w:rPr>
              <w:drawing>
                <wp:anchor distT="0" distB="0" distL="114300" distR="114300" simplePos="0" relativeHeight="251658246" behindDoc="0" locked="0" layoutInCell="1" allowOverlap="1" wp14:anchorId="131B39A6" wp14:editId="7800AB95">
                  <wp:simplePos x="0" y="0"/>
                  <wp:positionH relativeFrom="margin">
                    <wp:posOffset>0</wp:posOffset>
                  </wp:positionH>
                  <wp:positionV relativeFrom="margin">
                    <wp:posOffset>1206500</wp:posOffset>
                  </wp:positionV>
                  <wp:extent cx="914400" cy="914400"/>
                  <wp:effectExtent l="0" t="0" r="0" b="0"/>
                  <wp:wrapSquare wrapText="bothSides"/>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extLst>
                              <a:ext uri="{C183D7F6-B498-43B3-948B-1728B52AA6E4}">
                                <adec:decorative xmlns:adec="http://schemas.microsoft.com/office/drawing/2017/decorative" val="1"/>
                              </a:ext>
                            </a:extLst>
                          </pic:cNvPr>
                          <pic:cNvPicPr/>
                        </pic:nvPicPr>
                        <pic:blipFill>
                          <a:blip r:embed="rId153">
                            <a:extLst>
                              <a:ext uri="{28A0092B-C50C-407E-A947-70E740481C1C}">
                                <a14:useLocalDpi xmlns:a14="http://schemas.microsoft.com/office/drawing/2010/main" val="0"/>
                              </a:ext>
                              <a:ext uri="{96DAC541-7B7A-43D3-8B79-37D633B846F1}">
                                <asvg:svgBlip xmlns:asvg="http://schemas.microsoft.com/office/drawing/2016/SVG/main" r:embed="rId154"/>
                              </a:ext>
                            </a:extLst>
                          </a:blip>
                          <a:stretch>
                            <a:fillRect/>
                          </a:stretch>
                        </pic:blipFill>
                        <pic:spPr>
                          <a:xfrm>
                            <a:off x="0" y="0"/>
                            <a:ext cx="914400" cy="914400"/>
                          </a:xfrm>
                          <a:prstGeom prst="rect">
                            <a:avLst/>
                          </a:prstGeom>
                        </pic:spPr>
                      </pic:pic>
                    </a:graphicData>
                  </a:graphic>
                </wp:anchor>
              </w:drawing>
            </w:r>
          </w:p>
        </w:tc>
        <w:tc>
          <w:tcPr>
            <w:tcW w:w="0" w:type="auto"/>
          </w:tcPr>
          <w:p w14:paraId="47D758AE" w14:textId="77777777" w:rsidR="00E21638" w:rsidRPr="00114400" w:rsidRDefault="00E21638" w:rsidP="004F1BC7">
            <w:r w:rsidRPr="00114400">
              <w:t xml:space="preserve">Some participants noted that: </w:t>
            </w:r>
          </w:p>
          <w:p w14:paraId="2B71E281" w14:textId="77777777" w:rsidR="00E21638" w:rsidRPr="00114400" w:rsidRDefault="00E21638" w:rsidP="00E21638">
            <w:pPr>
              <w:pStyle w:val="TableBullet"/>
              <w:numPr>
                <w:ilvl w:val="0"/>
                <w:numId w:val="5"/>
              </w:numPr>
            </w:pPr>
            <w:r w:rsidRPr="00114400">
              <w:t>disconnection, or disconnection warning notices are often trigger for customers to engage</w:t>
            </w:r>
            <w:r>
              <w:t xml:space="preserve"> with their retailers</w:t>
            </w:r>
            <w:r w:rsidRPr="00114400">
              <w:t xml:space="preserve">. </w:t>
            </w:r>
          </w:p>
          <w:p w14:paraId="4B0B39CB" w14:textId="77777777" w:rsidR="00E21638" w:rsidRPr="00114400" w:rsidRDefault="00E21638" w:rsidP="00E21638">
            <w:pPr>
              <w:pStyle w:val="TableBullet"/>
              <w:numPr>
                <w:ilvl w:val="0"/>
                <w:numId w:val="5"/>
              </w:numPr>
            </w:pPr>
            <w:r w:rsidRPr="00114400">
              <w:t xml:space="preserve">reminder notices prompt engagement, others felt disconnection notices were more effective. </w:t>
            </w:r>
          </w:p>
          <w:p w14:paraId="08B4ECCD" w14:textId="77777777" w:rsidR="00E21638" w:rsidRPr="00114400" w:rsidRDefault="00E21638" w:rsidP="00E21638">
            <w:pPr>
              <w:pStyle w:val="TableBullet"/>
              <w:numPr>
                <w:ilvl w:val="0"/>
                <w:numId w:val="5"/>
              </w:numPr>
            </w:pPr>
            <w:r w:rsidRPr="00114400">
              <w:t>customers are disconnected for not engaging and raised a concern that the cycle of engaging only on threat of disconnection was not being broken and that this needs to be addressed.</w:t>
            </w:r>
          </w:p>
          <w:p w14:paraId="1FED35F6" w14:textId="77777777" w:rsidR="00E21638" w:rsidRPr="00114400" w:rsidRDefault="00E21638" w:rsidP="00E21638">
            <w:pPr>
              <w:pStyle w:val="TableBullet"/>
              <w:numPr>
                <w:ilvl w:val="0"/>
                <w:numId w:val="5"/>
              </w:numPr>
            </w:pPr>
            <w:r w:rsidRPr="00114400">
              <w:t xml:space="preserve">increasing debt, high arrears and a debt-disconnection cycle were all </w:t>
            </w:r>
            <w:r w:rsidRPr="00114400">
              <w:lastRenderedPageBreak/>
              <w:t>consequences of customers not engaging. For example, when disconnection notices were stopped during stay-at-home restrictions, an unintended outcome was an increase in debt.</w:t>
            </w:r>
          </w:p>
          <w:p w14:paraId="6A3BEEC3" w14:textId="77777777" w:rsidR="00E21638" w:rsidRPr="00114400" w:rsidRDefault="00E21638" w:rsidP="00E21638">
            <w:pPr>
              <w:pStyle w:val="TableBullet"/>
              <w:numPr>
                <w:ilvl w:val="0"/>
                <w:numId w:val="5"/>
              </w:numPr>
            </w:pPr>
            <w:r w:rsidRPr="00114400">
              <w:t>In contrast, some considered that customers see disconnection notices as a threat and does not build trust between customers and retailers, which also deters engagement.</w:t>
            </w:r>
          </w:p>
        </w:tc>
      </w:tr>
      <w:tr w:rsidR="00E21638" w:rsidRPr="00114400" w14:paraId="33620316" w14:textId="77777777" w:rsidTr="004F1BC7">
        <w:trPr>
          <w:cnfStyle w:val="000000010000" w:firstRow="0" w:lastRow="0" w:firstColumn="0" w:lastColumn="0" w:oddVBand="0" w:evenVBand="0" w:oddHBand="0" w:evenHBand="1" w:firstRowFirstColumn="0" w:firstRowLastColumn="0" w:lastRowFirstColumn="0" w:lastRowLastColumn="0"/>
          <w:trHeight w:val="397"/>
        </w:trPr>
        <w:tc>
          <w:tcPr>
            <w:tcW w:w="0" w:type="auto"/>
            <w:gridSpan w:val="2"/>
            <w:shd w:val="clear" w:color="auto" w:fill="CE0058" w:themeFill="accent2"/>
          </w:tcPr>
          <w:p w14:paraId="770C7143" w14:textId="77777777" w:rsidR="00E21638" w:rsidRPr="00B13430" w:rsidRDefault="00E21638" w:rsidP="00B13430">
            <w:pPr>
              <w:pStyle w:val="1"/>
            </w:pPr>
            <w:r w:rsidRPr="00B13430">
              <w:lastRenderedPageBreak/>
              <w:t>The experience of customers with low financial or English literacy</w:t>
            </w:r>
          </w:p>
        </w:tc>
      </w:tr>
      <w:tr w:rsidR="00E21638" w:rsidRPr="00114400" w14:paraId="19B395D7" w14:textId="77777777" w:rsidTr="004F1BC7">
        <w:trPr>
          <w:cnfStyle w:val="000000100000" w:firstRow="0" w:lastRow="0" w:firstColumn="0" w:lastColumn="0" w:oddVBand="0" w:evenVBand="0" w:oddHBand="1" w:evenHBand="0" w:firstRowFirstColumn="0" w:firstRowLastColumn="0" w:lastRowFirstColumn="0" w:lastRowLastColumn="0"/>
          <w:trHeight w:val="3061"/>
        </w:trPr>
        <w:tc>
          <w:tcPr>
            <w:tcW w:w="0" w:type="auto"/>
          </w:tcPr>
          <w:p w14:paraId="521D449F" w14:textId="2A2AB411" w:rsidR="00E21638" w:rsidRPr="00114400" w:rsidRDefault="00E21638" w:rsidP="004F1BC7">
            <w:pPr>
              <w:keepNext/>
              <w:keepLines/>
              <w:jc w:val="center"/>
            </w:pPr>
            <w:r>
              <w:rPr>
                <w:noProof/>
              </w:rPr>
              <w:drawing>
                <wp:anchor distT="0" distB="0" distL="114300" distR="114300" simplePos="0" relativeHeight="251658247" behindDoc="0" locked="0" layoutInCell="1" allowOverlap="1" wp14:anchorId="2B3A9C4A" wp14:editId="4CC37055">
                  <wp:simplePos x="0" y="0"/>
                  <wp:positionH relativeFrom="margin">
                    <wp:posOffset>101600</wp:posOffset>
                  </wp:positionH>
                  <wp:positionV relativeFrom="margin">
                    <wp:posOffset>876300</wp:posOffset>
                  </wp:positionV>
                  <wp:extent cx="914400" cy="914400"/>
                  <wp:effectExtent l="0" t="0" r="0" b="0"/>
                  <wp:wrapSquare wrapText="bothSides"/>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155">
                            <a:extLst>
                              <a:ext uri="{28A0092B-C50C-407E-A947-70E740481C1C}">
                                <a14:useLocalDpi xmlns:a14="http://schemas.microsoft.com/office/drawing/2010/main" val="0"/>
                              </a:ext>
                              <a:ext uri="{96DAC541-7B7A-43D3-8B79-37D633B846F1}">
                                <asvg:svgBlip xmlns:asvg="http://schemas.microsoft.com/office/drawing/2016/SVG/main" r:embed="rId156"/>
                              </a:ext>
                            </a:extLst>
                          </a:blip>
                          <a:stretch>
                            <a:fillRect/>
                          </a:stretch>
                        </pic:blipFill>
                        <pic:spPr>
                          <a:xfrm>
                            <a:off x="0" y="0"/>
                            <a:ext cx="914400" cy="914400"/>
                          </a:xfrm>
                          <a:prstGeom prst="rect">
                            <a:avLst/>
                          </a:prstGeom>
                        </pic:spPr>
                      </pic:pic>
                    </a:graphicData>
                  </a:graphic>
                </wp:anchor>
              </w:drawing>
            </w:r>
          </w:p>
        </w:tc>
        <w:tc>
          <w:tcPr>
            <w:tcW w:w="0" w:type="auto"/>
          </w:tcPr>
          <w:p w14:paraId="47DE7B9A" w14:textId="77777777" w:rsidR="00E21638" w:rsidRPr="00114400" w:rsidRDefault="00E21638" w:rsidP="004F1BC7">
            <w:pPr>
              <w:keepNext/>
              <w:keepLines/>
            </w:pPr>
            <w:r w:rsidRPr="00114400">
              <w:t>Some participants noted:</w:t>
            </w:r>
          </w:p>
          <w:p w14:paraId="3D3895BE" w14:textId="77777777" w:rsidR="00E21638" w:rsidRPr="00114400" w:rsidRDefault="00E21638" w:rsidP="00E21638">
            <w:pPr>
              <w:pStyle w:val="TableBullet"/>
              <w:keepNext/>
              <w:keepLines/>
              <w:numPr>
                <w:ilvl w:val="0"/>
                <w:numId w:val="5"/>
              </w:numPr>
            </w:pPr>
            <w:r w:rsidRPr="00114400">
              <w:t xml:space="preserve">that low financial literacy was a problem for some customers. </w:t>
            </w:r>
          </w:p>
          <w:p w14:paraId="3ED568D9" w14:textId="77777777" w:rsidR="00E21638" w:rsidRPr="00114400" w:rsidRDefault="00E21638" w:rsidP="00E21638">
            <w:pPr>
              <w:pStyle w:val="TableBullet"/>
              <w:keepNext/>
              <w:keepLines/>
              <w:numPr>
                <w:ilvl w:val="0"/>
                <w:numId w:val="5"/>
              </w:numPr>
            </w:pPr>
            <w:r w:rsidRPr="00114400">
              <w:t xml:space="preserve">low literacy levels in the community can impact the understanding of information provided to customers. </w:t>
            </w:r>
          </w:p>
          <w:p w14:paraId="1C2429F8" w14:textId="77777777" w:rsidR="00E21638" w:rsidRPr="00114400" w:rsidRDefault="00E21638" w:rsidP="00E21638">
            <w:pPr>
              <w:pStyle w:val="TableBullet"/>
              <w:keepNext/>
              <w:keepLines/>
              <w:numPr>
                <w:ilvl w:val="0"/>
                <w:numId w:val="5"/>
              </w:numPr>
            </w:pPr>
            <w:r w:rsidRPr="00114400">
              <w:t xml:space="preserve">issues for culturally and linguistically diverse (CALD) customers include: </w:t>
            </w:r>
          </w:p>
          <w:p w14:paraId="326AE078" w14:textId="77777777" w:rsidR="00E21638" w:rsidRPr="00114400" w:rsidRDefault="00E21638" w:rsidP="00E21638">
            <w:pPr>
              <w:pStyle w:val="TableBullet2"/>
              <w:numPr>
                <w:ilvl w:val="1"/>
                <w:numId w:val="5"/>
              </w:numPr>
            </w:pPr>
            <w:r w:rsidRPr="00114400">
              <w:t>lack of awareness of supports</w:t>
            </w:r>
          </w:p>
          <w:p w14:paraId="4932191C" w14:textId="77777777" w:rsidR="00E21638" w:rsidRPr="00114400" w:rsidRDefault="00E21638" w:rsidP="00E21638">
            <w:pPr>
              <w:pStyle w:val="TableBullet2"/>
              <w:numPr>
                <w:ilvl w:val="1"/>
                <w:numId w:val="5"/>
              </w:numPr>
            </w:pPr>
            <w:r w:rsidRPr="00114400">
              <w:t>challenges of self-advocating</w:t>
            </w:r>
          </w:p>
          <w:p w14:paraId="21FA25E2" w14:textId="77777777" w:rsidR="00E21638" w:rsidRPr="00114400" w:rsidRDefault="00E21638" w:rsidP="00E21638">
            <w:pPr>
              <w:pStyle w:val="TableBullet2"/>
              <w:numPr>
                <w:ilvl w:val="1"/>
                <w:numId w:val="5"/>
              </w:numPr>
            </w:pPr>
            <w:r w:rsidRPr="00114400">
              <w:t>a reluctance by some people to fill out forms</w:t>
            </w:r>
          </w:p>
          <w:p w14:paraId="148C195C" w14:textId="77777777" w:rsidR="00E21638" w:rsidRPr="00114400" w:rsidRDefault="00E21638" w:rsidP="00E21638">
            <w:pPr>
              <w:pStyle w:val="TableBullet2"/>
              <w:numPr>
                <w:ilvl w:val="1"/>
                <w:numId w:val="5"/>
              </w:numPr>
            </w:pPr>
            <w:r w:rsidRPr="00114400">
              <w:t>whether notices are an effective communication tool if English is not a first language</w:t>
            </w:r>
          </w:p>
          <w:p w14:paraId="5DB5921F" w14:textId="77777777" w:rsidR="00E21638" w:rsidRPr="00114400" w:rsidRDefault="00E21638" w:rsidP="00E21638">
            <w:pPr>
              <w:pStyle w:val="TableBullet2"/>
              <w:numPr>
                <w:ilvl w:val="1"/>
                <w:numId w:val="5"/>
              </w:numPr>
            </w:pPr>
            <w:r w:rsidRPr="00114400">
              <w:t>the impact of closing face to face support services during stay-at-home orders.</w:t>
            </w:r>
          </w:p>
        </w:tc>
      </w:tr>
      <w:tr w:rsidR="00E21638" w:rsidRPr="00114400" w14:paraId="172BB5B4" w14:textId="77777777" w:rsidTr="004F1BC7">
        <w:trPr>
          <w:cnfStyle w:val="000000010000" w:firstRow="0" w:lastRow="0" w:firstColumn="0" w:lastColumn="0" w:oddVBand="0" w:evenVBand="0" w:oddHBand="0" w:evenHBand="1" w:firstRowFirstColumn="0" w:firstRowLastColumn="0" w:lastRowFirstColumn="0" w:lastRowLastColumn="0"/>
          <w:trHeight w:val="422"/>
        </w:trPr>
        <w:tc>
          <w:tcPr>
            <w:tcW w:w="0" w:type="auto"/>
            <w:gridSpan w:val="2"/>
            <w:shd w:val="clear" w:color="auto" w:fill="CE0058" w:themeFill="accent2"/>
          </w:tcPr>
          <w:p w14:paraId="19882622" w14:textId="77777777" w:rsidR="00E21638" w:rsidRPr="00296BDC" w:rsidRDefault="00E21638" w:rsidP="00B13430">
            <w:pPr>
              <w:pStyle w:val="1"/>
            </w:pPr>
            <w:r w:rsidRPr="00296BDC">
              <w:t>Engaging the disengaged</w:t>
            </w:r>
          </w:p>
        </w:tc>
      </w:tr>
      <w:tr w:rsidR="00E21638" w:rsidRPr="00114400" w14:paraId="39498D41" w14:textId="77777777" w:rsidTr="004F1BC7">
        <w:trPr>
          <w:cnfStyle w:val="000000100000" w:firstRow="0" w:lastRow="0" w:firstColumn="0" w:lastColumn="0" w:oddVBand="0" w:evenVBand="0" w:oddHBand="1" w:evenHBand="0" w:firstRowFirstColumn="0" w:firstRowLastColumn="0" w:lastRowFirstColumn="0" w:lastRowLastColumn="0"/>
          <w:trHeight w:val="567"/>
        </w:trPr>
        <w:tc>
          <w:tcPr>
            <w:tcW w:w="0" w:type="auto"/>
          </w:tcPr>
          <w:p w14:paraId="02E67B95" w14:textId="01072AA8" w:rsidR="00E21638" w:rsidRPr="00114400" w:rsidRDefault="00E21638" w:rsidP="004F1BC7">
            <w:pPr>
              <w:jc w:val="center"/>
            </w:pPr>
            <w:r>
              <w:rPr>
                <w:noProof/>
              </w:rPr>
              <w:drawing>
                <wp:anchor distT="0" distB="0" distL="114300" distR="114300" simplePos="0" relativeHeight="251658248" behindDoc="0" locked="0" layoutInCell="1" allowOverlap="1" wp14:anchorId="1669C7E5" wp14:editId="00B95ACE">
                  <wp:simplePos x="0" y="0"/>
                  <wp:positionH relativeFrom="column">
                    <wp:posOffset>36195</wp:posOffset>
                  </wp:positionH>
                  <wp:positionV relativeFrom="paragraph">
                    <wp:posOffset>1656080</wp:posOffset>
                  </wp:positionV>
                  <wp:extent cx="914400" cy="914400"/>
                  <wp:effectExtent l="0" t="0" r="0" b="0"/>
                  <wp:wrapTopAndBottom/>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157">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914400" cy="914400"/>
                          </a:xfrm>
                          <a:prstGeom prst="rect">
                            <a:avLst/>
                          </a:prstGeom>
                        </pic:spPr>
                      </pic:pic>
                    </a:graphicData>
                  </a:graphic>
                </wp:anchor>
              </w:drawing>
            </w:r>
          </w:p>
        </w:tc>
        <w:tc>
          <w:tcPr>
            <w:tcW w:w="0" w:type="auto"/>
          </w:tcPr>
          <w:p w14:paraId="5F1FB7A7" w14:textId="77777777" w:rsidR="00E21638" w:rsidRPr="00114400" w:rsidRDefault="00E21638" w:rsidP="004F1BC7">
            <w:r w:rsidRPr="00114400">
              <w:t>Lack of engagement was noted as a big issue:</w:t>
            </w:r>
          </w:p>
          <w:p w14:paraId="5ED5682C" w14:textId="77777777" w:rsidR="00E21638" w:rsidRPr="00114400" w:rsidRDefault="00E21638" w:rsidP="00E21638">
            <w:pPr>
              <w:pStyle w:val="TableBullet"/>
              <w:numPr>
                <w:ilvl w:val="0"/>
                <w:numId w:val="5"/>
              </w:numPr>
            </w:pPr>
            <w:r w:rsidRPr="00114400">
              <w:t xml:space="preserve">Many noted that once customers are engaged, there are lots of tools to help them and they do not often fall off. </w:t>
            </w:r>
          </w:p>
          <w:p w14:paraId="3C0A3D0C" w14:textId="77777777" w:rsidR="00E21638" w:rsidRPr="00114400" w:rsidRDefault="00E21638" w:rsidP="00E21638">
            <w:pPr>
              <w:pStyle w:val="TableBullet"/>
              <w:numPr>
                <w:ilvl w:val="0"/>
                <w:numId w:val="5"/>
              </w:numPr>
            </w:pPr>
            <w:r w:rsidRPr="00114400">
              <w:t xml:space="preserve">Some believed that unengaged customers are the most challenging to support. </w:t>
            </w:r>
          </w:p>
          <w:p w14:paraId="6FD4BFC3" w14:textId="77777777" w:rsidR="00E21638" w:rsidRPr="00114400" w:rsidRDefault="00E21638" w:rsidP="004F1BC7">
            <w:r w:rsidRPr="00114400">
              <w:t xml:space="preserve">Participants agreed that there was no one reason for customer resistance to engagement. The following reasons were suggested: </w:t>
            </w:r>
          </w:p>
          <w:p w14:paraId="4FCD83D7" w14:textId="77777777" w:rsidR="00E21638" w:rsidRPr="00114400" w:rsidRDefault="00E21638" w:rsidP="00E21638">
            <w:pPr>
              <w:pStyle w:val="TableBullet"/>
              <w:numPr>
                <w:ilvl w:val="0"/>
                <w:numId w:val="5"/>
              </w:numPr>
            </w:pPr>
            <w:r w:rsidRPr="00114400">
              <w:t>feelings of shame or hopelessness</w:t>
            </w:r>
          </w:p>
          <w:p w14:paraId="1A47AD71" w14:textId="77777777" w:rsidR="00E21638" w:rsidRPr="00114400" w:rsidRDefault="00E21638" w:rsidP="00E21638">
            <w:pPr>
              <w:pStyle w:val="TableBullet"/>
              <w:numPr>
                <w:ilvl w:val="0"/>
                <w:numId w:val="5"/>
              </w:numPr>
            </w:pPr>
            <w:r w:rsidRPr="00114400">
              <w:t>personal circumstances</w:t>
            </w:r>
          </w:p>
          <w:p w14:paraId="4AD595D3" w14:textId="77777777" w:rsidR="00E21638" w:rsidRPr="00114400" w:rsidRDefault="00E21638" w:rsidP="00E21638">
            <w:pPr>
              <w:pStyle w:val="TableBullet"/>
              <w:numPr>
                <w:ilvl w:val="0"/>
                <w:numId w:val="5"/>
              </w:numPr>
            </w:pPr>
            <w:r w:rsidRPr="00114400">
              <w:t>systemic poverty</w:t>
            </w:r>
          </w:p>
          <w:p w14:paraId="7EE1AE51" w14:textId="77777777" w:rsidR="00E21638" w:rsidRPr="00114400" w:rsidRDefault="00E21638" w:rsidP="00E21638">
            <w:pPr>
              <w:pStyle w:val="TableBullet"/>
              <w:numPr>
                <w:ilvl w:val="0"/>
                <w:numId w:val="5"/>
              </w:numPr>
            </w:pPr>
            <w:r w:rsidRPr="00114400">
              <w:t>lack of time</w:t>
            </w:r>
          </w:p>
          <w:p w14:paraId="32E9647E" w14:textId="77777777" w:rsidR="00E21638" w:rsidRPr="00114400" w:rsidRDefault="00E21638" w:rsidP="00E21638">
            <w:pPr>
              <w:pStyle w:val="TableBullet"/>
              <w:numPr>
                <w:ilvl w:val="0"/>
                <w:numId w:val="5"/>
              </w:numPr>
            </w:pPr>
            <w:r w:rsidRPr="00114400">
              <w:lastRenderedPageBreak/>
              <w:t>lack of interest</w:t>
            </w:r>
          </w:p>
          <w:p w14:paraId="3EC11469" w14:textId="77777777" w:rsidR="00E21638" w:rsidRPr="00114400" w:rsidRDefault="00E21638" w:rsidP="00E21638">
            <w:pPr>
              <w:pStyle w:val="TableBullet"/>
              <w:numPr>
                <w:ilvl w:val="0"/>
                <w:numId w:val="5"/>
              </w:numPr>
            </w:pPr>
            <w:r w:rsidRPr="00114400">
              <w:t>customers may be struggling to pay bills to multiple providers</w:t>
            </w:r>
          </w:p>
          <w:p w14:paraId="1038C36F" w14:textId="77777777" w:rsidR="00E21638" w:rsidRPr="00114400" w:rsidRDefault="00E21638" w:rsidP="00E21638">
            <w:pPr>
              <w:pStyle w:val="TableBullet"/>
              <w:numPr>
                <w:ilvl w:val="0"/>
                <w:numId w:val="5"/>
              </w:numPr>
            </w:pPr>
            <w:r w:rsidRPr="00114400">
              <w:t>a general lack of trust in retailers (or prior negative experience).</w:t>
            </w:r>
          </w:p>
          <w:p w14:paraId="6CAE3125" w14:textId="77777777" w:rsidR="00E21638" w:rsidRPr="00114400" w:rsidRDefault="00E21638" w:rsidP="004F1BC7">
            <w:r w:rsidRPr="00114400">
              <w:t xml:space="preserve">Other participant comments included: </w:t>
            </w:r>
          </w:p>
          <w:p w14:paraId="71A03EA4" w14:textId="77777777" w:rsidR="00E21638" w:rsidRPr="00114400" w:rsidRDefault="00E21638" w:rsidP="00E21638">
            <w:pPr>
              <w:pStyle w:val="TableBullet"/>
              <w:numPr>
                <w:ilvl w:val="0"/>
                <w:numId w:val="5"/>
              </w:numPr>
            </w:pPr>
            <w:r w:rsidRPr="00114400">
              <w:t>there is no real incentive for customers to engage early</w:t>
            </w:r>
          </w:p>
          <w:p w14:paraId="2B90107E" w14:textId="77777777" w:rsidR="00E21638" w:rsidRPr="00114400" w:rsidRDefault="00E21638" w:rsidP="00E21638">
            <w:pPr>
              <w:pStyle w:val="TableBullet"/>
              <w:numPr>
                <w:ilvl w:val="0"/>
                <w:numId w:val="5"/>
              </w:numPr>
            </w:pPr>
            <w:r w:rsidRPr="00114400">
              <w:t>that the framework relies on a lot of customer effort to engage</w:t>
            </w:r>
          </w:p>
          <w:p w14:paraId="50D56F70" w14:textId="77777777" w:rsidR="00E21638" w:rsidRPr="00114400" w:rsidRDefault="00E21638" w:rsidP="00E21638">
            <w:pPr>
              <w:pStyle w:val="TableBullet"/>
              <w:numPr>
                <w:ilvl w:val="0"/>
                <w:numId w:val="5"/>
              </w:numPr>
            </w:pPr>
            <w:r w:rsidRPr="00114400">
              <w:t>there was a perception that help offered is not useful</w:t>
            </w:r>
          </w:p>
          <w:p w14:paraId="27210856" w14:textId="77777777" w:rsidR="00E21638" w:rsidRPr="00114400" w:rsidRDefault="00E21638" w:rsidP="00E21638">
            <w:pPr>
              <w:pStyle w:val="TableBullet"/>
              <w:numPr>
                <w:ilvl w:val="0"/>
                <w:numId w:val="5"/>
              </w:numPr>
            </w:pPr>
            <w:r w:rsidRPr="00114400">
              <w:t>there is a difference between providing advice to customers about assistance they may be eligible for and customers accessing assistance – customer engagement is required to provide assistance.</w:t>
            </w:r>
          </w:p>
        </w:tc>
      </w:tr>
      <w:tr w:rsidR="00E21638" w:rsidRPr="00114400" w14:paraId="47BB2222" w14:textId="77777777" w:rsidTr="004F1BC7">
        <w:trPr>
          <w:cnfStyle w:val="000000010000" w:firstRow="0" w:lastRow="0" w:firstColumn="0" w:lastColumn="0" w:oddVBand="0" w:evenVBand="0" w:oddHBand="0" w:evenHBand="1" w:firstRowFirstColumn="0" w:firstRowLastColumn="0" w:lastRowFirstColumn="0" w:lastRowLastColumn="0"/>
        </w:trPr>
        <w:tc>
          <w:tcPr>
            <w:tcW w:w="0" w:type="auto"/>
            <w:gridSpan w:val="2"/>
            <w:shd w:val="clear" w:color="auto" w:fill="CE0058" w:themeFill="accent2"/>
          </w:tcPr>
          <w:p w14:paraId="55BCD16D" w14:textId="77777777" w:rsidR="00E21638" w:rsidRPr="00640E18" w:rsidRDefault="00E21638" w:rsidP="00B13430">
            <w:pPr>
              <w:pStyle w:val="1"/>
            </w:pPr>
            <w:r w:rsidRPr="00640E18">
              <w:lastRenderedPageBreak/>
              <w:t>How to improve engagement</w:t>
            </w:r>
          </w:p>
        </w:tc>
      </w:tr>
      <w:tr w:rsidR="00E21638" w:rsidRPr="00114400" w14:paraId="038E9D07" w14:textId="77777777" w:rsidTr="004F1BC7">
        <w:trPr>
          <w:cnfStyle w:val="000000100000" w:firstRow="0" w:lastRow="0" w:firstColumn="0" w:lastColumn="0" w:oddVBand="0" w:evenVBand="0" w:oddHBand="1" w:evenHBand="0" w:firstRowFirstColumn="0" w:firstRowLastColumn="0" w:lastRowFirstColumn="0" w:lastRowLastColumn="0"/>
        </w:trPr>
        <w:tc>
          <w:tcPr>
            <w:tcW w:w="0" w:type="auto"/>
          </w:tcPr>
          <w:p w14:paraId="71193C87" w14:textId="17057CEB" w:rsidR="00E21638" w:rsidRPr="00114400" w:rsidRDefault="00E21638" w:rsidP="004F1BC7">
            <w:r>
              <w:rPr>
                <w:noProof/>
              </w:rPr>
              <w:drawing>
                <wp:anchor distT="0" distB="0" distL="114300" distR="114300" simplePos="0" relativeHeight="251658249" behindDoc="0" locked="0" layoutInCell="1" allowOverlap="1" wp14:anchorId="23D32D5F" wp14:editId="61DD2FDB">
                  <wp:simplePos x="0" y="0"/>
                  <wp:positionH relativeFrom="column">
                    <wp:posOffset>3810</wp:posOffset>
                  </wp:positionH>
                  <wp:positionV relativeFrom="paragraph">
                    <wp:posOffset>1461770</wp:posOffset>
                  </wp:positionV>
                  <wp:extent cx="914400" cy="91440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extLst>
                              <a:ext uri="{C183D7F6-B498-43B3-948B-1728B52AA6E4}">
                                <adec:decorative xmlns:adec="http://schemas.microsoft.com/office/drawing/2017/decorative" val="1"/>
                              </a:ext>
                            </a:extLst>
                          </pic:cNvPr>
                          <pic:cNvPicPr/>
                        </pic:nvPicPr>
                        <pic:blipFill>
                          <a:blip r:embed="rId159">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Pr>
          <w:p w14:paraId="70340080" w14:textId="77777777" w:rsidR="00E21638" w:rsidRPr="00114400" w:rsidRDefault="00E21638" w:rsidP="004F1BC7">
            <w:r w:rsidRPr="00114400">
              <w:t>Participants’ suggestions for what might improve engagement included:</w:t>
            </w:r>
          </w:p>
          <w:p w14:paraId="16041947" w14:textId="77777777" w:rsidR="00E21638" w:rsidRPr="00114400" w:rsidRDefault="00E21638" w:rsidP="00E21638">
            <w:pPr>
              <w:pStyle w:val="TableBullet"/>
              <w:numPr>
                <w:ilvl w:val="0"/>
                <w:numId w:val="5"/>
              </w:numPr>
            </w:pPr>
            <w:r w:rsidRPr="00114400">
              <w:t>early interventions such as how to engage with customers at the front end of the process</w:t>
            </w:r>
          </w:p>
          <w:p w14:paraId="364A6620" w14:textId="77777777" w:rsidR="00E21638" w:rsidRPr="00114400" w:rsidRDefault="00E21638" w:rsidP="00E21638">
            <w:pPr>
              <w:pStyle w:val="TableBullet"/>
              <w:numPr>
                <w:ilvl w:val="0"/>
                <w:numId w:val="5"/>
              </w:numPr>
            </w:pPr>
            <w:r w:rsidRPr="00114400">
              <w:t xml:space="preserve">offering utility relief grants and concessions upfront and early, and </w:t>
            </w:r>
          </w:p>
          <w:p w14:paraId="5F3CAF57" w14:textId="77777777" w:rsidR="00E21638" w:rsidRPr="00114400" w:rsidRDefault="00E21638" w:rsidP="00E21638">
            <w:pPr>
              <w:pStyle w:val="TableBullet"/>
              <w:numPr>
                <w:ilvl w:val="0"/>
                <w:numId w:val="5"/>
              </w:numPr>
            </w:pPr>
            <w:r w:rsidRPr="00114400">
              <w:t>proactively identifying customers before they have built up arrears.</w:t>
            </w:r>
          </w:p>
          <w:p w14:paraId="361F9504" w14:textId="77777777" w:rsidR="00E21638" w:rsidRPr="00114400" w:rsidRDefault="00E21638" w:rsidP="004F1BC7">
            <w:r w:rsidRPr="00114400">
              <w:t>Suggestions to improve engagement focused on retailer tools including:</w:t>
            </w:r>
          </w:p>
          <w:p w14:paraId="74A49051" w14:textId="77777777" w:rsidR="00E21638" w:rsidRPr="00114400" w:rsidRDefault="00E21638" w:rsidP="00E21638">
            <w:pPr>
              <w:pStyle w:val="TableBullet"/>
              <w:numPr>
                <w:ilvl w:val="0"/>
                <w:numId w:val="5"/>
              </w:numPr>
            </w:pPr>
            <w:r w:rsidRPr="00114400">
              <w:t>consistency</w:t>
            </w:r>
          </w:p>
          <w:p w14:paraId="684179C5" w14:textId="77777777" w:rsidR="00E21638" w:rsidRPr="00114400" w:rsidRDefault="00E21638" w:rsidP="00E21638">
            <w:pPr>
              <w:pStyle w:val="TableBullet"/>
              <w:numPr>
                <w:ilvl w:val="0"/>
                <w:numId w:val="5"/>
              </w:numPr>
            </w:pPr>
            <w:r w:rsidRPr="00114400">
              <w:t>form and frequency of communication</w:t>
            </w:r>
          </w:p>
          <w:p w14:paraId="32E96EA2" w14:textId="77777777" w:rsidR="00E21638" w:rsidRPr="00114400" w:rsidRDefault="00E21638" w:rsidP="00E21638">
            <w:pPr>
              <w:pStyle w:val="TableBullet"/>
              <w:numPr>
                <w:ilvl w:val="0"/>
                <w:numId w:val="5"/>
              </w:numPr>
            </w:pPr>
            <w:r w:rsidRPr="00114400">
              <w:t>phone conversations</w:t>
            </w:r>
          </w:p>
          <w:p w14:paraId="4045FE30" w14:textId="77777777" w:rsidR="00E21638" w:rsidRPr="00114400" w:rsidRDefault="00E21638" w:rsidP="00E21638">
            <w:pPr>
              <w:pStyle w:val="TableBullet"/>
              <w:numPr>
                <w:ilvl w:val="0"/>
                <w:numId w:val="5"/>
              </w:numPr>
            </w:pPr>
            <w:r w:rsidRPr="00114400">
              <w:t xml:space="preserve">account management and </w:t>
            </w:r>
          </w:p>
          <w:p w14:paraId="58356043" w14:textId="77777777" w:rsidR="00E21638" w:rsidRPr="00114400" w:rsidRDefault="00E21638" w:rsidP="00E21638">
            <w:pPr>
              <w:pStyle w:val="TableBullet"/>
              <w:numPr>
                <w:ilvl w:val="0"/>
                <w:numId w:val="5"/>
              </w:numPr>
            </w:pPr>
            <w:r w:rsidRPr="00114400">
              <w:t>closer relationships with customers to identify issues and building trust with customers.</w:t>
            </w:r>
          </w:p>
          <w:p w14:paraId="12BAC89A" w14:textId="77777777" w:rsidR="00E21638" w:rsidRPr="00114400" w:rsidRDefault="00E21638" w:rsidP="004F1BC7">
            <w:r w:rsidRPr="00114400">
              <w:t>Other suggestions included:</w:t>
            </w:r>
          </w:p>
          <w:p w14:paraId="22AE82C1" w14:textId="77777777" w:rsidR="00E21638" w:rsidRPr="00114400" w:rsidRDefault="00E21638" w:rsidP="00E21638">
            <w:pPr>
              <w:pStyle w:val="TableBullet"/>
              <w:numPr>
                <w:ilvl w:val="0"/>
                <w:numId w:val="5"/>
              </w:numPr>
            </w:pPr>
            <w:r w:rsidRPr="00114400">
              <w:t>building a better understanding of what disengagement is and what leads to it</w:t>
            </w:r>
          </w:p>
          <w:p w14:paraId="1BDAF28B" w14:textId="77777777" w:rsidR="00E21638" w:rsidRPr="00114400" w:rsidRDefault="00E21638" w:rsidP="00E21638">
            <w:pPr>
              <w:pStyle w:val="TableBullet"/>
              <w:numPr>
                <w:ilvl w:val="0"/>
                <w:numId w:val="5"/>
              </w:numPr>
            </w:pPr>
            <w:r w:rsidRPr="00114400">
              <w:t xml:space="preserve">looking at what works in other sectors such as banking, and </w:t>
            </w:r>
          </w:p>
          <w:p w14:paraId="39977C76" w14:textId="77777777" w:rsidR="00E21638" w:rsidRPr="00114400" w:rsidRDefault="00E21638" w:rsidP="00E21638">
            <w:pPr>
              <w:pStyle w:val="TableBullet"/>
              <w:numPr>
                <w:ilvl w:val="0"/>
                <w:numId w:val="5"/>
              </w:numPr>
            </w:pPr>
            <w:r w:rsidRPr="00114400">
              <w:t>looking at whether there is something the commission can do to help engagement with customers.</w:t>
            </w:r>
          </w:p>
        </w:tc>
      </w:tr>
    </w:tbl>
    <w:p w14:paraId="69CC1701" w14:textId="77777777" w:rsidR="001D2976" w:rsidRDefault="001D2976">
      <w:r>
        <w:br w:type="page"/>
      </w:r>
    </w:p>
    <w:tbl>
      <w:tblPr>
        <w:tblStyle w:val="TableGrid"/>
        <w:tblW w:w="0" w:type="auto"/>
        <w:tblLook w:val="04A0" w:firstRow="1" w:lastRow="0" w:firstColumn="1" w:lastColumn="0" w:noHBand="0" w:noVBand="1"/>
      </w:tblPr>
      <w:tblGrid>
        <w:gridCol w:w="1582"/>
        <w:gridCol w:w="8056"/>
      </w:tblGrid>
      <w:tr w:rsidR="00E21638" w:rsidRPr="00114400" w14:paraId="3123D9DA" w14:textId="77777777" w:rsidTr="004F1BC7">
        <w:trPr>
          <w:cnfStyle w:val="100000000000" w:firstRow="1" w:lastRow="0" w:firstColumn="0" w:lastColumn="0" w:oddVBand="0" w:evenVBand="0" w:oddHBand="0" w:evenHBand="0" w:firstRowFirstColumn="0" w:firstRowLastColumn="0" w:lastRowFirstColumn="0" w:lastRowLastColumn="0"/>
        </w:trPr>
        <w:tc>
          <w:tcPr>
            <w:tcW w:w="0" w:type="auto"/>
            <w:gridSpan w:val="2"/>
            <w:shd w:val="clear" w:color="auto" w:fill="CE0058" w:themeFill="accent2"/>
          </w:tcPr>
          <w:p w14:paraId="112AC713" w14:textId="51A95FC6" w:rsidR="00E21638" w:rsidRPr="00640E18" w:rsidRDefault="00E21638" w:rsidP="00B13430">
            <w:pPr>
              <w:pStyle w:val="1"/>
              <w:rPr>
                <w:b/>
              </w:rPr>
            </w:pPr>
            <w:r w:rsidRPr="00640E18">
              <w:rPr>
                <w:b/>
              </w:rPr>
              <w:lastRenderedPageBreak/>
              <w:t>Appropriateness and timing of communication</w:t>
            </w:r>
          </w:p>
        </w:tc>
      </w:tr>
      <w:tr w:rsidR="00E21638" w:rsidRPr="00114400" w14:paraId="6530D2FD" w14:textId="77777777" w:rsidTr="004F1BC7">
        <w:trPr>
          <w:cnfStyle w:val="000000100000" w:firstRow="0" w:lastRow="0" w:firstColumn="0" w:lastColumn="0" w:oddVBand="0" w:evenVBand="0" w:oddHBand="1" w:evenHBand="0" w:firstRowFirstColumn="0" w:firstRowLastColumn="0" w:lastRowFirstColumn="0" w:lastRowLastColumn="0"/>
        </w:trPr>
        <w:tc>
          <w:tcPr>
            <w:tcW w:w="0" w:type="auto"/>
          </w:tcPr>
          <w:p w14:paraId="476951A4" w14:textId="489600E3" w:rsidR="00E21638" w:rsidRPr="00114400" w:rsidRDefault="00E21638" w:rsidP="004F1BC7">
            <w:r>
              <w:rPr>
                <w:noProof/>
              </w:rPr>
              <w:drawing>
                <wp:anchor distT="0" distB="0" distL="114300" distR="114300" simplePos="0" relativeHeight="251658250" behindDoc="0" locked="0" layoutInCell="1" allowOverlap="1" wp14:anchorId="1090D72C" wp14:editId="7D99AA25">
                  <wp:simplePos x="0" y="0"/>
                  <wp:positionH relativeFrom="column">
                    <wp:posOffset>-148590</wp:posOffset>
                  </wp:positionH>
                  <wp:positionV relativeFrom="paragraph">
                    <wp:posOffset>1019175</wp:posOffset>
                  </wp:positionV>
                  <wp:extent cx="914400" cy="914400"/>
                  <wp:effectExtent l="0" t="0" r="0" b="0"/>
                  <wp:wrapSquare wrapText="bothSides"/>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161">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Pr>
          <w:p w14:paraId="2E6DEB6D" w14:textId="77777777" w:rsidR="00E21638" w:rsidRPr="00114400" w:rsidRDefault="00E21638" w:rsidP="004F1BC7">
            <w:r w:rsidRPr="00114400">
              <w:t>Feedback on effective communication from retailers included:</w:t>
            </w:r>
          </w:p>
          <w:p w14:paraId="49ED8F30" w14:textId="77777777" w:rsidR="00E21638" w:rsidRPr="00114400" w:rsidRDefault="00E21638" w:rsidP="00E21638">
            <w:pPr>
              <w:pStyle w:val="TableBullet"/>
              <w:numPr>
                <w:ilvl w:val="0"/>
                <w:numId w:val="5"/>
              </w:numPr>
            </w:pPr>
            <w:r w:rsidRPr="00114400">
              <w:t xml:space="preserve">the value of providing information using different media (letter, email, text, calls) and using customers’ preferred communication method. </w:t>
            </w:r>
          </w:p>
          <w:p w14:paraId="399AEF11" w14:textId="77777777" w:rsidR="00E21638" w:rsidRPr="00114400" w:rsidRDefault="00E21638" w:rsidP="00E21638">
            <w:pPr>
              <w:pStyle w:val="TableBullet"/>
              <w:numPr>
                <w:ilvl w:val="0"/>
                <w:numId w:val="5"/>
              </w:numPr>
            </w:pPr>
            <w:r w:rsidRPr="00114400">
              <w:t xml:space="preserve">mixed feedback on the effectiveness of SMS. On the one hand, some suggested that it was more effective than email or mail. On the other hand, others suggested it leads to little engagement. </w:t>
            </w:r>
          </w:p>
          <w:p w14:paraId="07D235B9" w14:textId="77777777" w:rsidR="00E21638" w:rsidRPr="00114400" w:rsidRDefault="00E21638" w:rsidP="00E21638">
            <w:pPr>
              <w:pStyle w:val="TableBullet"/>
              <w:numPr>
                <w:ilvl w:val="0"/>
                <w:numId w:val="5"/>
              </w:numPr>
            </w:pPr>
            <w:r w:rsidRPr="00114400">
              <w:t>Some retailers support customers with low English literacy by providing language options on websites and employing multilingual staff.</w:t>
            </w:r>
          </w:p>
          <w:p w14:paraId="2663A5D1" w14:textId="77777777" w:rsidR="00E21638" w:rsidRPr="00114400" w:rsidRDefault="00E21638" w:rsidP="004F1BC7">
            <w:r w:rsidRPr="00114400">
              <w:t>Participants raised several issues that may impact how customers respond to communication, including:</w:t>
            </w:r>
          </w:p>
          <w:p w14:paraId="57DD11D3" w14:textId="77777777" w:rsidR="00E21638" w:rsidRPr="00114400" w:rsidRDefault="00E21638" w:rsidP="00E21638">
            <w:pPr>
              <w:pStyle w:val="TableBullet"/>
              <w:numPr>
                <w:ilvl w:val="0"/>
                <w:numId w:val="5"/>
              </w:numPr>
            </w:pPr>
            <w:r w:rsidRPr="00114400">
              <w:t>low literacy levels</w:t>
            </w:r>
          </w:p>
          <w:p w14:paraId="5701AFC1" w14:textId="77777777" w:rsidR="00E21638" w:rsidRPr="00114400" w:rsidRDefault="00E21638" w:rsidP="00E21638">
            <w:pPr>
              <w:pStyle w:val="TableBullet"/>
              <w:numPr>
                <w:ilvl w:val="0"/>
                <w:numId w:val="5"/>
              </w:numPr>
            </w:pPr>
            <w:r w:rsidRPr="00114400">
              <w:t xml:space="preserve">an overwhelming volume of information provided to customers, and </w:t>
            </w:r>
          </w:p>
          <w:p w14:paraId="76C072BA" w14:textId="77777777" w:rsidR="00E21638" w:rsidRPr="00114400" w:rsidRDefault="00E21638" w:rsidP="00E21638">
            <w:pPr>
              <w:pStyle w:val="TableBullet"/>
              <w:numPr>
                <w:ilvl w:val="0"/>
                <w:numId w:val="5"/>
              </w:numPr>
            </w:pPr>
            <w:r w:rsidRPr="00114400">
              <w:t>low trust of retailers.</w:t>
            </w:r>
          </w:p>
          <w:p w14:paraId="4FFE2DD3" w14:textId="77777777" w:rsidR="00E21638" w:rsidRPr="00114400" w:rsidRDefault="00E21638" w:rsidP="004F1BC7">
            <w:r w:rsidRPr="00114400">
              <w:t>Some retailers noted that they do not want to pressure customers and were aware that customers can feel overwhelmed or harassed. However, retailers considered its obligations as being prescriptive in what needs to be covered.</w:t>
            </w:r>
          </w:p>
        </w:tc>
      </w:tr>
      <w:tr w:rsidR="00E21638" w:rsidRPr="00114400" w14:paraId="3455549E" w14:textId="77777777" w:rsidTr="004F1BC7">
        <w:trPr>
          <w:cnfStyle w:val="000000010000" w:firstRow="0" w:lastRow="0" w:firstColumn="0" w:lastColumn="0" w:oddVBand="0" w:evenVBand="0" w:oddHBand="0" w:evenHBand="1" w:firstRowFirstColumn="0" w:firstRowLastColumn="0" w:lastRowFirstColumn="0" w:lastRowLastColumn="0"/>
        </w:trPr>
        <w:tc>
          <w:tcPr>
            <w:tcW w:w="0" w:type="auto"/>
            <w:gridSpan w:val="2"/>
            <w:shd w:val="clear" w:color="auto" w:fill="CE0058" w:themeFill="accent2"/>
          </w:tcPr>
          <w:p w14:paraId="1D1B1DDC" w14:textId="77777777" w:rsidR="00E21638" w:rsidRPr="00640E18" w:rsidRDefault="00E21638" w:rsidP="00B13430">
            <w:pPr>
              <w:pStyle w:val="1"/>
            </w:pPr>
            <w:r w:rsidRPr="00640E18">
              <w:t>How to improve communication with customers</w:t>
            </w:r>
          </w:p>
        </w:tc>
      </w:tr>
      <w:tr w:rsidR="00E21638" w:rsidRPr="00114400" w14:paraId="19FC3A87" w14:textId="77777777" w:rsidTr="004F1BC7">
        <w:trPr>
          <w:cnfStyle w:val="000000100000" w:firstRow="0" w:lastRow="0" w:firstColumn="0" w:lastColumn="0" w:oddVBand="0" w:evenVBand="0" w:oddHBand="1" w:evenHBand="0" w:firstRowFirstColumn="0" w:firstRowLastColumn="0" w:lastRowFirstColumn="0" w:lastRowLastColumn="0"/>
        </w:trPr>
        <w:tc>
          <w:tcPr>
            <w:tcW w:w="0" w:type="auto"/>
          </w:tcPr>
          <w:p w14:paraId="489C071E" w14:textId="3DACE32D" w:rsidR="00E21638" w:rsidRPr="00114400" w:rsidRDefault="00E21638" w:rsidP="004F1BC7">
            <w:r>
              <w:rPr>
                <w:noProof/>
              </w:rPr>
              <w:drawing>
                <wp:anchor distT="0" distB="0" distL="114300" distR="114300" simplePos="0" relativeHeight="251658251" behindDoc="0" locked="0" layoutInCell="1" allowOverlap="1" wp14:anchorId="25DF23C0" wp14:editId="0B2138F8">
                  <wp:simplePos x="0" y="0"/>
                  <wp:positionH relativeFrom="margin">
                    <wp:posOffset>0</wp:posOffset>
                  </wp:positionH>
                  <wp:positionV relativeFrom="margin">
                    <wp:posOffset>622300</wp:posOffset>
                  </wp:positionV>
                  <wp:extent cx="914400" cy="914400"/>
                  <wp:effectExtent l="0" t="0" r="0" b="0"/>
                  <wp:wrapTopAndBottom/>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a:extLst>
                              <a:ext uri="{C183D7F6-B498-43B3-948B-1728B52AA6E4}">
                                <adec:decorative xmlns:adec="http://schemas.microsoft.com/office/drawing/2017/decorative" val="1"/>
                              </a:ext>
                            </a:extLst>
                          </pic:cNvPr>
                          <pic:cNvPicPr/>
                        </pic:nvPicPr>
                        <pic:blipFill>
                          <a:blip r:embed="rId163">
                            <a:extLst>
                              <a:ext uri="{28A0092B-C50C-407E-A947-70E740481C1C}">
                                <a14:useLocalDpi xmlns:a14="http://schemas.microsoft.com/office/drawing/2010/main" val="0"/>
                              </a:ext>
                              <a:ext uri="{96DAC541-7B7A-43D3-8B79-37D633B846F1}">
                                <asvg:svgBlip xmlns:asvg="http://schemas.microsoft.com/office/drawing/2016/SVG/main" r:embed="rId16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Pr>
          <w:p w14:paraId="24C9DBF2" w14:textId="77777777" w:rsidR="00E21638" w:rsidRPr="00114400" w:rsidRDefault="00E21638" w:rsidP="004F1BC7">
            <w:r w:rsidRPr="00114400">
              <w:t>Some participants suggested improved communications with customers, such as:</w:t>
            </w:r>
          </w:p>
          <w:p w14:paraId="6F07A8C8" w14:textId="77777777" w:rsidR="00E21638" w:rsidRPr="00114400" w:rsidRDefault="00E21638" w:rsidP="00E21638">
            <w:pPr>
              <w:pStyle w:val="TableBullet"/>
              <w:numPr>
                <w:ilvl w:val="0"/>
                <w:numId w:val="5"/>
              </w:numPr>
            </w:pPr>
            <w:r w:rsidRPr="00114400">
              <w:t>giving time for customers to process information</w:t>
            </w:r>
          </w:p>
          <w:p w14:paraId="13E2E0A4" w14:textId="77777777" w:rsidR="00E21638" w:rsidRPr="00114400" w:rsidRDefault="00E21638" w:rsidP="00E21638">
            <w:pPr>
              <w:pStyle w:val="TableBullet"/>
              <w:numPr>
                <w:ilvl w:val="0"/>
                <w:numId w:val="5"/>
              </w:numPr>
            </w:pPr>
            <w:r w:rsidRPr="00114400">
              <w:t>allow further checking in with customers</w:t>
            </w:r>
          </w:p>
          <w:p w14:paraId="01D0C148" w14:textId="77777777" w:rsidR="00E21638" w:rsidRPr="00114400" w:rsidRDefault="00E21638" w:rsidP="00E21638">
            <w:pPr>
              <w:pStyle w:val="TableBullet"/>
              <w:numPr>
                <w:ilvl w:val="0"/>
                <w:numId w:val="5"/>
              </w:numPr>
            </w:pPr>
            <w:r w:rsidRPr="00114400">
              <w:t xml:space="preserve">translating words that do not exist in other languages, and </w:t>
            </w:r>
          </w:p>
          <w:p w14:paraId="4093A87E" w14:textId="77777777" w:rsidR="00E21638" w:rsidRPr="00114400" w:rsidRDefault="00E21638" w:rsidP="00E21638">
            <w:pPr>
              <w:pStyle w:val="TableBullet"/>
              <w:numPr>
                <w:ilvl w:val="0"/>
                <w:numId w:val="5"/>
              </w:numPr>
            </w:pPr>
            <w:r w:rsidRPr="00114400">
              <w:t xml:space="preserve">including best offer information on warning notices. </w:t>
            </w:r>
          </w:p>
          <w:p w14:paraId="7BB3D299" w14:textId="77777777" w:rsidR="00E21638" w:rsidRPr="00114400" w:rsidRDefault="00E21638" w:rsidP="00E21638">
            <w:pPr>
              <w:pStyle w:val="TableBullet"/>
              <w:numPr>
                <w:ilvl w:val="0"/>
                <w:numId w:val="5"/>
              </w:numPr>
            </w:pPr>
            <w:r w:rsidRPr="00114400">
              <w:t>Participants also suggested other solutions including:</w:t>
            </w:r>
          </w:p>
          <w:p w14:paraId="3CA32CD8" w14:textId="77777777" w:rsidR="00E21638" w:rsidRPr="00114400" w:rsidRDefault="00E21638" w:rsidP="00E21638">
            <w:pPr>
              <w:pStyle w:val="TableBullet"/>
              <w:numPr>
                <w:ilvl w:val="0"/>
                <w:numId w:val="5"/>
              </w:numPr>
            </w:pPr>
            <w:r w:rsidRPr="00114400">
              <w:t xml:space="preserve">SMS correspondence about overdue accounts including a ‘do you want to speak to someone’ option instead of a link, and </w:t>
            </w:r>
          </w:p>
          <w:p w14:paraId="5AFC3EA6" w14:textId="77777777" w:rsidR="00E21638" w:rsidRPr="00114400" w:rsidRDefault="00E21638" w:rsidP="00E21638">
            <w:pPr>
              <w:pStyle w:val="TableBullet"/>
              <w:numPr>
                <w:ilvl w:val="0"/>
                <w:numId w:val="5"/>
              </w:numPr>
            </w:pPr>
            <w:r w:rsidRPr="00114400">
              <w:t>warning notices worded in a way that presents options for customers.</w:t>
            </w:r>
          </w:p>
        </w:tc>
      </w:tr>
      <w:bookmarkEnd w:id="353"/>
      <w:bookmarkEnd w:id="354"/>
    </w:tbl>
    <w:p w14:paraId="3E383520" w14:textId="77777777" w:rsidR="00E21638" w:rsidRDefault="00E21638" w:rsidP="00E21638">
      <w:pPr>
        <w:spacing w:before="0" w:line="259" w:lineRule="auto"/>
        <w:rPr>
          <w:rFonts w:ascii="Tahoma" w:eastAsiaTheme="majorEastAsia" w:hAnsi="Tahoma" w:cstheme="majorBidi"/>
          <w:b/>
          <w:iCs/>
          <w:color w:val="75787B" w:themeColor="background2"/>
        </w:rPr>
      </w:pPr>
      <w:r>
        <w:br w:type="page"/>
      </w:r>
    </w:p>
    <w:p w14:paraId="0D5AE545" w14:textId="4D1D7B2A" w:rsidR="00E21638" w:rsidRDefault="00104BCD" w:rsidP="00104BCD">
      <w:pPr>
        <w:pStyle w:val="Heading3"/>
      </w:pPr>
      <w:r>
        <w:lastRenderedPageBreak/>
        <w:t xml:space="preserve">Theme 2: </w:t>
      </w:r>
      <w:r w:rsidR="00E21638" w:rsidRPr="00723583">
        <w:t>Implementation of the framework can vary</w:t>
      </w:r>
    </w:p>
    <w:p w14:paraId="731A36F8" w14:textId="77777777" w:rsidR="00E21638" w:rsidRDefault="00E21638" w:rsidP="00E21638">
      <w:r>
        <w:t xml:space="preserve">The comments under the theme ‘implementation of the framework can vary’ relate to: </w:t>
      </w:r>
    </w:p>
    <w:p w14:paraId="4FBBBD0E" w14:textId="77777777" w:rsidR="00E21638" w:rsidRDefault="00E21638" w:rsidP="008E42FA">
      <w:pPr>
        <w:pStyle w:val="ListParagraph"/>
        <w:numPr>
          <w:ilvl w:val="0"/>
          <w:numId w:val="27"/>
        </w:numPr>
      </w:pPr>
      <w:r>
        <w:t>implementation that works</w:t>
      </w:r>
    </w:p>
    <w:p w14:paraId="7050B0C1" w14:textId="77777777" w:rsidR="00E21638" w:rsidRDefault="00E21638" w:rsidP="008E42FA">
      <w:pPr>
        <w:pStyle w:val="ListParagraph"/>
        <w:numPr>
          <w:ilvl w:val="0"/>
          <w:numId w:val="27"/>
        </w:numPr>
      </w:pPr>
      <w:r>
        <w:t>variation between retailers</w:t>
      </w:r>
    </w:p>
    <w:p w14:paraId="6299C0D1" w14:textId="77777777" w:rsidR="00E21638" w:rsidRDefault="00E21638" w:rsidP="008E42FA">
      <w:pPr>
        <w:pStyle w:val="ListParagraph"/>
        <w:numPr>
          <w:ilvl w:val="0"/>
          <w:numId w:val="27"/>
        </w:numPr>
      </w:pPr>
      <w:r>
        <w:t>retailer staff training</w:t>
      </w:r>
    </w:p>
    <w:p w14:paraId="3F86F090" w14:textId="77777777" w:rsidR="00E21638" w:rsidRDefault="00E21638" w:rsidP="008E42FA">
      <w:pPr>
        <w:pStyle w:val="ListParagraph"/>
        <w:numPr>
          <w:ilvl w:val="0"/>
          <w:numId w:val="27"/>
        </w:numPr>
      </w:pPr>
      <w:r>
        <w:t>l</w:t>
      </w:r>
      <w:r w:rsidRPr="00D50575">
        <w:t>imitations in managing the on-going accrual of debt</w:t>
      </w:r>
    </w:p>
    <w:p w14:paraId="36C78799" w14:textId="77777777" w:rsidR="00E21638" w:rsidRDefault="00E21638" w:rsidP="008E42FA">
      <w:pPr>
        <w:pStyle w:val="ListParagraph"/>
        <w:numPr>
          <w:ilvl w:val="0"/>
          <w:numId w:val="27"/>
        </w:numPr>
      </w:pPr>
      <w:r>
        <w:t>r</w:t>
      </w:r>
      <w:r w:rsidRPr="00D50575">
        <w:t>etailer staff training</w:t>
      </w:r>
    </w:p>
    <w:p w14:paraId="1FA9D6C5" w14:textId="77777777" w:rsidR="00E21638" w:rsidRDefault="00E21638" w:rsidP="008E42FA">
      <w:pPr>
        <w:pStyle w:val="ListParagraph"/>
        <w:numPr>
          <w:ilvl w:val="0"/>
          <w:numId w:val="27"/>
        </w:numPr>
      </w:pPr>
      <w:r>
        <w:t>i</w:t>
      </w:r>
      <w:r w:rsidRPr="00D50575">
        <w:t>mproving implementation</w:t>
      </w:r>
    </w:p>
    <w:p w14:paraId="51A10368" w14:textId="77777777" w:rsidR="00E21638" w:rsidRDefault="00E21638" w:rsidP="008E42FA">
      <w:pPr>
        <w:pStyle w:val="ListParagraph"/>
        <w:numPr>
          <w:ilvl w:val="0"/>
          <w:numId w:val="27"/>
        </w:numPr>
      </w:pPr>
      <w:r>
        <w:t>l</w:t>
      </w:r>
      <w:r w:rsidRPr="00D50575">
        <w:t>owering debt levels on entry to assistance</w:t>
      </w:r>
      <w:r>
        <w:t>.</w:t>
      </w:r>
    </w:p>
    <w:tbl>
      <w:tblPr>
        <w:tblStyle w:val="TableGrid"/>
        <w:tblW w:w="0" w:type="auto"/>
        <w:tblLook w:val="04A0" w:firstRow="1" w:lastRow="0" w:firstColumn="1" w:lastColumn="0" w:noHBand="0" w:noVBand="1"/>
      </w:tblPr>
      <w:tblGrid>
        <w:gridCol w:w="1582"/>
        <w:gridCol w:w="8056"/>
      </w:tblGrid>
      <w:tr w:rsidR="00E21638" w:rsidRPr="00B222AB" w14:paraId="5F30E378" w14:textId="77777777" w:rsidTr="004F1BC7">
        <w:trPr>
          <w:cnfStyle w:val="100000000000" w:firstRow="1" w:lastRow="0" w:firstColumn="0" w:lastColumn="0" w:oddVBand="0" w:evenVBand="0" w:oddHBand="0" w:evenHBand="0" w:firstRowFirstColumn="0" w:firstRowLastColumn="0" w:lastRowFirstColumn="0" w:lastRowLastColumn="0"/>
          <w:trHeight w:val="20"/>
        </w:trPr>
        <w:tc>
          <w:tcPr>
            <w:tcW w:w="0" w:type="auto"/>
            <w:gridSpan w:val="2"/>
          </w:tcPr>
          <w:p w14:paraId="290C7D55" w14:textId="77777777" w:rsidR="00E21638" w:rsidRPr="00B13430" w:rsidRDefault="00E21638" w:rsidP="00B13430">
            <w:pPr>
              <w:pStyle w:val="1"/>
              <w:rPr>
                <w:b/>
                <w:bCs/>
              </w:rPr>
            </w:pPr>
            <w:r w:rsidRPr="00B13430">
              <w:rPr>
                <w:b/>
                <w:bCs/>
              </w:rPr>
              <w:t>Implementation that works</w:t>
            </w:r>
          </w:p>
        </w:tc>
      </w:tr>
      <w:tr w:rsidR="00E21638" w:rsidRPr="00B222AB" w14:paraId="27BC6312" w14:textId="77777777" w:rsidTr="004F1BC7">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71935845" w14:textId="77777777" w:rsidR="00E21638" w:rsidRPr="00B222AB" w:rsidRDefault="00E21638" w:rsidP="004F1BC7">
            <w:pPr>
              <w:jc w:val="center"/>
            </w:pPr>
            <w:r>
              <w:rPr>
                <w:noProof/>
              </w:rPr>
              <w:drawing>
                <wp:inline distT="0" distB="0" distL="0" distR="0" wp14:anchorId="3AA10AA7" wp14:editId="14932863">
                  <wp:extent cx="914400" cy="914400"/>
                  <wp:effectExtent l="0" t="0" r="0" b="0"/>
                  <wp:docPr id="99989" name="Graphic 99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9" name="Graphic 99989">
                            <a:extLst>
                              <a:ext uri="{C183D7F6-B498-43B3-948B-1728B52AA6E4}">
                                <adec:decorative xmlns:adec="http://schemas.microsoft.com/office/drawing/2017/decorative" val="1"/>
                              </a:ext>
                            </a:extLst>
                          </pic:cNvPr>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914400" cy="914400"/>
                          </a:xfrm>
                          <a:prstGeom prst="rect">
                            <a:avLst/>
                          </a:prstGeom>
                        </pic:spPr>
                      </pic:pic>
                    </a:graphicData>
                  </a:graphic>
                </wp:inline>
              </w:drawing>
            </w:r>
          </w:p>
        </w:tc>
        <w:tc>
          <w:tcPr>
            <w:tcW w:w="0" w:type="auto"/>
          </w:tcPr>
          <w:p w14:paraId="3CAE3B90" w14:textId="77777777" w:rsidR="00E21638" w:rsidRDefault="00E21638" w:rsidP="00E21638">
            <w:pPr>
              <w:pStyle w:val="TableBullet"/>
              <w:numPr>
                <w:ilvl w:val="0"/>
                <w:numId w:val="5"/>
              </w:numPr>
            </w:pPr>
            <w:r w:rsidRPr="00B222AB">
              <w:t xml:space="preserve">Workshop participants noted that when the framework is being implemented well, retailers are focusing on providing support, communication, and ensuring customers are aware of their entitlements. </w:t>
            </w:r>
          </w:p>
          <w:p w14:paraId="032FDDC1" w14:textId="77777777" w:rsidR="00E21638" w:rsidRPr="00B222AB" w:rsidRDefault="00E21638" w:rsidP="00E21638">
            <w:pPr>
              <w:pStyle w:val="TableBullet"/>
              <w:numPr>
                <w:ilvl w:val="0"/>
                <w:numId w:val="5"/>
              </w:numPr>
            </w:pPr>
            <w:r w:rsidRPr="00B222AB">
              <w:t xml:space="preserve">Positive comments about the implementation of the framework included: </w:t>
            </w:r>
          </w:p>
          <w:p w14:paraId="5E5AF1CE" w14:textId="77777777" w:rsidR="00E21638" w:rsidRPr="00B222AB" w:rsidRDefault="00E21638" w:rsidP="00E21638">
            <w:pPr>
              <w:pStyle w:val="TableBullet2"/>
              <w:numPr>
                <w:ilvl w:val="1"/>
                <w:numId w:val="5"/>
              </w:numPr>
            </w:pPr>
            <w:r w:rsidRPr="00B222AB">
              <w:t xml:space="preserve">Compliance from retailers has been strong and that data implies that the framework has improved on previous processes and captured more customers. </w:t>
            </w:r>
          </w:p>
          <w:p w14:paraId="2C5AD31C" w14:textId="77777777" w:rsidR="00FE2FCC" w:rsidRDefault="00E21638" w:rsidP="00E21638">
            <w:pPr>
              <w:pStyle w:val="TableBullet2"/>
              <w:numPr>
                <w:ilvl w:val="1"/>
                <w:numId w:val="5"/>
              </w:numPr>
            </w:pPr>
            <w:r w:rsidRPr="00B222AB">
              <w:t xml:space="preserve">The introduction of the framework removed barriers around information availability and proactive/reactive informing of customers. </w:t>
            </w:r>
          </w:p>
          <w:p w14:paraId="06240309" w14:textId="2E952FE3" w:rsidR="00FE2FCC" w:rsidRDefault="00E21638" w:rsidP="00E21638">
            <w:pPr>
              <w:pStyle w:val="TableBullet2"/>
              <w:numPr>
                <w:ilvl w:val="1"/>
                <w:numId w:val="5"/>
              </w:numPr>
            </w:pPr>
            <w:r w:rsidRPr="00B222AB">
              <w:t xml:space="preserve">Participants noted it is positive to see the awareness of the framework in the community, for example, more people accessing the framework could be an indicator of greater awareness. </w:t>
            </w:r>
          </w:p>
          <w:p w14:paraId="61FB4A9F" w14:textId="4C30C5E0" w:rsidR="00E21638" w:rsidRPr="00B222AB" w:rsidRDefault="00E21638" w:rsidP="00E21638">
            <w:pPr>
              <w:pStyle w:val="TableBullet2"/>
              <w:numPr>
                <w:ilvl w:val="1"/>
                <w:numId w:val="5"/>
              </w:numPr>
            </w:pPr>
            <w:r w:rsidRPr="00B222AB">
              <w:t>One noted that payment plans are requested even when customers are not experiencing hardship.</w:t>
            </w:r>
          </w:p>
          <w:p w14:paraId="006A9DFE" w14:textId="77777777" w:rsidR="00E21638" w:rsidRPr="00B222AB" w:rsidRDefault="00E21638" w:rsidP="00E21638">
            <w:pPr>
              <w:pStyle w:val="TableBullet"/>
              <w:numPr>
                <w:ilvl w:val="0"/>
                <w:numId w:val="5"/>
              </w:numPr>
            </w:pPr>
            <w:r w:rsidRPr="00B222AB">
              <w:t xml:space="preserve">Some suggested that retailers have been engaging better, for example, through notices from retailers, tools to keep people out of arrears, and actively asking questions to find out whether customers are entitled to concessions or benefits. </w:t>
            </w:r>
          </w:p>
          <w:p w14:paraId="153BBFCA" w14:textId="77777777" w:rsidR="00E21638" w:rsidRDefault="00E21638" w:rsidP="00E21638">
            <w:pPr>
              <w:pStyle w:val="TableBullet"/>
              <w:numPr>
                <w:ilvl w:val="0"/>
                <w:numId w:val="5"/>
              </w:numPr>
            </w:pPr>
            <w:r w:rsidRPr="00B222AB">
              <w:t xml:space="preserve">The underlying premise to the framework is that customers are entitled to assistance. One retailer noted that if someone asks for help, proof is not required and that if customers request assistance, it is provided. </w:t>
            </w:r>
          </w:p>
          <w:p w14:paraId="303969CC" w14:textId="77777777" w:rsidR="00E21638" w:rsidRDefault="00E21638" w:rsidP="00E21638">
            <w:pPr>
              <w:pStyle w:val="TableBullet"/>
              <w:numPr>
                <w:ilvl w:val="0"/>
                <w:numId w:val="5"/>
              </w:numPr>
            </w:pPr>
            <w:r w:rsidRPr="00B222AB">
              <w:t xml:space="preserve">Other forms of assistance are also important, such as concessions, grants, and the pay-on-time discount. </w:t>
            </w:r>
          </w:p>
          <w:p w14:paraId="259C8C0B" w14:textId="77777777" w:rsidR="00E21638" w:rsidRPr="00B222AB" w:rsidRDefault="00E21638" w:rsidP="00E21638">
            <w:pPr>
              <w:pStyle w:val="TableBullet"/>
              <w:numPr>
                <w:ilvl w:val="0"/>
                <w:numId w:val="5"/>
              </w:numPr>
            </w:pPr>
            <w:r w:rsidRPr="00B222AB">
              <w:lastRenderedPageBreak/>
              <w:t xml:space="preserve">There were also some positive examples of payment matching processes. </w:t>
            </w:r>
          </w:p>
          <w:p w14:paraId="01B5446D" w14:textId="77777777" w:rsidR="00E21638" w:rsidRPr="00B222AB" w:rsidRDefault="00E21638" w:rsidP="00E21638">
            <w:pPr>
              <w:pStyle w:val="TableBullet"/>
              <w:numPr>
                <w:ilvl w:val="0"/>
                <w:numId w:val="5"/>
              </w:numPr>
            </w:pPr>
            <w:r w:rsidRPr="00B222AB">
              <w:t>Participants noted that the framework is working to prevent disconnections and that disconnections should remain a last resort.</w:t>
            </w:r>
          </w:p>
          <w:p w14:paraId="220EAAD5" w14:textId="77777777" w:rsidR="00E21638" w:rsidRPr="00B222AB" w:rsidRDefault="00E21638" w:rsidP="00E21638">
            <w:pPr>
              <w:pStyle w:val="TableBullet"/>
              <w:numPr>
                <w:ilvl w:val="0"/>
                <w:numId w:val="5"/>
              </w:numPr>
            </w:pPr>
            <w:r w:rsidRPr="00B222AB">
              <w:t>The training to community workers by the commission when the framework review was implemented worked well.</w:t>
            </w:r>
          </w:p>
        </w:tc>
      </w:tr>
      <w:tr w:rsidR="00E21638" w:rsidRPr="00B222AB" w14:paraId="5F32F3E5" w14:textId="77777777" w:rsidTr="002A11EE">
        <w:trPr>
          <w:cnfStyle w:val="000000010000" w:firstRow="0" w:lastRow="0" w:firstColumn="0" w:lastColumn="0" w:oddVBand="0" w:evenVBand="0" w:oddHBand="0" w:evenHBand="1" w:firstRowFirstColumn="0" w:firstRowLastColumn="0" w:lastRowFirstColumn="0" w:lastRowLastColumn="0"/>
          <w:trHeight w:val="20"/>
        </w:trPr>
        <w:tc>
          <w:tcPr>
            <w:tcW w:w="0" w:type="auto"/>
            <w:gridSpan w:val="2"/>
            <w:shd w:val="clear" w:color="auto" w:fill="4986A0" w:themeFill="text2"/>
            <w:vAlign w:val="center"/>
          </w:tcPr>
          <w:p w14:paraId="0131666C" w14:textId="77777777" w:rsidR="00E21638" w:rsidRPr="00B222AB" w:rsidRDefault="00E21638" w:rsidP="00B13430">
            <w:pPr>
              <w:pStyle w:val="1"/>
            </w:pPr>
            <w:r w:rsidRPr="00E00206">
              <w:lastRenderedPageBreak/>
              <w:t>Variation between retailers</w:t>
            </w:r>
          </w:p>
        </w:tc>
      </w:tr>
      <w:tr w:rsidR="00E21638" w:rsidRPr="00B222AB" w14:paraId="5A5173B9" w14:textId="77777777" w:rsidTr="004F1BC7">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40C3724B" w14:textId="2C93FF9A" w:rsidR="00E21638" w:rsidRPr="00B222AB" w:rsidRDefault="00E21638" w:rsidP="004F1BC7">
            <w:r w:rsidRPr="006C756F">
              <w:rPr>
                <w:noProof/>
              </w:rPr>
              <mc:AlternateContent>
                <mc:Choice Requires="wps">
                  <w:drawing>
                    <wp:anchor distT="0" distB="0" distL="114300" distR="114300" simplePos="0" relativeHeight="251658245" behindDoc="0" locked="0" layoutInCell="1" allowOverlap="1" wp14:anchorId="78299B96" wp14:editId="6C810A78">
                      <wp:simplePos x="0" y="0"/>
                      <wp:positionH relativeFrom="column">
                        <wp:posOffset>16510</wp:posOffset>
                      </wp:positionH>
                      <wp:positionV relativeFrom="paragraph">
                        <wp:posOffset>-414655</wp:posOffset>
                      </wp:positionV>
                      <wp:extent cx="914400" cy="914400"/>
                      <wp:effectExtent l="0" t="0" r="0" b="0"/>
                      <wp:wrapTopAndBottom/>
                      <wp:docPr id="7" name="Rectangle: Rounded Corners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400" cy="914400"/>
                              </a:xfrm>
                              <a:prstGeom prst="roundRect">
                                <a:avLst/>
                              </a:prstGeom>
                              <a:blipFill>
                                <a:blip r:embed="rId167" cstate="print">
                                  <a:extLst>
                                    <a:ext uri="{28A0092B-C50C-407E-A947-70E740481C1C}">
                                      <a14:useLocalDpi xmlns:a14="http://schemas.microsoft.com/office/drawing/2010/main" val="0"/>
                                    </a:ext>
                                    <a:ext uri="{96DAC541-7B7A-43D3-8B79-37D633B846F1}">
                                      <asvg:svgBlip xmlns:asvg="http://schemas.microsoft.com/office/drawing/2016/SVG/main" r:embed="rId168"/>
                                    </a:ext>
                                  </a:extLst>
                                </a:blip>
                                <a:srcRect/>
                                <a:stretch>
                                  <a:fillRect t="-13000" b="-13000"/>
                                </a:stretch>
                              </a:blipFill>
                              <a:ln>
                                <a:noFill/>
                              </a:ln>
                            </wps:spPr>
                            <wps:style>
                              <a:lnRef idx="2">
                                <a:schemeClr val="lt1">
                                  <a:hueOff val="0"/>
                                  <a:satOff val="0"/>
                                  <a:lumOff val="0"/>
                                  <a:alphaOff val="0"/>
                                </a:schemeClr>
                              </a:lnRef>
                              <a:fillRef idx="1">
                                <a:scrgbClr r="0" g="0" b="0"/>
                              </a:fillRef>
                              <a:effectRef idx="0">
                                <a:schemeClr val="accent3">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w14:anchorId="53D7459D" id="Rectangle: Rounded Corners 34" o:spid="_x0000_s1026" alt="&quot;&quot;" style="position:absolute;margin-left:1.3pt;margin-top:-32.65pt;width:1in;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" stroked="f" strokeweight="1pt">
                      <v:fill r:id="rId169" o:title="" recolor="t" rotate="t" type="frame"/>
                      <v:stroke joinstyle="miter"/>
                      <w10:wrap type="topAndBottom"/>
                    </v:roundrect>
                  </w:pict>
                </mc:Fallback>
              </mc:AlternateContent>
            </w:r>
          </w:p>
        </w:tc>
        <w:tc>
          <w:tcPr>
            <w:tcW w:w="0" w:type="auto"/>
          </w:tcPr>
          <w:p w14:paraId="250489A1" w14:textId="77777777" w:rsidR="00E21638" w:rsidRPr="00B222AB" w:rsidRDefault="00E21638" w:rsidP="004F1BC7">
            <w:r w:rsidRPr="00B222AB">
              <w:t xml:space="preserve">Workshop participants noted that in their experience, there was variation between the energy retailers about how the framework was being implemented: </w:t>
            </w:r>
          </w:p>
          <w:p w14:paraId="3A20ABEC" w14:textId="77777777" w:rsidR="00E21638" w:rsidRPr="00B222AB" w:rsidRDefault="00E21638" w:rsidP="00E21638">
            <w:pPr>
              <w:pStyle w:val="TableBullet"/>
              <w:numPr>
                <w:ilvl w:val="0"/>
                <w:numId w:val="5"/>
              </w:numPr>
            </w:pPr>
            <w:r w:rsidRPr="00B222AB">
              <w:t>Despite heavily scripted processes, there are still gaps that result in people missing out on grants and/or concessions. For example, some have expressed concern about inconsistency between retailers in offering utility relief grants, and even awareness of utility relief grants within retailers.</w:t>
            </w:r>
          </w:p>
          <w:p w14:paraId="12704CB0" w14:textId="77777777" w:rsidR="00E21638" w:rsidRPr="00B222AB" w:rsidRDefault="00E21638" w:rsidP="00E21638">
            <w:pPr>
              <w:pStyle w:val="TableBullet"/>
              <w:numPr>
                <w:ilvl w:val="0"/>
                <w:numId w:val="5"/>
              </w:numPr>
            </w:pPr>
            <w:r w:rsidRPr="00B222AB">
              <w:t>Someone raised the question of whether there are business practices that lead to certain business outcomes? For example, are there KPIs set for call centre staff that lead to certain outcomes?</w:t>
            </w:r>
          </w:p>
          <w:p w14:paraId="793AA824" w14:textId="77777777" w:rsidR="00E21638" w:rsidRPr="00B222AB" w:rsidRDefault="00E21638" w:rsidP="00E21638">
            <w:pPr>
              <w:pStyle w:val="TableBullet"/>
              <w:numPr>
                <w:ilvl w:val="0"/>
                <w:numId w:val="5"/>
              </w:numPr>
            </w:pPr>
            <w:r w:rsidRPr="00B222AB">
              <w:t>Some suggested that debt collectors do not always comply with the framework and were concerned how this reflects on the energy provider, as the collection agency can be perceived as being part of the same business.</w:t>
            </w:r>
          </w:p>
        </w:tc>
      </w:tr>
      <w:tr w:rsidR="00E21638" w:rsidRPr="00B222AB" w14:paraId="59D3F4DF" w14:textId="77777777" w:rsidTr="002A11EE">
        <w:trPr>
          <w:cnfStyle w:val="000000010000" w:firstRow="0" w:lastRow="0" w:firstColumn="0" w:lastColumn="0" w:oddVBand="0" w:evenVBand="0" w:oddHBand="0" w:evenHBand="1" w:firstRowFirstColumn="0" w:firstRowLastColumn="0" w:lastRowFirstColumn="0" w:lastRowLastColumn="0"/>
          <w:trHeight w:val="20"/>
        </w:trPr>
        <w:tc>
          <w:tcPr>
            <w:tcW w:w="0" w:type="auto"/>
            <w:gridSpan w:val="2"/>
            <w:shd w:val="clear" w:color="auto" w:fill="4986A0" w:themeFill="text2"/>
            <w:vAlign w:val="center"/>
          </w:tcPr>
          <w:p w14:paraId="01D169C9" w14:textId="77777777" w:rsidR="00E21638" w:rsidRPr="00D50575" w:rsidRDefault="00E21638" w:rsidP="00B13430">
            <w:pPr>
              <w:pStyle w:val="1"/>
            </w:pPr>
            <w:r w:rsidRPr="00D50575">
              <w:rPr>
                <w:color w:val="auto"/>
              </w:rPr>
              <w:br w:type="page"/>
            </w:r>
            <w:r w:rsidRPr="00D50575">
              <w:t>Retailer staff training</w:t>
            </w:r>
          </w:p>
        </w:tc>
      </w:tr>
      <w:tr w:rsidR="00E21638" w:rsidRPr="00B222AB" w14:paraId="47B143CB" w14:textId="77777777" w:rsidTr="004F1BC7">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3365F957" w14:textId="77777777" w:rsidR="00E21638" w:rsidRPr="00B222AB" w:rsidRDefault="00E21638" w:rsidP="004F1BC7">
            <w:r>
              <w:rPr>
                <w:noProof/>
              </w:rPr>
              <w:drawing>
                <wp:inline distT="0" distB="0" distL="0" distR="0" wp14:anchorId="714337C5" wp14:editId="2D7B99C0">
                  <wp:extent cx="914400" cy="914400"/>
                  <wp:effectExtent l="0" t="0" r="0" b="0"/>
                  <wp:docPr id="99998" name="Graphic 99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 name="Graphic 99998">
                            <a:extLst>
                              <a:ext uri="{C183D7F6-B498-43B3-948B-1728B52AA6E4}">
                                <adec:decorative xmlns:adec="http://schemas.microsoft.com/office/drawing/2017/decorative" val="1"/>
                              </a:ext>
                            </a:extLst>
                          </pic:cNvPr>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914400" cy="914400"/>
                          </a:xfrm>
                          <a:prstGeom prst="rect">
                            <a:avLst/>
                          </a:prstGeom>
                        </pic:spPr>
                      </pic:pic>
                    </a:graphicData>
                  </a:graphic>
                </wp:inline>
              </w:drawing>
            </w:r>
          </w:p>
        </w:tc>
        <w:tc>
          <w:tcPr>
            <w:tcW w:w="0" w:type="auto"/>
          </w:tcPr>
          <w:p w14:paraId="6A1B3F6B" w14:textId="77777777" w:rsidR="00E21638" w:rsidRPr="00B222AB" w:rsidRDefault="00E21638" w:rsidP="004F1BC7">
            <w:r w:rsidRPr="00B222AB">
              <w:t>There was mixed feedback on the level of awareness among retail staff about the entitlements under the framework.</w:t>
            </w:r>
          </w:p>
          <w:p w14:paraId="325CCA48" w14:textId="77777777" w:rsidR="00E21638" w:rsidRPr="00B222AB" w:rsidRDefault="00E21638" w:rsidP="00E21638">
            <w:pPr>
              <w:pStyle w:val="TableBullet"/>
              <w:numPr>
                <w:ilvl w:val="0"/>
                <w:numId w:val="5"/>
              </w:numPr>
            </w:pPr>
            <w:r w:rsidRPr="00B222AB">
              <w:t xml:space="preserve">Some participants suggested there was broad awareness of entitlements across businesses and not just in hardship teams. </w:t>
            </w:r>
          </w:p>
          <w:p w14:paraId="2CC900E7" w14:textId="77777777" w:rsidR="00E21638" w:rsidRPr="00B222AB" w:rsidRDefault="00E21638" w:rsidP="00E21638">
            <w:pPr>
              <w:pStyle w:val="TableBullet"/>
              <w:numPr>
                <w:ilvl w:val="0"/>
                <w:numId w:val="5"/>
              </w:numPr>
            </w:pPr>
            <w:r w:rsidRPr="00B222AB">
              <w:t xml:space="preserve">Other participants suggested that this was not the case, or that there was still a need to develop specialist skills for teams, such as customer service staff being trained by hardship team members. </w:t>
            </w:r>
          </w:p>
          <w:p w14:paraId="3634621B" w14:textId="77777777" w:rsidR="00E21638" w:rsidRPr="00B222AB" w:rsidRDefault="00E21638" w:rsidP="00E21638">
            <w:pPr>
              <w:pStyle w:val="TableBullet"/>
              <w:numPr>
                <w:ilvl w:val="0"/>
                <w:numId w:val="5"/>
              </w:numPr>
            </w:pPr>
            <w:r w:rsidRPr="00B222AB">
              <w:t>Empathy and identifying customers experiencing financial hardship were noted as important elements of training.</w:t>
            </w:r>
          </w:p>
          <w:p w14:paraId="12A46487" w14:textId="77777777" w:rsidR="00E21638" w:rsidRPr="00B222AB" w:rsidRDefault="00E21638" w:rsidP="00E21638">
            <w:pPr>
              <w:pStyle w:val="TableBullet"/>
              <w:numPr>
                <w:ilvl w:val="0"/>
                <w:numId w:val="5"/>
              </w:numPr>
            </w:pPr>
            <w:r w:rsidRPr="00B222AB">
              <w:t>It was noted that financial counsellors often observe a disconnect between retailer’s official response processes and the reality of customer and advocate interaction with retailer front line staff.</w:t>
            </w:r>
          </w:p>
        </w:tc>
      </w:tr>
    </w:tbl>
    <w:p w14:paraId="768297C9" w14:textId="77777777" w:rsidR="00E21638" w:rsidRDefault="00E21638" w:rsidP="00E21638">
      <w:r>
        <w:br w:type="page"/>
      </w:r>
    </w:p>
    <w:tbl>
      <w:tblPr>
        <w:tblStyle w:val="TableGrid"/>
        <w:tblW w:w="0" w:type="auto"/>
        <w:tblLook w:val="04A0" w:firstRow="1" w:lastRow="0" w:firstColumn="1" w:lastColumn="0" w:noHBand="0" w:noVBand="1"/>
      </w:tblPr>
      <w:tblGrid>
        <w:gridCol w:w="1582"/>
        <w:gridCol w:w="8056"/>
      </w:tblGrid>
      <w:tr w:rsidR="00E21638" w:rsidRPr="00B222AB" w14:paraId="004BC3CD" w14:textId="77777777" w:rsidTr="002A11EE">
        <w:trPr>
          <w:cnfStyle w:val="100000000000" w:firstRow="1" w:lastRow="0" w:firstColumn="0" w:lastColumn="0" w:oddVBand="0" w:evenVBand="0" w:oddHBand="0" w:evenHBand="0" w:firstRowFirstColumn="0" w:firstRowLastColumn="0" w:lastRowFirstColumn="0" w:lastRowLastColumn="0"/>
          <w:trHeight w:val="20"/>
        </w:trPr>
        <w:tc>
          <w:tcPr>
            <w:tcW w:w="0" w:type="auto"/>
            <w:gridSpan w:val="2"/>
            <w:vAlign w:val="center"/>
          </w:tcPr>
          <w:p w14:paraId="0B060072" w14:textId="77777777" w:rsidR="00E21638" w:rsidRPr="00B13430" w:rsidRDefault="00E21638" w:rsidP="00B13430">
            <w:pPr>
              <w:pStyle w:val="1"/>
              <w:rPr>
                <w:b/>
                <w:bCs/>
              </w:rPr>
            </w:pPr>
            <w:r w:rsidRPr="00B13430">
              <w:rPr>
                <w:b/>
                <w:bCs/>
              </w:rPr>
              <w:lastRenderedPageBreak/>
              <w:t>Limitations in managing the on-going accrual of debt</w:t>
            </w:r>
          </w:p>
        </w:tc>
      </w:tr>
      <w:tr w:rsidR="00E21638" w:rsidRPr="00B222AB" w14:paraId="11FC68FE" w14:textId="77777777" w:rsidTr="004F1BC7">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75A32D4B" w14:textId="77777777" w:rsidR="00E21638" w:rsidRPr="00B222AB" w:rsidRDefault="00E21638" w:rsidP="004F1BC7">
            <w:r>
              <w:rPr>
                <w:noProof/>
              </w:rPr>
              <w:drawing>
                <wp:inline distT="0" distB="0" distL="0" distR="0" wp14:anchorId="5CE1B829" wp14:editId="79C633D6">
                  <wp:extent cx="914400" cy="914400"/>
                  <wp:effectExtent l="0" t="0" r="0" b="0"/>
                  <wp:docPr id="100000" name="Graphic 100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0" name="Graphic 100000">
                            <a:extLst>
                              <a:ext uri="{C183D7F6-B498-43B3-948B-1728B52AA6E4}">
                                <adec:decorative xmlns:adec="http://schemas.microsoft.com/office/drawing/2017/decorative" val="1"/>
                              </a:ext>
                            </a:extLst>
                          </pic:cNvPr>
                          <pic:cNvPicPr/>
                        </pic:nvPicPr>
                        <pic:blipFill>
                          <a:blip r:embed="rId172">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914400" cy="914400"/>
                          </a:xfrm>
                          <a:prstGeom prst="rect">
                            <a:avLst/>
                          </a:prstGeom>
                        </pic:spPr>
                      </pic:pic>
                    </a:graphicData>
                  </a:graphic>
                </wp:inline>
              </w:drawing>
            </w:r>
          </w:p>
        </w:tc>
        <w:tc>
          <w:tcPr>
            <w:tcW w:w="0" w:type="auto"/>
          </w:tcPr>
          <w:p w14:paraId="100D7B54" w14:textId="77777777" w:rsidR="00E21638" w:rsidRPr="00B222AB" w:rsidRDefault="00E21638" w:rsidP="00E21638">
            <w:pPr>
              <w:pStyle w:val="TableBullet"/>
              <w:numPr>
                <w:ilvl w:val="0"/>
                <w:numId w:val="5"/>
              </w:numPr>
            </w:pPr>
            <w:r w:rsidRPr="00B222AB">
              <w:t xml:space="preserve">Some stakeholders highlighted that the framework was working to prevent disconnections but was not addressing the management or build-up of arrears. </w:t>
            </w:r>
          </w:p>
          <w:p w14:paraId="704108B9" w14:textId="77777777" w:rsidR="00E21638" w:rsidRPr="00B222AB" w:rsidRDefault="00E21638" w:rsidP="00E21638">
            <w:pPr>
              <w:pStyle w:val="TableBullet"/>
              <w:numPr>
                <w:ilvl w:val="0"/>
                <w:numId w:val="5"/>
              </w:numPr>
            </w:pPr>
            <w:r w:rsidRPr="00B222AB">
              <w:t xml:space="preserve">Some noted the increasing number of customers with large bills and arrears, particularly that these customers often had other debts and obligations. </w:t>
            </w:r>
          </w:p>
          <w:p w14:paraId="09F89ECA" w14:textId="77777777" w:rsidR="00E21638" w:rsidRPr="00B222AB" w:rsidRDefault="00E21638" w:rsidP="00E21638">
            <w:pPr>
              <w:pStyle w:val="TableBullet"/>
              <w:numPr>
                <w:ilvl w:val="0"/>
                <w:numId w:val="5"/>
              </w:numPr>
            </w:pPr>
            <w:r w:rsidRPr="00B222AB">
              <w:t xml:space="preserve">Others raised that unemployment and reduced income relating to the pandemic made it more difficult for customers to cover their utility bills. </w:t>
            </w:r>
          </w:p>
          <w:p w14:paraId="21F06F58" w14:textId="77777777" w:rsidR="00E21638" w:rsidRPr="00B222AB" w:rsidRDefault="00E21638" w:rsidP="00E21638">
            <w:pPr>
              <w:pStyle w:val="TableBullet"/>
              <w:numPr>
                <w:ilvl w:val="0"/>
                <w:numId w:val="5"/>
              </w:numPr>
            </w:pPr>
            <w:r w:rsidRPr="00B222AB">
              <w:t xml:space="preserve">The issue of debt holds for customers who cannot pay usage and the challenge of avoiding debt accrual while respecting customer’s ability to make payments were also raised. </w:t>
            </w:r>
          </w:p>
          <w:p w14:paraId="1FEC5325" w14:textId="77777777" w:rsidR="00E21638" w:rsidRPr="00B222AB" w:rsidRDefault="00E21638" w:rsidP="00E21638">
            <w:pPr>
              <w:pStyle w:val="TableBullet"/>
              <w:numPr>
                <w:ilvl w:val="0"/>
                <w:numId w:val="5"/>
              </w:numPr>
            </w:pPr>
            <w:r w:rsidRPr="00B222AB">
              <w:t>Some mentioned the successful use of debt-waivers to manage high debts but were concerned about some customers who repeat this cycle. Some advocated for greater government support to help clear debts.</w:t>
            </w:r>
          </w:p>
          <w:p w14:paraId="483E738E" w14:textId="77777777" w:rsidR="00E21638" w:rsidRPr="00B222AB" w:rsidRDefault="00E21638" w:rsidP="00E21638">
            <w:pPr>
              <w:pStyle w:val="TableBullet"/>
              <w:numPr>
                <w:ilvl w:val="0"/>
                <w:numId w:val="5"/>
              </w:numPr>
            </w:pPr>
            <w:r w:rsidRPr="00B222AB">
              <w:t xml:space="preserve">One participant noted that changes to the wrongful disconnection payment rules and penalties might drive retailer behaviour change. However, it may also lead to higher debts due to potential compliance issues or penalties for retailers if customers are not engaging. </w:t>
            </w:r>
          </w:p>
          <w:p w14:paraId="1EE3E282" w14:textId="77777777" w:rsidR="00E21638" w:rsidRPr="00B222AB" w:rsidRDefault="00E21638" w:rsidP="00E21638">
            <w:pPr>
              <w:pStyle w:val="TableBullet"/>
              <w:numPr>
                <w:ilvl w:val="0"/>
                <w:numId w:val="5"/>
              </w:numPr>
            </w:pPr>
            <w:r w:rsidRPr="00B222AB">
              <w:t>Some noted that customers can be reluctant to move retailers if they have a large debt. Another suggested they will default rather than switch, and so be moved to a local area retailer.</w:t>
            </w:r>
            <w:r w:rsidRPr="00D813FA">
              <w:rPr>
                <w:vertAlign w:val="superscript"/>
              </w:rPr>
              <w:footnoteReference w:id="152"/>
            </w:r>
          </w:p>
          <w:p w14:paraId="2775597D" w14:textId="77777777" w:rsidR="00E21638" w:rsidRPr="00B222AB" w:rsidRDefault="00E21638" w:rsidP="00E21638">
            <w:pPr>
              <w:pStyle w:val="TableBullet"/>
              <w:numPr>
                <w:ilvl w:val="0"/>
                <w:numId w:val="5"/>
              </w:numPr>
            </w:pPr>
            <w:r w:rsidRPr="00B222AB">
              <w:t xml:space="preserve">Others raised the issue of retrospective quarterly billing, which means customers are already in arrears when they receive their bill. </w:t>
            </w:r>
          </w:p>
          <w:p w14:paraId="5BF6D618" w14:textId="77777777" w:rsidR="00E21638" w:rsidRPr="00B222AB" w:rsidRDefault="00E21638" w:rsidP="00E21638">
            <w:pPr>
              <w:pStyle w:val="TableBullet"/>
              <w:numPr>
                <w:ilvl w:val="0"/>
                <w:numId w:val="5"/>
              </w:numPr>
            </w:pPr>
            <w:r w:rsidRPr="00B222AB">
              <w:t xml:space="preserve">Also related to utility relief grants, there was concern that there is a backlog in processing these applications which will impact the accrual of debt. </w:t>
            </w:r>
          </w:p>
          <w:p w14:paraId="27802DB6" w14:textId="77777777" w:rsidR="00E21638" w:rsidRPr="00B222AB" w:rsidRDefault="00E21638" w:rsidP="00E21638">
            <w:pPr>
              <w:pStyle w:val="TableBullet"/>
              <w:numPr>
                <w:ilvl w:val="0"/>
                <w:numId w:val="5"/>
              </w:numPr>
            </w:pPr>
            <w:r w:rsidRPr="00B222AB">
              <w:t>Another questioned the purpose of tailored assistance, stating that it seems to be more focused on keeping customers connected rather than reducing their debt levels. This was also described as a balancing act between large debts and customer harm being balanced against disconnection.</w:t>
            </w:r>
          </w:p>
          <w:p w14:paraId="7B667488" w14:textId="77777777" w:rsidR="00E21638" w:rsidRPr="00B222AB" w:rsidRDefault="00E21638" w:rsidP="00E21638">
            <w:pPr>
              <w:pStyle w:val="TableBullet"/>
              <w:numPr>
                <w:ilvl w:val="0"/>
                <w:numId w:val="5"/>
              </w:numPr>
            </w:pPr>
            <w:r w:rsidRPr="00B222AB">
              <w:t xml:space="preserve">Some workshop participants expressed concern about the two-year time limit for payment plans. While there was agreement that payment plans should not last forever, the current situation sometimes results in people agreeing to </w:t>
            </w:r>
            <w:r w:rsidRPr="00B222AB">
              <w:lastRenderedPageBreak/>
              <w:t xml:space="preserve">unsustainable and unaffordable plans. </w:t>
            </w:r>
          </w:p>
          <w:p w14:paraId="2491884F" w14:textId="77777777" w:rsidR="00E21638" w:rsidRPr="00B222AB" w:rsidRDefault="00E21638" w:rsidP="00E21638">
            <w:pPr>
              <w:pStyle w:val="TableBullet"/>
              <w:numPr>
                <w:ilvl w:val="0"/>
                <w:numId w:val="5"/>
              </w:numPr>
            </w:pPr>
            <w:r w:rsidRPr="00B222AB">
              <w:t>One noted that very high debts were not suitable for a payment plan.</w:t>
            </w:r>
          </w:p>
          <w:p w14:paraId="7E26FEC2" w14:textId="77777777" w:rsidR="00E21638" w:rsidRPr="00B222AB" w:rsidRDefault="00E21638" w:rsidP="00E21638">
            <w:pPr>
              <w:pStyle w:val="TableBullet"/>
              <w:numPr>
                <w:ilvl w:val="0"/>
                <w:numId w:val="5"/>
              </w:numPr>
            </w:pPr>
            <w:r w:rsidRPr="00B222AB">
              <w:t xml:space="preserve">Energy efficiency measures were noted as a way of helping reduce debt and ongoing usage costs. However, energy efficiency modifications were raised as something that was out of reach for those who are least able to afford their consumption. </w:t>
            </w:r>
          </w:p>
          <w:p w14:paraId="3908644B" w14:textId="77777777" w:rsidR="00E21638" w:rsidRPr="00B222AB" w:rsidRDefault="00E21638" w:rsidP="00E21638">
            <w:pPr>
              <w:pStyle w:val="TableBullet"/>
              <w:numPr>
                <w:ilvl w:val="0"/>
                <w:numId w:val="5"/>
              </w:numPr>
            </w:pPr>
            <w:r w:rsidRPr="00B222AB">
              <w:t xml:space="preserve">Also raised was the limitation on renters to make energy efficiency improvements. </w:t>
            </w:r>
          </w:p>
        </w:tc>
      </w:tr>
      <w:tr w:rsidR="00E21638" w:rsidRPr="00B222AB" w14:paraId="13CA4A36" w14:textId="77777777" w:rsidTr="002A11EE">
        <w:trPr>
          <w:cnfStyle w:val="000000010000" w:firstRow="0" w:lastRow="0" w:firstColumn="0" w:lastColumn="0" w:oddVBand="0" w:evenVBand="0" w:oddHBand="0" w:evenHBand="1" w:firstRowFirstColumn="0" w:firstRowLastColumn="0" w:lastRowFirstColumn="0" w:lastRowLastColumn="0"/>
          <w:trHeight w:val="20"/>
        </w:trPr>
        <w:tc>
          <w:tcPr>
            <w:tcW w:w="0" w:type="auto"/>
            <w:gridSpan w:val="2"/>
            <w:shd w:val="clear" w:color="auto" w:fill="4986A0" w:themeFill="text2"/>
            <w:vAlign w:val="center"/>
          </w:tcPr>
          <w:p w14:paraId="1B54804A" w14:textId="77777777" w:rsidR="00E21638" w:rsidRPr="00912012" w:rsidRDefault="00E21638" w:rsidP="00B13430">
            <w:pPr>
              <w:pStyle w:val="1"/>
            </w:pPr>
            <w:r w:rsidRPr="00912012">
              <w:lastRenderedPageBreak/>
              <w:t>Improving implementation</w:t>
            </w:r>
          </w:p>
        </w:tc>
      </w:tr>
      <w:tr w:rsidR="00E21638" w:rsidRPr="00B222AB" w14:paraId="77F74056" w14:textId="77777777" w:rsidTr="004F1BC7">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528DBD5A" w14:textId="44C19102" w:rsidR="00E21638" w:rsidRPr="00B222AB" w:rsidRDefault="00E21638" w:rsidP="004F1BC7">
            <w:r>
              <w:rPr>
                <w:noProof/>
              </w:rPr>
              <w:drawing>
                <wp:anchor distT="0" distB="0" distL="114300" distR="114300" simplePos="0" relativeHeight="251658252" behindDoc="0" locked="0" layoutInCell="1" allowOverlap="1" wp14:anchorId="1F727DD7" wp14:editId="43BF97D2">
                  <wp:simplePos x="0" y="0"/>
                  <wp:positionH relativeFrom="column">
                    <wp:posOffset>0</wp:posOffset>
                  </wp:positionH>
                  <wp:positionV relativeFrom="paragraph">
                    <wp:posOffset>-495935</wp:posOffset>
                  </wp:positionV>
                  <wp:extent cx="914400" cy="914400"/>
                  <wp:effectExtent l="0" t="0" r="0" b="0"/>
                  <wp:wrapNone/>
                  <wp:docPr id="100001" name="Graphic 100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Graphic 100001">
                            <a:extLst>
                              <a:ext uri="{C183D7F6-B498-43B3-948B-1728B52AA6E4}">
                                <adec:decorative xmlns:adec="http://schemas.microsoft.com/office/drawing/2017/decorative" val="1"/>
                              </a:ext>
                            </a:extLst>
                          </pic:cNvPr>
                          <pic:cNvPicPr/>
                        </pic:nvPicPr>
                        <pic:blipFill>
                          <a:blip r:embed="rId174">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Pr>
          <w:p w14:paraId="22A60754" w14:textId="77777777" w:rsidR="00E21638" w:rsidRPr="00B222AB" w:rsidRDefault="00E21638" w:rsidP="00E21638">
            <w:pPr>
              <w:pStyle w:val="TableBullet"/>
              <w:numPr>
                <w:ilvl w:val="0"/>
                <w:numId w:val="5"/>
              </w:numPr>
            </w:pPr>
            <w:r w:rsidRPr="00B222AB">
              <w:t>Workshop participants noted that customer debt remains an ongoing issue under the implementation of the framework.</w:t>
            </w:r>
          </w:p>
          <w:p w14:paraId="5673EEFE" w14:textId="77777777" w:rsidR="00E21638" w:rsidRPr="00B222AB" w:rsidRDefault="00E21638" w:rsidP="00E21638">
            <w:pPr>
              <w:pStyle w:val="TableBullet"/>
              <w:numPr>
                <w:ilvl w:val="0"/>
                <w:numId w:val="5"/>
              </w:numPr>
            </w:pPr>
            <w:r w:rsidRPr="00B222AB">
              <w:t>Stakeholders questioned whether high debt levels could be prevented if the customer does not engage with their retailer, particularly given the framework relies on the customer to engage.</w:t>
            </w:r>
          </w:p>
          <w:p w14:paraId="38A45912" w14:textId="77777777" w:rsidR="00E21638" w:rsidRPr="00B222AB" w:rsidRDefault="00E21638" w:rsidP="00E21638">
            <w:pPr>
              <w:pStyle w:val="TableBullet"/>
              <w:numPr>
                <w:ilvl w:val="0"/>
                <w:numId w:val="5"/>
              </w:numPr>
            </w:pPr>
            <w:r w:rsidRPr="00B222AB">
              <w:t xml:space="preserve">Stakeholders raised concerns on how to best manage the build-up of customer arrears. </w:t>
            </w:r>
          </w:p>
          <w:p w14:paraId="13F9D65E" w14:textId="77777777" w:rsidR="00E21638" w:rsidRPr="00B222AB" w:rsidRDefault="00E21638" w:rsidP="00E21638">
            <w:pPr>
              <w:pStyle w:val="TableBullet"/>
              <w:numPr>
                <w:ilvl w:val="0"/>
                <w:numId w:val="5"/>
              </w:numPr>
            </w:pPr>
            <w:r w:rsidRPr="00B222AB">
              <w:t xml:space="preserve">Participants asked how assistance can be provided while balancing debt accrual. </w:t>
            </w:r>
          </w:p>
          <w:p w14:paraId="72A18AEB" w14:textId="77777777" w:rsidR="00E21638" w:rsidRPr="00B222AB" w:rsidRDefault="00E21638" w:rsidP="00E21638">
            <w:pPr>
              <w:pStyle w:val="TableBullet"/>
              <w:numPr>
                <w:ilvl w:val="0"/>
                <w:numId w:val="5"/>
              </w:numPr>
            </w:pPr>
            <w:r w:rsidRPr="00B222AB">
              <w:t xml:space="preserve">Some suggested whether customers be automatically opted into receiving support. </w:t>
            </w:r>
          </w:p>
          <w:p w14:paraId="3A5B511B" w14:textId="77777777" w:rsidR="00E21638" w:rsidRPr="00B222AB" w:rsidRDefault="00E21638" w:rsidP="00E21638">
            <w:pPr>
              <w:pStyle w:val="TableBullet"/>
              <w:numPr>
                <w:ilvl w:val="0"/>
                <w:numId w:val="5"/>
              </w:numPr>
            </w:pPr>
            <w:r w:rsidRPr="00B222AB">
              <w:t xml:space="preserve">Others raised concerns that the two-year time limit for payment arrangements can lead to unsustainable and unaffordable plans. Payment plans need to be affordable. </w:t>
            </w:r>
          </w:p>
          <w:p w14:paraId="5C435CD6" w14:textId="77777777" w:rsidR="00E21638" w:rsidRPr="00B222AB" w:rsidRDefault="00E21638" w:rsidP="00E21638">
            <w:pPr>
              <w:pStyle w:val="TableBullet"/>
              <w:numPr>
                <w:ilvl w:val="0"/>
                <w:numId w:val="5"/>
              </w:numPr>
            </w:pPr>
            <w:r w:rsidRPr="00B222AB">
              <w:t xml:space="preserve">One questioned whether businesses have enough incentives to reduce customer debt. </w:t>
            </w:r>
          </w:p>
          <w:p w14:paraId="1F4D6A64" w14:textId="77777777" w:rsidR="00E21638" w:rsidRPr="00B222AB" w:rsidRDefault="00E21638" w:rsidP="00E21638">
            <w:pPr>
              <w:pStyle w:val="TableBullet"/>
              <w:numPr>
                <w:ilvl w:val="0"/>
                <w:numId w:val="5"/>
              </w:numPr>
            </w:pPr>
            <w:r w:rsidRPr="00B222AB">
              <w:t>One participant also questioned whether the criteria for access to assistance may be too narrow, especially given the new customer cohorts who are requiring assistance since the coronavirus pandemic.</w:t>
            </w:r>
          </w:p>
        </w:tc>
      </w:tr>
    </w:tbl>
    <w:p w14:paraId="636C246B" w14:textId="77777777" w:rsidR="00E21638" w:rsidRDefault="00E21638" w:rsidP="00E21638">
      <w:r>
        <w:br w:type="page"/>
      </w:r>
    </w:p>
    <w:tbl>
      <w:tblPr>
        <w:tblStyle w:val="TableGrid"/>
        <w:tblW w:w="0" w:type="auto"/>
        <w:tblLook w:val="04A0" w:firstRow="1" w:lastRow="0" w:firstColumn="1" w:lastColumn="0" w:noHBand="0" w:noVBand="1"/>
      </w:tblPr>
      <w:tblGrid>
        <w:gridCol w:w="1582"/>
        <w:gridCol w:w="8056"/>
      </w:tblGrid>
      <w:tr w:rsidR="00E21638" w:rsidRPr="00B222AB" w14:paraId="0188EBF7" w14:textId="77777777" w:rsidTr="002A11EE">
        <w:trPr>
          <w:cnfStyle w:val="100000000000" w:firstRow="1" w:lastRow="0" w:firstColumn="0" w:lastColumn="0" w:oddVBand="0" w:evenVBand="0" w:oddHBand="0" w:evenHBand="0" w:firstRowFirstColumn="0" w:firstRowLastColumn="0" w:lastRowFirstColumn="0" w:lastRowLastColumn="0"/>
          <w:trHeight w:val="20"/>
        </w:trPr>
        <w:tc>
          <w:tcPr>
            <w:tcW w:w="0" w:type="auto"/>
            <w:gridSpan w:val="2"/>
            <w:vAlign w:val="center"/>
          </w:tcPr>
          <w:p w14:paraId="46BDFC68" w14:textId="77777777" w:rsidR="00E21638" w:rsidRPr="00B13430" w:rsidRDefault="00E21638" w:rsidP="00B13430">
            <w:pPr>
              <w:pStyle w:val="1"/>
              <w:rPr>
                <w:b/>
                <w:bCs/>
              </w:rPr>
            </w:pPr>
            <w:r w:rsidRPr="00B13430">
              <w:rPr>
                <w:b/>
                <w:bCs/>
              </w:rPr>
              <w:lastRenderedPageBreak/>
              <w:t>Lowering debt levels on entry to assistance</w:t>
            </w:r>
          </w:p>
        </w:tc>
      </w:tr>
      <w:tr w:rsidR="00E21638" w:rsidRPr="00B222AB" w14:paraId="4E757EAC" w14:textId="77777777" w:rsidTr="004F1BC7">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7CD10F76" w14:textId="77777777" w:rsidR="00E21638" w:rsidRPr="00B222AB" w:rsidRDefault="00E21638" w:rsidP="004F1BC7">
            <w:r>
              <w:rPr>
                <w:noProof/>
              </w:rPr>
              <w:drawing>
                <wp:inline distT="0" distB="0" distL="0" distR="0" wp14:anchorId="1F474C85" wp14:editId="28302F87">
                  <wp:extent cx="914400" cy="914400"/>
                  <wp:effectExtent l="0" t="0" r="0" b="0"/>
                  <wp:docPr id="100003" name="Graphic 100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Graphic 100003">
                            <a:extLst>
                              <a:ext uri="{C183D7F6-B498-43B3-948B-1728B52AA6E4}">
                                <adec:decorative xmlns:adec="http://schemas.microsoft.com/office/drawing/2017/decorative" val="1"/>
                              </a:ext>
                            </a:extLst>
                          </pic:cNvPr>
                          <pic:cNvPicPr/>
                        </pic:nvPicPr>
                        <pic:blipFill>
                          <a:blip r:embed="rId176">
                            <a:extLst>
                              <a:ext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0" y="0"/>
                            <a:ext cx="914400" cy="914400"/>
                          </a:xfrm>
                          <a:prstGeom prst="rect">
                            <a:avLst/>
                          </a:prstGeom>
                        </pic:spPr>
                      </pic:pic>
                    </a:graphicData>
                  </a:graphic>
                </wp:inline>
              </w:drawing>
            </w:r>
          </w:p>
        </w:tc>
        <w:tc>
          <w:tcPr>
            <w:tcW w:w="0" w:type="auto"/>
          </w:tcPr>
          <w:p w14:paraId="7B4B0C90" w14:textId="77777777" w:rsidR="00E21638" w:rsidRPr="00B222AB" w:rsidRDefault="00E21638" w:rsidP="00E21638">
            <w:pPr>
              <w:pStyle w:val="TableBullet"/>
              <w:numPr>
                <w:ilvl w:val="0"/>
                <w:numId w:val="5"/>
              </w:numPr>
            </w:pPr>
            <w:r w:rsidRPr="00B222AB">
              <w:t>There were several suggestions for proactive retailer practices that may result in lower debt levels when people enter the framework. Examples included:</w:t>
            </w:r>
          </w:p>
          <w:p w14:paraId="092DEEDF" w14:textId="77777777" w:rsidR="00E21638" w:rsidRPr="00B222AB" w:rsidRDefault="00E21638" w:rsidP="00E21638">
            <w:pPr>
              <w:pStyle w:val="TableBullet2"/>
              <w:numPr>
                <w:ilvl w:val="1"/>
                <w:numId w:val="5"/>
              </w:numPr>
            </w:pPr>
            <w:r w:rsidRPr="00B222AB">
              <w:t>monthly billing</w:t>
            </w:r>
          </w:p>
          <w:p w14:paraId="42318C8C" w14:textId="77777777" w:rsidR="00E21638" w:rsidRPr="00B222AB" w:rsidRDefault="00E21638" w:rsidP="00E21638">
            <w:pPr>
              <w:pStyle w:val="TableBullet2"/>
              <w:numPr>
                <w:ilvl w:val="1"/>
                <w:numId w:val="5"/>
              </w:numPr>
            </w:pPr>
            <w:r w:rsidRPr="00B222AB">
              <w:t>credit checks</w:t>
            </w:r>
          </w:p>
          <w:p w14:paraId="01E99ECB" w14:textId="77777777" w:rsidR="00E21638" w:rsidRPr="00B222AB" w:rsidRDefault="00E21638" w:rsidP="00E21638">
            <w:pPr>
              <w:pStyle w:val="TableBullet2"/>
              <w:numPr>
                <w:ilvl w:val="1"/>
                <w:numId w:val="5"/>
              </w:numPr>
            </w:pPr>
            <w:r w:rsidRPr="00B222AB">
              <w:t>bill smoothing</w:t>
            </w:r>
          </w:p>
          <w:p w14:paraId="7A7D939B" w14:textId="77777777" w:rsidR="00E21638" w:rsidRPr="00B222AB" w:rsidRDefault="00E21638" w:rsidP="00E21638">
            <w:pPr>
              <w:pStyle w:val="TableBullet2"/>
              <w:numPr>
                <w:ilvl w:val="1"/>
                <w:numId w:val="5"/>
              </w:numPr>
            </w:pPr>
            <w:r w:rsidRPr="00B222AB">
              <w:t>upfront security deposit to have lower prices</w:t>
            </w:r>
          </w:p>
          <w:p w14:paraId="3E94948D" w14:textId="77777777" w:rsidR="00E21638" w:rsidRPr="00B222AB" w:rsidRDefault="00E21638" w:rsidP="00E21638">
            <w:pPr>
              <w:pStyle w:val="TableBullet2"/>
              <w:numPr>
                <w:ilvl w:val="1"/>
                <w:numId w:val="5"/>
              </w:numPr>
            </w:pPr>
            <w:r w:rsidRPr="00B222AB">
              <w:t>phone conversations</w:t>
            </w:r>
          </w:p>
          <w:p w14:paraId="6513BDB6" w14:textId="77777777" w:rsidR="00E21638" w:rsidRPr="00B222AB" w:rsidRDefault="00E21638" w:rsidP="00E21638">
            <w:pPr>
              <w:pStyle w:val="TableBullet2"/>
              <w:numPr>
                <w:ilvl w:val="1"/>
                <w:numId w:val="5"/>
              </w:numPr>
            </w:pPr>
            <w:r w:rsidRPr="00B222AB">
              <w:t>offering utility relief grants and concessions up front and early to encourage engagement</w:t>
            </w:r>
          </w:p>
          <w:p w14:paraId="4161DCD0" w14:textId="77777777" w:rsidR="00E21638" w:rsidRPr="00B222AB" w:rsidRDefault="00E21638" w:rsidP="00E21638">
            <w:pPr>
              <w:pStyle w:val="TableBullet2"/>
              <w:numPr>
                <w:ilvl w:val="1"/>
                <w:numId w:val="5"/>
              </w:numPr>
            </w:pPr>
            <w:r w:rsidRPr="00B222AB">
              <w:t xml:space="preserve">ensuring customers were on one of the best offers. </w:t>
            </w:r>
          </w:p>
          <w:p w14:paraId="6260EE67" w14:textId="77777777" w:rsidR="00E21638" w:rsidRPr="00B222AB" w:rsidRDefault="00E21638" w:rsidP="00E21638">
            <w:pPr>
              <w:pStyle w:val="TableBullet"/>
              <w:numPr>
                <w:ilvl w:val="0"/>
                <w:numId w:val="5"/>
              </w:numPr>
            </w:pPr>
            <w:r w:rsidRPr="00B222AB">
              <w:t xml:space="preserve">Some participants suggested there is opportunity for retailers to be more proactive in identifying markers that indicate support may be required. </w:t>
            </w:r>
          </w:p>
          <w:p w14:paraId="3BA6D343" w14:textId="77777777" w:rsidR="00E21638" w:rsidRPr="00B222AB" w:rsidRDefault="00E21638" w:rsidP="00E21638">
            <w:pPr>
              <w:pStyle w:val="TableBullet"/>
              <w:numPr>
                <w:ilvl w:val="0"/>
                <w:numId w:val="5"/>
              </w:numPr>
            </w:pPr>
            <w:r w:rsidRPr="00B222AB">
              <w:t xml:space="preserve">Some participants suggested there should be a greater focus on early intervention, given that arrears of customers seem quite high. Ensuring that other aspects of the framework are being applied in the early stages, such as addressing energy consumption, or determining whether customer is on best offer could also support this. </w:t>
            </w:r>
          </w:p>
          <w:p w14:paraId="0A03961F" w14:textId="77777777" w:rsidR="00E21638" w:rsidRPr="00B222AB" w:rsidRDefault="00E21638" w:rsidP="00E21638">
            <w:pPr>
              <w:pStyle w:val="TableBullet"/>
              <w:numPr>
                <w:ilvl w:val="0"/>
                <w:numId w:val="5"/>
              </w:numPr>
            </w:pPr>
            <w:r w:rsidRPr="00B222AB">
              <w:t xml:space="preserve">One questioned whether the purpose of tailored assistance was keeping customers connected or reducing their debt levels, noting that they considered tailored assistance does not help reduce customer debt. </w:t>
            </w:r>
          </w:p>
          <w:p w14:paraId="46A2E280" w14:textId="77777777" w:rsidR="00E21638" w:rsidRPr="00B222AB" w:rsidRDefault="00E21638" w:rsidP="00E21638">
            <w:pPr>
              <w:pStyle w:val="TableBullet"/>
              <w:numPr>
                <w:ilvl w:val="0"/>
                <w:numId w:val="5"/>
              </w:numPr>
            </w:pPr>
            <w:r w:rsidRPr="00B222AB">
              <w:t xml:space="preserve">Other comments about improving the implementation of the framework included: </w:t>
            </w:r>
          </w:p>
          <w:p w14:paraId="71D82E06" w14:textId="77777777" w:rsidR="00E21638" w:rsidRPr="00B222AB" w:rsidRDefault="00E21638" w:rsidP="00E21638">
            <w:pPr>
              <w:pStyle w:val="TableBullet2"/>
              <w:numPr>
                <w:ilvl w:val="1"/>
                <w:numId w:val="5"/>
              </w:numPr>
            </w:pPr>
            <w:r w:rsidRPr="00B222AB">
              <w:t>a lot of customers may be reducing usage rather than accessing support and that this is not captured in the data</w:t>
            </w:r>
          </w:p>
          <w:p w14:paraId="0D6AA11B" w14:textId="77777777" w:rsidR="00E21638" w:rsidRPr="00B222AB" w:rsidRDefault="00E21638" w:rsidP="00E21638">
            <w:pPr>
              <w:pStyle w:val="TableBullet2"/>
              <w:numPr>
                <w:ilvl w:val="1"/>
                <w:numId w:val="5"/>
              </w:numPr>
            </w:pPr>
            <w:r w:rsidRPr="00B222AB">
              <w:t>the framework is complicated and needs to be simplified for both staff and customers</w:t>
            </w:r>
          </w:p>
          <w:p w14:paraId="4EB34546" w14:textId="77777777" w:rsidR="00E21638" w:rsidRPr="00B222AB" w:rsidRDefault="00E21638" w:rsidP="00E21638">
            <w:pPr>
              <w:pStyle w:val="TableBullet2"/>
              <w:numPr>
                <w:ilvl w:val="1"/>
                <w:numId w:val="5"/>
              </w:numPr>
            </w:pPr>
            <w:r w:rsidRPr="00B222AB">
              <w:t>retailers should allow long term payment plans on closed accounts instead of sending to debt collectors.</w:t>
            </w:r>
          </w:p>
        </w:tc>
      </w:tr>
    </w:tbl>
    <w:p w14:paraId="0C896A13" w14:textId="77777777" w:rsidR="00E21638" w:rsidRDefault="00E21638" w:rsidP="00E21638">
      <w:pPr>
        <w:pStyle w:val="Figure-Table-BoxHeading"/>
        <w:numPr>
          <w:ilvl w:val="0"/>
          <w:numId w:val="0"/>
        </w:numPr>
        <w:spacing w:before="240" w:after="0"/>
        <w:ind w:left="851" w:hanging="851"/>
      </w:pPr>
    </w:p>
    <w:p w14:paraId="0EB7095C" w14:textId="77777777" w:rsidR="00E21638" w:rsidRDefault="00E21638" w:rsidP="00E21638">
      <w:pPr>
        <w:spacing w:before="0" w:line="259" w:lineRule="auto"/>
        <w:rPr>
          <w:rFonts w:asciiTheme="majorHAnsi" w:eastAsiaTheme="majorEastAsia" w:hAnsiTheme="majorHAnsi" w:cstheme="majorBidi"/>
          <w:b/>
          <w:color w:val="4986A0" w:themeColor="text2"/>
          <w:szCs w:val="24"/>
          <w:lang w:val="en-US"/>
        </w:rPr>
      </w:pPr>
      <w:r>
        <w:br w:type="page"/>
      </w:r>
    </w:p>
    <w:p w14:paraId="1EEED994" w14:textId="3F2807F1" w:rsidR="00E21638" w:rsidRDefault="00104BCD" w:rsidP="00E21638">
      <w:pPr>
        <w:pStyle w:val="Heading3"/>
      </w:pPr>
      <w:r>
        <w:lastRenderedPageBreak/>
        <w:t xml:space="preserve">Theme 3: </w:t>
      </w:r>
      <w:r w:rsidR="00E21638" w:rsidRPr="00B2443A">
        <w:t>Broader issues faced by customers</w:t>
      </w:r>
    </w:p>
    <w:p w14:paraId="4C1DBD5C" w14:textId="77777777" w:rsidR="00E21638" w:rsidRDefault="00E21638" w:rsidP="00E21638">
      <w:r>
        <w:t xml:space="preserve">The comments under the theme ‘broader issues faced by customers’ relate to: </w:t>
      </w:r>
    </w:p>
    <w:p w14:paraId="2BF64DE9" w14:textId="77777777" w:rsidR="00E21638" w:rsidRDefault="00E21638" w:rsidP="008E42FA">
      <w:pPr>
        <w:pStyle w:val="ListParagraph"/>
        <w:numPr>
          <w:ilvl w:val="0"/>
          <w:numId w:val="28"/>
        </w:numPr>
      </w:pPr>
      <w:r>
        <w:t>c</w:t>
      </w:r>
      <w:r w:rsidRPr="0016687F">
        <w:t>ustomers also experience existing vulnerabilities</w:t>
      </w:r>
    </w:p>
    <w:p w14:paraId="2317B52B" w14:textId="77777777" w:rsidR="00E21638" w:rsidRDefault="00E21638" w:rsidP="008E42FA">
      <w:pPr>
        <w:pStyle w:val="ListParagraph"/>
        <w:numPr>
          <w:ilvl w:val="0"/>
          <w:numId w:val="28"/>
        </w:numPr>
      </w:pPr>
      <w:r>
        <w:t>l</w:t>
      </w:r>
      <w:r w:rsidRPr="0016687F">
        <w:t>essons learned and customer experiences during the coronavirus pandemic</w:t>
      </w:r>
      <w:r>
        <w:t>.</w:t>
      </w:r>
    </w:p>
    <w:tbl>
      <w:tblPr>
        <w:tblStyle w:val="TableGrid"/>
        <w:tblW w:w="0" w:type="auto"/>
        <w:tblLook w:val="04A0" w:firstRow="1" w:lastRow="0" w:firstColumn="1" w:lastColumn="0" w:noHBand="0" w:noVBand="1"/>
      </w:tblPr>
      <w:tblGrid>
        <w:gridCol w:w="2059"/>
        <w:gridCol w:w="7579"/>
      </w:tblGrid>
      <w:tr w:rsidR="00E21638" w:rsidRPr="00B2443A" w14:paraId="6558F55E" w14:textId="77777777" w:rsidTr="004F1BC7">
        <w:trPr>
          <w:cnfStyle w:val="100000000000" w:firstRow="1" w:lastRow="0" w:firstColumn="0" w:lastColumn="0" w:oddVBand="0" w:evenVBand="0" w:oddHBand="0" w:evenHBand="0" w:firstRowFirstColumn="0" w:firstRowLastColumn="0" w:lastRowFirstColumn="0" w:lastRowLastColumn="0"/>
          <w:trHeight w:val="20"/>
        </w:trPr>
        <w:tc>
          <w:tcPr>
            <w:tcW w:w="0" w:type="auto"/>
            <w:gridSpan w:val="2"/>
            <w:shd w:val="clear" w:color="auto" w:fill="ED8B00" w:themeFill="accent4"/>
          </w:tcPr>
          <w:p w14:paraId="5F8DFE13" w14:textId="77777777" w:rsidR="00E21638" w:rsidRPr="001E50F2" w:rsidRDefault="00E21638" w:rsidP="001E50F2">
            <w:pPr>
              <w:pStyle w:val="1"/>
              <w:rPr>
                <w:b/>
                <w:bCs/>
              </w:rPr>
            </w:pPr>
            <w:r w:rsidRPr="001E50F2">
              <w:rPr>
                <w:b/>
                <w:bCs/>
              </w:rPr>
              <w:t>Customers also experience existing vulnerabilities</w:t>
            </w:r>
          </w:p>
        </w:tc>
      </w:tr>
      <w:tr w:rsidR="00E21638" w:rsidRPr="00B2443A" w14:paraId="5F206425" w14:textId="77777777" w:rsidTr="004F1BC7">
        <w:trPr>
          <w:cnfStyle w:val="000000100000" w:firstRow="0" w:lastRow="0" w:firstColumn="0" w:lastColumn="0" w:oddVBand="0" w:evenVBand="0" w:oddHBand="1" w:evenHBand="0" w:firstRowFirstColumn="0" w:firstRowLastColumn="0" w:lastRowFirstColumn="0" w:lastRowLastColumn="0"/>
          <w:trHeight w:val="20"/>
        </w:trPr>
        <w:tc>
          <w:tcPr>
            <w:tcW w:w="2070" w:type="dxa"/>
            <w:vAlign w:val="center"/>
          </w:tcPr>
          <w:p w14:paraId="20CA0884" w14:textId="77777777" w:rsidR="00E21638" w:rsidRPr="00B2443A" w:rsidRDefault="00E21638" w:rsidP="004F1BC7">
            <w:r>
              <w:rPr>
                <w:noProof/>
              </w:rPr>
              <w:drawing>
                <wp:inline distT="0" distB="0" distL="0" distR="0" wp14:anchorId="3569B641" wp14:editId="5B9C1885">
                  <wp:extent cx="914400" cy="914400"/>
                  <wp:effectExtent l="0" t="0" r="0" b="0"/>
                  <wp:docPr id="100007" name="Graphic 100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Graphic 100007">
                            <a:extLst>
                              <a:ext uri="{C183D7F6-B498-43B3-948B-1728B52AA6E4}">
                                <adec:decorative xmlns:adec="http://schemas.microsoft.com/office/drawing/2017/decorative" val="1"/>
                              </a:ext>
                            </a:extLst>
                          </pic:cNvPr>
                          <pic:cNvPicPr/>
                        </pic:nvPicPr>
                        <pic:blipFill>
                          <a:blip r:embed="rId178">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914400" cy="914400"/>
                          </a:xfrm>
                          <a:prstGeom prst="rect">
                            <a:avLst/>
                          </a:prstGeom>
                        </pic:spPr>
                      </pic:pic>
                    </a:graphicData>
                  </a:graphic>
                </wp:inline>
              </w:drawing>
            </w:r>
          </w:p>
        </w:tc>
        <w:tc>
          <w:tcPr>
            <w:tcW w:w="7710" w:type="dxa"/>
          </w:tcPr>
          <w:p w14:paraId="01B582FA" w14:textId="77777777" w:rsidR="00E21638" w:rsidRPr="00B2443A" w:rsidRDefault="00E21638" w:rsidP="00E21638">
            <w:pPr>
              <w:pStyle w:val="TableBullet"/>
              <w:numPr>
                <w:ilvl w:val="0"/>
                <w:numId w:val="5"/>
              </w:numPr>
            </w:pPr>
            <w:r w:rsidRPr="00B2443A">
              <w:t xml:space="preserve">Some participants recognised broader issues faced by customers and suggested that referring customers to other supports to address other issues was important. </w:t>
            </w:r>
          </w:p>
          <w:p w14:paraId="2B6E6E30" w14:textId="77777777" w:rsidR="00E21638" w:rsidRPr="00B2443A" w:rsidRDefault="00E21638" w:rsidP="00E21638">
            <w:pPr>
              <w:pStyle w:val="TableBullet"/>
              <w:numPr>
                <w:ilvl w:val="0"/>
                <w:numId w:val="5"/>
              </w:numPr>
            </w:pPr>
            <w:r w:rsidRPr="00B2443A">
              <w:t xml:space="preserve">Another questioned how effective the framework is in addressing vulnerability for a customer at a higher level. </w:t>
            </w:r>
          </w:p>
          <w:p w14:paraId="4685F836" w14:textId="77777777" w:rsidR="00E21638" w:rsidRPr="00B2443A" w:rsidRDefault="00E21638" w:rsidP="00E21638">
            <w:pPr>
              <w:pStyle w:val="TableBullet"/>
              <w:numPr>
                <w:ilvl w:val="0"/>
                <w:numId w:val="5"/>
              </w:numPr>
            </w:pPr>
            <w:r w:rsidRPr="00B2443A">
              <w:t xml:space="preserve">Several participants raised the issue of customers who simply cannot afford their consumption. </w:t>
            </w:r>
          </w:p>
          <w:p w14:paraId="1C90191E" w14:textId="77777777" w:rsidR="00E21638" w:rsidRPr="00B2443A" w:rsidRDefault="00E21638" w:rsidP="00E21638">
            <w:pPr>
              <w:pStyle w:val="TableBullet"/>
              <w:numPr>
                <w:ilvl w:val="0"/>
                <w:numId w:val="5"/>
              </w:numPr>
            </w:pPr>
            <w:r w:rsidRPr="00B2443A">
              <w:t>One raised the issue that distributors can end up being the point of contact for helping people access assistance, and that it needed to be easier for customers to access grants before the distributor comes to disconnect. However, it was noted that this was not due to a lack of effort on behalf of retailers.</w:t>
            </w:r>
          </w:p>
        </w:tc>
      </w:tr>
      <w:tr w:rsidR="00E21638" w:rsidRPr="00B2443A" w14:paraId="651D4D43" w14:textId="77777777" w:rsidTr="002A11EE">
        <w:trPr>
          <w:cnfStyle w:val="000000010000" w:firstRow="0" w:lastRow="0" w:firstColumn="0" w:lastColumn="0" w:oddVBand="0" w:evenVBand="0" w:oddHBand="0" w:evenHBand="1" w:firstRowFirstColumn="0" w:firstRowLastColumn="0" w:lastRowFirstColumn="0" w:lastRowLastColumn="0"/>
          <w:trHeight w:val="20"/>
        </w:trPr>
        <w:tc>
          <w:tcPr>
            <w:tcW w:w="9780" w:type="dxa"/>
            <w:gridSpan w:val="2"/>
            <w:shd w:val="clear" w:color="auto" w:fill="ED8B00" w:themeFill="accent4"/>
            <w:vAlign w:val="center"/>
          </w:tcPr>
          <w:p w14:paraId="78AECDE2" w14:textId="77777777" w:rsidR="00E21638" w:rsidRPr="0016687F" w:rsidRDefault="00E21638" w:rsidP="001E50F2">
            <w:pPr>
              <w:pStyle w:val="1"/>
            </w:pPr>
            <w:r w:rsidRPr="0016687F">
              <w:t xml:space="preserve">Lessons learned and customer experiences during the coronavirus pandemic </w:t>
            </w:r>
          </w:p>
        </w:tc>
      </w:tr>
      <w:tr w:rsidR="00E21638" w:rsidRPr="00B2443A" w14:paraId="4B69C2EE" w14:textId="77777777" w:rsidTr="004F1BC7">
        <w:trPr>
          <w:cnfStyle w:val="000000100000" w:firstRow="0" w:lastRow="0" w:firstColumn="0" w:lastColumn="0" w:oddVBand="0" w:evenVBand="0" w:oddHBand="1" w:evenHBand="0" w:firstRowFirstColumn="0" w:firstRowLastColumn="0" w:lastRowFirstColumn="0" w:lastRowLastColumn="0"/>
          <w:trHeight w:val="20"/>
        </w:trPr>
        <w:tc>
          <w:tcPr>
            <w:tcW w:w="2070" w:type="dxa"/>
            <w:vAlign w:val="center"/>
          </w:tcPr>
          <w:p w14:paraId="3029EE6A" w14:textId="77777777" w:rsidR="00E21638" w:rsidRPr="00B2443A" w:rsidRDefault="00E21638" w:rsidP="004F1BC7">
            <w:r>
              <w:rPr>
                <w:noProof/>
              </w:rPr>
              <w:drawing>
                <wp:inline distT="0" distB="0" distL="0" distR="0" wp14:anchorId="0F9431EA" wp14:editId="0E65954A">
                  <wp:extent cx="914400" cy="9144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180">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914400" cy="914400"/>
                          </a:xfrm>
                          <a:prstGeom prst="rect">
                            <a:avLst/>
                          </a:prstGeom>
                        </pic:spPr>
                      </pic:pic>
                    </a:graphicData>
                  </a:graphic>
                </wp:inline>
              </w:drawing>
            </w:r>
          </w:p>
        </w:tc>
        <w:tc>
          <w:tcPr>
            <w:tcW w:w="7710" w:type="dxa"/>
          </w:tcPr>
          <w:p w14:paraId="53AC21A3" w14:textId="77777777" w:rsidR="00E21638" w:rsidRPr="00B2443A" w:rsidRDefault="00E21638" w:rsidP="00E21638">
            <w:pPr>
              <w:pStyle w:val="TableBullet"/>
              <w:numPr>
                <w:ilvl w:val="0"/>
                <w:numId w:val="5"/>
              </w:numPr>
            </w:pPr>
            <w:r w:rsidRPr="00B2443A">
              <w:t xml:space="preserve">Workshop participants reported that government support policies implemented during 2020, such as the JobKeeper payment, meant that some customers were spending more on their bills and some retailers saw a reduction in people seeking assistance. </w:t>
            </w:r>
          </w:p>
          <w:p w14:paraId="0D934ED9" w14:textId="77777777" w:rsidR="00E21638" w:rsidRPr="00B2443A" w:rsidRDefault="00E21638" w:rsidP="00E21638">
            <w:pPr>
              <w:pStyle w:val="TableBullet"/>
              <w:numPr>
                <w:ilvl w:val="0"/>
                <w:numId w:val="5"/>
              </w:numPr>
            </w:pPr>
            <w:r w:rsidRPr="00B2443A">
              <w:t>Other participants observed that some groups fell through the cracks of this assistance, including migrants, refugees, students, and the part-time/casual workforce.</w:t>
            </w:r>
          </w:p>
          <w:p w14:paraId="67448C22" w14:textId="77777777" w:rsidR="00E21638" w:rsidRPr="00B2443A" w:rsidRDefault="00E21638" w:rsidP="00E21638">
            <w:pPr>
              <w:pStyle w:val="TableBullet"/>
              <w:numPr>
                <w:ilvl w:val="0"/>
                <w:numId w:val="5"/>
              </w:numPr>
            </w:pPr>
            <w:r w:rsidRPr="00B2443A">
              <w:t xml:space="preserve">Some discussed the impacts of the coronavirus pandemic, such as unemployment and reduced income, that made it difficult for some customers to cover their utility bills. </w:t>
            </w:r>
          </w:p>
          <w:p w14:paraId="4BC0E21F" w14:textId="77777777" w:rsidR="00E21638" w:rsidRPr="00B2443A" w:rsidRDefault="00E21638" w:rsidP="00E21638">
            <w:pPr>
              <w:pStyle w:val="TableBullet"/>
              <w:numPr>
                <w:ilvl w:val="0"/>
                <w:numId w:val="5"/>
              </w:numPr>
            </w:pPr>
            <w:r w:rsidRPr="00B2443A">
              <w:t xml:space="preserve">Some noted that customers reduced spending during times of uncertainty. </w:t>
            </w:r>
          </w:p>
          <w:p w14:paraId="41AF9D12" w14:textId="77777777" w:rsidR="00E21638" w:rsidRPr="00B2443A" w:rsidRDefault="00E21638" w:rsidP="00E21638">
            <w:pPr>
              <w:pStyle w:val="TableBullet"/>
              <w:numPr>
                <w:ilvl w:val="0"/>
                <w:numId w:val="5"/>
              </w:numPr>
            </w:pPr>
            <w:r w:rsidRPr="00B2443A">
              <w:t xml:space="preserve">Others noted that the lockdowns contributed to increased consumption because people were at home more. </w:t>
            </w:r>
          </w:p>
          <w:p w14:paraId="0929A544" w14:textId="77777777" w:rsidR="00E21638" w:rsidRPr="00B2443A" w:rsidRDefault="00E21638" w:rsidP="00E21638">
            <w:pPr>
              <w:pStyle w:val="TableBullet"/>
              <w:numPr>
                <w:ilvl w:val="0"/>
                <w:numId w:val="5"/>
              </w:numPr>
            </w:pPr>
            <w:r w:rsidRPr="00B2443A">
              <w:t xml:space="preserve">Some suggested that the pandemic has changed the customer profile of </w:t>
            </w:r>
            <w:r w:rsidRPr="00B2443A">
              <w:lastRenderedPageBreak/>
              <w:t xml:space="preserve">those who require support. </w:t>
            </w:r>
          </w:p>
          <w:p w14:paraId="1DB5E07F" w14:textId="77777777" w:rsidR="00E21638" w:rsidRPr="00B2443A" w:rsidRDefault="00E21638" w:rsidP="00E21638">
            <w:pPr>
              <w:pStyle w:val="TableBullet"/>
              <w:numPr>
                <w:ilvl w:val="0"/>
                <w:numId w:val="5"/>
              </w:numPr>
            </w:pPr>
            <w:r w:rsidRPr="00B2443A">
              <w:t>Community advocacy agencies noted that more ‘non-traditional’ clients were affected, such as those who experienced job loss in two income households with large mortgages.</w:t>
            </w:r>
          </w:p>
          <w:p w14:paraId="657223DA" w14:textId="77777777" w:rsidR="00E21638" w:rsidRPr="00B2443A" w:rsidRDefault="00E21638" w:rsidP="00E21638">
            <w:pPr>
              <w:pStyle w:val="TableBullet"/>
              <w:numPr>
                <w:ilvl w:val="0"/>
                <w:numId w:val="5"/>
              </w:numPr>
            </w:pPr>
            <w:r w:rsidRPr="00B2443A">
              <w:t xml:space="preserve">Changing customer profiles due to pandemic was also noted. Financial counsellors observed new types of clients who had previously been on high incomes, and were balancing mortgages, credit card payments, and high energy bills. </w:t>
            </w:r>
          </w:p>
          <w:p w14:paraId="66D6597B" w14:textId="77777777" w:rsidR="00E21638" w:rsidRPr="00B2443A" w:rsidRDefault="00E21638" w:rsidP="00E21638">
            <w:pPr>
              <w:pStyle w:val="TableBullet"/>
              <w:numPr>
                <w:ilvl w:val="0"/>
                <w:numId w:val="5"/>
              </w:numPr>
            </w:pPr>
            <w:r w:rsidRPr="00B2443A">
              <w:t>One questioned whether customers were prioritising other debts because of the support available through the framework.</w:t>
            </w:r>
          </w:p>
          <w:p w14:paraId="4833A41E" w14:textId="77777777" w:rsidR="00E21638" w:rsidRPr="00B2443A" w:rsidRDefault="00E21638" w:rsidP="00E21638">
            <w:pPr>
              <w:pStyle w:val="TableBullet"/>
              <w:numPr>
                <w:ilvl w:val="0"/>
                <w:numId w:val="5"/>
              </w:numPr>
            </w:pPr>
            <w:r w:rsidRPr="00B2443A">
              <w:t xml:space="preserve">Financial challenges for many customers were exacerbated by increasing energy consumption costs due to lockdowns. </w:t>
            </w:r>
          </w:p>
          <w:p w14:paraId="002BE3FA" w14:textId="77777777" w:rsidR="00E21638" w:rsidRPr="00B2443A" w:rsidRDefault="00E21638" w:rsidP="00E21638">
            <w:pPr>
              <w:pStyle w:val="TableBullet"/>
              <w:numPr>
                <w:ilvl w:val="0"/>
                <w:numId w:val="5"/>
              </w:numPr>
            </w:pPr>
            <w:r w:rsidRPr="00B2443A">
              <w:t>Others noted there were more customers experiencing financial hardship who were not eligible for other forms of government assistance, such as Centrelink, concessions, or grants.</w:t>
            </w:r>
          </w:p>
          <w:p w14:paraId="2ED58F77" w14:textId="77777777" w:rsidR="00E21638" w:rsidRPr="00B2443A" w:rsidRDefault="00E21638" w:rsidP="00E21638">
            <w:pPr>
              <w:pStyle w:val="TableBullet"/>
              <w:numPr>
                <w:ilvl w:val="0"/>
                <w:numId w:val="5"/>
              </w:numPr>
            </w:pPr>
            <w:r w:rsidRPr="00B2443A">
              <w:t xml:space="preserve">The rule change during the pandemic that halted disconnections was noted by participants. </w:t>
            </w:r>
          </w:p>
          <w:p w14:paraId="51ED9110" w14:textId="77777777" w:rsidR="00E21638" w:rsidRPr="00B2443A" w:rsidRDefault="00E21638" w:rsidP="00E21638">
            <w:pPr>
              <w:pStyle w:val="TableBullet"/>
              <w:numPr>
                <w:ilvl w:val="0"/>
                <w:numId w:val="5"/>
              </w:numPr>
            </w:pPr>
            <w:r w:rsidRPr="00B2443A">
              <w:t xml:space="preserve">Some questioned the impact of this on debt accrual, others were unsure of the impact once disconnections resumed. Another noted that disconnections were dropping prior to the pandemic. </w:t>
            </w:r>
          </w:p>
          <w:p w14:paraId="21E2E9F5" w14:textId="77777777" w:rsidR="00E21638" w:rsidRPr="00B2443A" w:rsidRDefault="00E21638" w:rsidP="00E21638">
            <w:pPr>
              <w:pStyle w:val="TableBullet"/>
              <w:numPr>
                <w:ilvl w:val="0"/>
                <w:numId w:val="5"/>
              </w:numPr>
            </w:pPr>
            <w:r w:rsidRPr="00B2443A">
              <w:t xml:space="preserve">One noted another impact of the lockdowns being that face-to-face support services were unable to be provided, particularly impacting non-English speaking customers. </w:t>
            </w:r>
          </w:p>
          <w:p w14:paraId="19361900" w14:textId="77777777" w:rsidR="00E21638" w:rsidRPr="00B2443A" w:rsidRDefault="00E21638" w:rsidP="00E21638">
            <w:pPr>
              <w:pStyle w:val="TableBullet"/>
              <w:numPr>
                <w:ilvl w:val="0"/>
                <w:numId w:val="5"/>
              </w:numPr>
            </w:pPr>
            <w:r w:rsidRPr="00B2443A">
              <w:t>Another suggested that retailers have made customers more aware of what assistance is available.</w:t>
            </w:r>
          </w:p>
        </w:tc>
      </w:tr>
    </w:tbl>
    <w:p w14:paraId="39906AC1" w14:textId="77777777" w:rsidR="00E21638" w:rsidRDefault="00E21638" w:rsidP="00E21638">
      <w:pPr>
        <w:spacing w:before="0" w:line="259" w:lineRule="auto"/>
        <w:rPr>
          <w:rFonts w:asciiTheme="majorHAnsi" w:eastAsiaTheme="majorEastAsia" w:hAnsiTheme="majorHAnsi" w:cstheme="majorBidi"/>
          <w:b/>
          <w:color w:val="4986A0" w:themeColor="text2"/>
          <w:szCs w:val="24"/>
          <w:lang w:val="en-US"/>
        </w:rPr>
      </w:pPr>
      <w:r>
        <w:lastRenderedPageBreak/>
        <w:br w:type="page"/>
      </w:r>
    </w:p>
    <w:p w14:paraId="745C46FA" w14:textId="1BE056BF" w:rsidR="00E21638" w:rsidRDefault="00104BCD" w:rsidP="00E21638">
      <w:pPr>
        <w:pStyle w:val="Heading3"/>
      </w:pPr>
      <w:r>
        <w:lastRenderedPageBreak/>
        <w:t xml:space="preserve">Theme 4: </w:t>
      </w:r>
      <w:r w:rsidR="00E21638" w:rsidRPr="00625E59">
        <w:t>The role of government supports alongside the framework</w:t>
      </w:r>
    </w:p>
    <w:p w14:paraId="131BCEFF" w14:textId="77777777" w:rsidR="00E21638" w:rsidRDefault="00E21638" w:rsidP="00E21638">
      <w:r>
        <w:t>The comments under the theme ‘t</w:t>
      </w:r>
      <w:r w:rsidRPr="00AE5698">
        <w:t>he role of government supports alongside the framework</w:t>
      </w:r>
      <w:r>
        <w:t xml:space="preserve">’ relate to: </w:t>
      </w:r>
    </w:p>
    <w:p w14:paraId="2CE0CEF3" w14:textId="541773BE" w:rsidR="00E21638" w:rsidRDefault="00E21638" w:rsidP="008E42FA">
      <w:pPr>
        <w:pStyle w:val="ListParagraph"/>
        <w:numPr>
          <w:ilvl w:val="0"/>
          <w:numId w:val="29"/>
        </w:numPr>
      </w:pPr>
      <w:r>
        <w:t xml:space="preserve">Utility </w:t>
      </w:r>
      <w:r w:rsidR="0058072A">
        <w:t>r</w:t>
      </w:r>
      <w:r>
        <w:t xml:space="preserve">elief </w:t>
      </w:r>
      <w:r w:rsidR="0058072A">
        <w:t>g</w:t>
      </w:r>
      <w:r>
        <w:t>rants</w:t>
      </w:r>
    </w:p>
    <w:p w14:paraId="4770109A" w14:textId="77777777" w:rsidR="00E21638" w:rsidRDefault="00E21638" w:rsidP="008E42FA">
      <w:pPr>
        <w:pStyle w:val="ListParagraph"/>
        <w:numPr>
          <w:ilvl w:val="0"/>
          <w:numId w:val="29"/>
        </w:numPr>
      </w:pPr>
      <w:r>
        <w:t>Concessions</w:t>
      </w:r>
    </w:p>
    <w:p w14:paraId="3139B2FF" w14:textId="77777777" w:rsidR="00E21638" w:rsidRDefault="00E21638" w:rsidP="008E42FA">
      <w:pPr>
        <w:pStyle w:val="ListParagraph"/>
        <w:numPr>
          <w:ilvl w:val="0"/>
          <w:numId w:val="29"/>
        </w:numPr>
      </w:pPr>
      <w:r>
        <w:t>Victorian Government Power Saving Bonus Scheme</w:t>
      </w:r>
    </w:p>
    <w:p w14:paraId="0D94AC51" w14:textId="77777777" w:rsidR="00E21638" w:rsidRPr="001E5678" w:rsidRDefault="00E21638" w:rsidP="008E42FA">
      <w:pPr>
        <w:pStyle w:val="ListParagraph"/>
        <w:numPr>
          <w:ilvl w:val="0"/>
          <w:numId w:val="29"/>
        </w:numPr>
      </w:pPr>
      <w:r>
        <w:t>Systemic poverty and ongoing energy use.</w:t>
      </w:r>
    </w:p>
    <w:tbl>
      <w:tblPr>
        <w:tblStyle w:val="TableGrid"/>
        <w:tblW w:w="0" w:type="auto"/>
        <w:tblLook w:val="04A0" w:firstRow="1" w:lastRow="0" w:firstColumn="1" w:lastColumn="0" w:noHBand="0" w:noVBand="1"/>
      </w:tblPr>
      <w:tblGrid>
        <w:gridCol w:w="1582"/>
        <w:gridCol w:w="8056"/>
      </w:tblGrid>
      <w:tr w:rsidR="00E21638" w:rsidRPr="00207B8C" w14:paraId="6650DB53" w14:textId="77777777" w:rsidTr="004F1BC7">
        <w:trPr>
          <w:cnfStyle w:val="100000000000" w:firstRow="1" w:lastRow="0" w:firstColumn="0" w:lastColumn="0" w:oddVBand="0" w:evenVBand="0" w:oddHBand="0" w:evenHBand="0" w:firstRowFirstColumn="0" w:firstRowLastColumn="0" w:lastRowFirstColumn="0" w:lastRowLastColumn="0"/>
          <w:trHeight w:val="20"/>
        </w:trPr>
        <w:tc>
          <w:tcPr>
            <w:tcW w:w="0" w:type="auto"/>
            <w:gridSpan w:val="2"/>
            <w:shd w:val="clear" w:color="auto" w:fill="183028" w:themeFill="accent5"/>
            <w:vAlign w:val="center"/>
          </w:tcPr>
          <w:p w14:paraId="1BA36470" w14:textId="77777777" w:rsidR="00E21638" w:rsidRPr="001E50F2" w:rsidRDefault="00E21638" w:rsidP="001E50F2">
            <w:pPr>
              <w:pStyle w:val="1"/>
              <w:rPr>
                <w:b/>
                <w:bCs/>
              </w:rPr>
            </w:pPr>
            <w:r w:rsidRPr="001E50F2">
              <w:rPr>
                <w:b/>
                <w:bCs/>
              </w:rPr>
              <w:t>Utility Relief Grants</w:t>
            </w:r>
          </w:p>
        </w:tc>
      </w:tr>
      <w:tr w:rsidR="00E21638" w:rsidRPr="00207B8C" w14:paraId="41C2FBB2" w14:textId="77777777" w:rsidTr="004F1BC7">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46FAF9A9" w14:textId="77777777" w:rsidR="00E21638" w:rsidRPr="00207B8C" w:rsidRDefault="00E21638" w:rsidP="004F1BC7">
            <w:r>
              <w:rPr>
                <w:noProof/>
              </w:rPr>
              <w:drawing>
                <wp:inline distT="0" distB="0" distL="0" distR="0" wp14:anchorId="4601E93E" wp14:editId="6A1CEBBB">
                  <wp:extent cx="914400" cy="914400"/>
                  <wp:effectExtent l="0" t="0" r="0" b="0"/>
                  <wp:docPr id="100010" name="Graphic 100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Graphic 100010">
                            <a:extLst>
                              <a:ext uri="{C183D7F6-B498-43B3-948B-1728B52AA6E4}">
                                <adec:decorative xmlns:adec="http://schemas.microsoft.com/office/drawing/2017/decorative" val="1"/>
                              </a:ext>
                            </a:extLst>
                          </pic:cNvPr>
                          <pic:cNvPicPr/>
                        </pic:nvPicPr>
                        <pic:blipFill>
                          <a:blip r:embed="rId182">
                            <a:extLst>
                              <a:ext uri="{28A0092B-C50C-407E-A947-70E740481C1C}">
                                <a14:useLocalDpi xmlns:a14="http://schemas.microsoft.com/office/drawing/2010/main" val="0"/>
                              </a:ext>
                              <a:ext uri="{96DAC541-7B7A-43D3-8B79-37D633B846F1}">
                                <asvg:svgBlip xmlns:asvg="http://schemas.microsoft.com/office/drawing/2016/SVG/main" r:embed="rId183"/>
                              </a:ext>
                            </a:extLst>
                          </a:blip>
                          <a:stretch>
                            <a:fillRect/>
                          </a:stretch>
                        </pic:blipFill>
                        <pic:spPr>
                          <a:xfrm>
                            <a:off x="0" y="0"/>
                            <a:ext cx="914400" cy="914400"/>
                          </a:xfrm>
                          <a:prstGeom prst="rect">
                            <a:avLst/>
                          </a:prstGeom>
                        </pic:spPr>
                      </pic:pic>
                    </a:graphicData>
                  </a:graphic>
                </wp:inline>
              </w:drawing>
            </w:r>
          </w:p>
        </w:tc>
        <w:tc>
          <w:tcPr>
            <w:tcW w:w="0" w:type="auto"/>
          </w:tcPr>
          <w:p w14:paraId="2548A190" w14:textId="77777777" w:rsidR="00E21638" w:rsidRDefault="00E21638" w:rsidP="00E21638">
            <w:pPr>
              <w:pStyle w:val="TableBullet"/>
              <w:numPr>
                <w:ilvl w:val="0"/>
                <w:numId w:val="5"/>
              </w:numPr>
            </w:pPr>
            <w:r w:rsidRPr="00207B8C">
              <w:t xml:space="preserve">Some workshop participants noted the inconsistency between retailers and within retailers when it came to offering utility relief grants, including reports of low awareness of utility relief grants within retailers. </w:t>
            </w:r>
          </w:p>
          <w:p w14:paraId="6E6ACAA1" w14:textId="77777777" w:rsidR="00E21638" w:rsidRDefault="00E21638" w:rsidP="00E21638">
            <w:pPr>
              <w:pStyle w:val="TableBullet"/>
              <w:numPr>
                <w:ilvl w:val="0"/>
                <w:numId w:val="5"/>
              </w:numPr>
            </w:pPr>
            <w:r w:rsidRPr="00207B8C">
              <w:t xml:space="preserve">Another raised the challenge of getting three participants to work together to get utility relief grants paid into customer accounts. The utility relief grants guideline has been great at helping customers access assistance in a timely way. However, it requires better engagement between retailers and customers. </w:t>
            </w:r>
          </w:p>
          <w:p w14:paraId="11EC80F8" w14:textId="77777777" w:rsidR="00E21638" w:rsidRPr="00207B8C" w:rsidRDefault="00E21638" w:rsidP="00E21638">
            <w:pPr>
              <w:pStyle w:val="TableBullet"/>
              <w:numPr>
                <w:ilvl w:val="0"/>
                <w:numId w:val="5"/>
              </w:numPr>
            </w:pPr>
            <w:r w:rsidRPr="00207B8C">
              <w:t xml:space="preserve">Others suggested the utility relief grants process could be made easier. </w:t>
            </w:r>
          </w:p>
          <w:p w14:paraId="391C74F3" w14:textId="77777777" w:rsidR="00E21638" w:rsidRPr="00207B8C" w:rsidRDefault="00E21638" w:rsidP="00E21638">
            <w:pPr>
              <w:pStyle w:val="TableBullet"/>
              <w:numPr>
                <w:ilvl w:val="0"/>
                <w:numId w:val="5"/>
              </w:numPr>
            </w:pPr>
            <w:r w:rsidRPr="00207B8C">
              <w:t xml:space="preserve">Other comments made about utility relief grants included: </w:t>
            </w:r>
          </w:p>
          <w:p w14:paraId="13BF535D" w14:textId="77777777" w:rsidR="00E21638" w:rsidRPr="00207B8C" w:rsidRDefault="00E21638" w:rsidP="00E21638">
            <w:pPr>
              <w:pStyle w:val="TableBullet2"/>
              <w:numPr>
                <w:ilvl w:val="1"/>
                <w:numId w:val="5"/>
              </w:numPr>
            </w:pPr>
            <w:r w:rsidRPr="00207B8C">
              <w:t>the backlog for processing utility relief grants will impact the accrual of debt</w:t>
            </w:r>
          </w:p>
          <w:p w14:paraId="2DEDDC65" w14:textId="77777777" w:rsidR="00E21638" w:rsidRPr="00207B8C" w:rsidRDefault="00E21638" w:rsidP="00E21638">
            <w:pPr>
              <w:pStyle w:val="TableBullet2"/>
              <w:numPr>
                <w:ilvl w:val="1"/>
                <w:numId w:val="5"/>
              </w:numPr>
            </w:pPr>
            <w:r w:rsidRPr="00207B8C">
              <w:t>as energy is billed retrospectively, a customer is already in arrears while they wait to receive the utility relief grant</w:t>
            </w:r>
          </w:p>
          <w:p w14:paraId="192CDEB8" w14:textId="77777777" w:rsidR="00E21638" w:rsidRPr="00207B8C" w:rsidRDefault="00E21638" w:rsidP="00E21638">
            <w:pPr>
              <w:pStyle w:val="TableBullet2"/>
              <w:numPr>
                <w:ilvl w:val="1"/>
                <w:numId w:val="5"/>
              </w:numPr>
            </w:pPr>
            <w:r w:rsidRPr="00207B8C">
              <w:t>the $650 payment for each utility has not kept up with the cost of energy.</w:t>
            </w:r>
          </w:p>
          <w:p w14:paraId="6968EC04" w14:textId="77777777" w:rsidR="00E21638" w:rsidRDefault="00E21638" w:rsidP="00E21638">
            <w:pPr>
              <w:pStyle w:val="TableBullet"/>
              <w:numPr>
                <w:ilvl w:val="0"/>
                <w:numId w:val="5"/>
              </w:numPr>
            </w:pPr>
            <w:r w:rsidRPr="00207B8C">
              <w:t xml:space="preserve">One retailer noted their challenges with obtaining information from the Department of Families, Fairness and Housing (DFFH) (such as making multiple email requests for forms, and accessing information about how to populate forms), suggesting a retailer portal with work instructions and guides assisting retailers in supporting their customers. </w:t>
            </w:r>
          </w:p>
          <w:p w14:paraId="793357FA" w14:textId="77777777" w:rsidR="00E21638" w:rsidRPr="00207B8C" w:rsidRDefault="00E21638" w:rsidP="00E21638">
            <w:pPr>
              <w:pStyle w:val="TableBullet"/>
              <w:numPr>
                <w:ilvl w:val="0"/>
                <w:numId w:val="5"/>
              </w:numPr>
            </w:pPr>
            <w:r w:rsidRPr="00207B8C">
              <w:t>One made comparison with the New South Wales Energy Accounts Payments Assistance scheme which is easier to access than utility relief grants.</w:t>
            </w:r>
          </w:p>
        </w:tc>
      </w:tr>
    </w:tbl>
    <w:p w14:paraId="703EA877" w14:textId="77777777" w:rsidR="00E21638" w:rsidRDefault="00E21638" w:rsidP="00E21638">
      <w:r>
        <w:br w:type="page"/>
      </w:r>
    </w:p>
    <w:tbl>
      <w:tblPr>
        <w:tblStyle w:val="TableGrid"/>
        <w:tblW w:w="0" w:type="auto"/>
        <w:tblLook w:val="04A0" w:firstRow="1" w:lastRow="0" w:firstColumn="1" w:lastColumn="0" w:noHBand="0" w:noVBand="1"/>
      </w:tblPr>
      <w:tblGrid>
        <w:gridCol w:w="1582"/>
        <w:gridCol w:w="8056"/>
      </w:tblGrid>
      <w:tr w:rsidR="00E21638" w:rsidRPr="00207B8C" w14:paraId="3F74532F" w14:textId="77777777" w:rsidTr="002A11EE">
        <w:trPr>
          <w:cnfStyle w:val="100000000000" w:firstRow="1" w:lastRow="0" w:firstColumn="0" w:lastColumn="0" w:oddVBand="0" w:evenVBand="0" w:oddHBand="0" w:evenHBand="0" w:firstRowFirstColumn="0" w:firstRowLastColumn="0" w:lastRowFirstColumn="0" w:lastRowLastColumn="0"/>
          <w:trHeight w:val="20"/>
        </w:trPr>
        <w:tc>
          <w:tcPr>
            <w:tcW w:w="0" w:type="auto"/>
            <w:gridSpan w:val="2"/>
            <w:shd w:val="clear" w:color="auto" w:fill="183028" w:themeFill="accent5"/>
            <w:vAlign w:val="center"/>
          </w:tcPr>
          <w:p w14:paraId="2ED1BE0A" w14:textId="77777777" w:rsidR="00E21638" w:rsidRPr="001E50F2" w:rsidRDefault="00E21638" w:rsidP="001E50F2">
            <w:pPr>
              <w:pStyle w:val="1"/>
              <w:rPr>
                <w:b/>
                <w:bCs/>
              </w:rPr>
            </w:pPr>
            <w:r w:rsidRPr="001E50F2">
              <w:rPr>
                <w:b/>
                <w:bCs/>
              </w:rPr>
              <w:lastRenderedPageBreak/>
              <w:t>Concessions</w:t>
            </w:r>
          </w:p>
        </w:tc>
      </w:tr>
      <w:tr w:rsidR="00E21638" w:rsidRPr="00207B8C" w14:paraId="3700F662" w14:textId="77777777" w:rsidTr="004F1BC7">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6CA80BD6" w14:textId="77777777" w:rsidR="00E21638" w:rsidRPr="00207B8C" w:rsidRDefault="00E21638" w:rsidP="004F1BC7">
            <w:r>
              <w:rPr>
                <w:noProof/>
              </w:rPr>
              <w:drawing>
                <wp:inline distT="0" distB="0" distL="0" distR="0" wp14:anchorId="74A95371" wp14:editId="728C5972">
                  <wp:extent cx="914400" cy="914400"/>
                  <wp:effectExtent l="0" t="0" r="0" b="0"/>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a:extLst>
                              <a:ext uri="{C183D7F6-B498-43B3-948B-1728B52AA6E4}">
                                <adec:decorative xmlns:adec="http://schemas.microsoft.com/office/drawing/2017/decorative" val="1"/>
                              </a:ext>
                            </a:extLst>
                          </pic:cNvPr>
                          <pic:cNvPicPr/>
                        </pic:nvPicPr>
                        <pic:blipFill>
                          <a:blip r:embed="rId184">
                            <a:extLst>
                              <a:ext uri="{28A0092B-C50C-407E-A947-70E740481C1C}">
                                <a14:useLocalDpi xmlns:a14="http://schemas.microsoft.com/office/drawing/2010/main" val="0"/>
                              </a:ext>
                              <a:ext uri="{96DAC541-7B7A-43D3-8B79-37D633B846F1}">
                                <asvg:svgBlip xmlns:asvg="http://schemas.microsoft.com/office/drawing/2016/SVG/main" r:embed="rId185"/>
                              </a:ext>
                            </a:extLst>
                          </a:blip>
                          <a:stretch>
                            <a:fillRect/>
                          </a:stretch>
                        </pic:blipFill>
                        <pic:spPr>
                          <a:xfrm>
                            <a:off x="0" y="0"/>
                            <a:ext cx="914400" cy="914400"/>
                          </a:xfrm>
                          <a:prstGeom prst="rect">
                            <a:avLst/>
                          </a:prstGeom>
                        </pic:spPr>
                      </pic:pic>
                    </a:graphicData>
                  </a:graphic>
                </wp:inline>
              </w:drawing>
            </w:r>
          </w:p>
        </w:tc>
        <w:tc>
          <w:tcPr>
            <w:tcW w:w="0" w:type="auto"/>
          </w:tcPr>
          <w:p w14:paraId="05DB01D0" w14:textId="77777777" w:rsidR="00E21638" w:rsidRDefault="00E21638" w:rsidP="00E21638">
            <w:pPr>
              <w:pStyle w:val="TableBullet"/>
              <w:numPr>
                <w:ilvl w:val="0"/>
                <w:numId w:val="5"/>
              </w:numPr>
            </w:pPr>
            <w:r w:rsidRPr="00207B8C">
              <w:t xml:space="preserve">The feedback about concessions covered some of the impacts the concession process has on customers. The process for applying for concessions is complex and keeping details up to date is difficult because concessions must be updated regularly. </w:t>
            </w:r>
          </w:p>
          <w:p w14:paraId="3DE13FC9" w14:textId="77777777" w:rsidR="00E21638" w:rsidRPr="00207B8C" w:rsidRDefault="00E21638" w:rsidP="00E21638">
            <w:pPr>
              <w:pStyle w:val="TableBullet"/>
              <w:numPr>
                <w:ilvl w:val="0"/>
                <w:numId w:val="5"/>
              </w:numPr>
            </w:pPr>
            <w:r w:rsidRPr="00207B8C">
              <w:t xml:space="preserve">Comments about concessions included: </w:t>
            </w:r>
          </w:p>
          <w:p w14:paraId="0558D6D8" w14:textId="77777777" w:rsidR="00E21638" w:rsidRPr="00207B8C" w:rsidRDefault="00E21638" w:rsidP="00E21638">
            <w:pPr>
              <w:pStyle w:val="TableBullet2"/>
              <w:numPr>
                <w:ilvl w:val="1"/>
                <w:numId w:val="5"/>
              </w:numPr>
            </w:pPr>
            <w:r w:rsidRPr="00207B8C">
              <w:t xml:space="preserve">questioning whether concession applications can be automated. There can be data matching issues with concession cards which impacts whether customers can access their entitlements. </w:t>
            </w:r>
          </w:p>
          <w:p w14:paraId="3C36C142" w14:textId="77777777" w:rsidR="00E21638" w:rsidRPr="00207B8C" w:rsidRDefault="00E21638" w:rsidP="00E21638">
            <w:pPr>
              <w:pStyle w:val="TableBullet2"/>
              <w:numPr>
                <w:ilvl w:val="1"/>
                <w:numId w:val="5"/>
              </w:numPr>
            </w:pPr>
            <w:r w:rsidRPr="00207B8C">
              <w:t>a simpler approach to concessions is needed. South Australia was cited as an example.</w:t>
            </w:r>
          </w:p>
          <w:p w14:paraId="1BA0E1F0" w14:textId="77777777" w:rsidR="00E21638" w:rsidRPr="00207B8C" w:rsidRDefault="00E21638" w:rsidP="00E21638">
            <w:pPr>
              <w:pStyle w:val="TableBullet2"/>
              <w:numPr>
                <w:ilvl w:val="1"/>
                <w:numId w:val="5"/>
              </w:numPr>
            </w:pPr>
            <w:r w:rsidRPr="00207B8C">
              <w:t xml:space="preserve">some customers are not using their entitlements around concessions and utility relief grants. </w:t>
            </w:r>
          </w:p>
          <w:p w14:paraId="06086951" w14:textId="77777777" w:rsidR="00E21638" w:rsidRPr="00207B8C" w:rsidRDefault="00E21638" w:rsidP="00E21638">
            <w:pPr>
              <w:pStyle w:val="TableBullet2"/>
              <w:numPr>
                <w:ilvl w:val="1"/>
                <w:numId w:val="5"/>
              </w:numPr>
            </w:pPr>
            <w:r w:rsidRPr="00207B8C">
              <w:t>not all customers who receive concessions fall into the framework, and vice versa.</w:t>
            </w:r>
          </w:p>
          <w:p w14:paraId="0BBCF397" w14:textId="77777777" w:rsidR="00E21638" w:rsidRPr="00207B8C" w:rsidRDefault="00E21638" w:rsidP="00E21638">
            <w:pPr>
              <w:pStyle w:val="TableBullet2"/>
              <w:numPr>
                <w:ilvl w:val="1"/>
                <w:numId w:val="5"/>
              </w:numPr>
            </w:pPr>
            <w:r w:rsidRPr="00207B8C">
              <w:t xml:space="preserve">concessions and Centrelink payments have not increased in line with utility bills. Therefore, a larger proportion of payments are going towards utility bills. </w:t>
            </w:r>
          </w:p>
          <w:p w14:paraId="6AD98CF1" w14:textId="77777777" w:rsidR="00E21638" w:rsidRPr="00207B8C" w:rsidRDefault="00E21638" w:rsidP="00E21638">
            <w:pPr>
              <w:pStyle w:val="TableBullet2"/>
              <w:numPr>
                <w:ilvl w:val="1"/>
                <w:numId w:val="5"/>
              </w:numPr>
            </w:pPr>
            <w:r w:rsidRPr="00207B8C">
              <w:t>people with concessions often have higher levels of energy consumption.</w:t>
            </w:r>
          </w:p>
        </w:tc>
      </w:tr>
      <w:tr w:rsidR="00E21638" w:rsidRPr="00207B8C" w14:paraId="77A04511" w14:textId="77777777" w:rsidTr="002A11EE">
        <w:trPr>
          <w:cnfStyle w:val="000000010000" w:firstRow="0" w:lastRow="0" w:firstColumn="0" w:lastColumn="0" w:oddVBand="0" w:evenVBand="0" w:oddHBand="0" w:evenHBand="1" w:firstRowFirstColumn="0" w:firstRowLastColumn="0" w:lastRowFirstColumn="0" w:lastRowLastColumn="0"/>
          <w:trHeight w:val="20"/>
        </w:trPr>
        <w:tc>
          <w:tcPr>
            <w:tcW w:w="0" w:type="auto"/>
            <w:gridSpan w:val="2"/>
            <w:shd w:val="clear" w:color="auto" w:fill="183028" w:themeFill="accent5"/>
            <w:vAlign w:val="center"/>
          </w:tcPr>
          <w:p w14:paraId="3AF8D8C1" w14:textId="77777777" w:rsidR="00E21638" w:rsidRPr="00625E59" w:rsidRDefault="00E21638" w:rsidP="001E50F2">
            <w:pPr>
              <w:pStyle w:val="1"/>
            </w:pPr>
            <w:r w:rsidRPr="00625E59">
              <w:t>Victorian government Power Saving Bonus scheme</w:t>
            </w:r>
          </w:p>
        </w:tc>
      </w:tr>
      <w:tr w:rsidR="00E21638" w:rsidRPr="00207B8C" w14:paraId="3F8A64D9" w14:textId="77777777" w:rsidTr="004F1BC7">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5A869F06" w14:textId="77777777" w:rsidR="00E21638" w:rsidRPr="00207B8C" w:rsidRDefault="00E21638" w:rsidP="004F1BC7">
            <w:r>
              <w:rPr>
                <w:noProof/>
              </w:rPr>
              <w:drawing>
                <wp:inline distT="0" distB="0" distL="0" distR="0" wp14:anchorId="6FCBE038" wp14:editId="0D505591">
                  <wp:extent cx="914400" cy="914400"/>
                  <wp:effectExtent l="0" t="0" r="0" b="0"/>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a:extLst>
                              <a:ext uri="{C183D7F6-B498-43B3-948B-1728B52AA6E4}">
                                <adec:decorative xmlns:adec="http://schemas.microsoft.com/office/drawing/2017/decorative" val="1"/>
                              </a:ext>
                            </a:extLst>
                          </pic:cNvPr>
                          <pic:cNvPicPr/>
                        </pic:nvPicPr>
                        <pic:blipFill>
                          <a:blip r:embed="rId186">
                            <a:extLst>
                              <a:ext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a:xfrm>
                            <a:off x="0" y="0"/>
                            <a:ext cx="914400" cy="914400"/>
                          </a:xfrm>
                          <a:prstGeom prst="rect">
                            <a:avLst/>
                          </a:prstGeom>
                        </pic:spPr>
                      </pic:pic>
                    </a:graphicData>
                  </a:graphic>
                </wp:inline>
              </w:drawing>
            </w:r>
          </w:p>
        </w:tc>
        <w:tc>
          <w:tcPr>
            <w:tcW w:w="0" w:type="auto"/>
          </w:tcPr>
          <w:p w14:paraId="798FA123" w14:textId="77777777" w:rsidR="00E21638" w:rsidRDefault="00E21638" w:rsidP="00E21638">
            <w:pPr>
              <w:pStyle w:val="TableBullet"/>
              <w:numPr>
                <w:ilvl w:val="0"/>
                <w:numId w:val="5"/>
              </w:numPr>
            </w:pPr>
            <w:r w:rsidRPr="00207B8C">
              <w:t xml:space="preserve">Some participants noted that the funding available for the power saving bonus did not match the number of eligible customers, and it was difficult to access compared to similar schemes in other states. </w:t>
            </w:r>
          </w:p>
          <w:p w14:paraId="1625B481" w14:textId="77777777" w:rsidR="00E21638" w:rsidRPr="00207B8C" w:rsidRDefault="00E21638" w:rsidP="00E21638">
            <w:pPr>
              <w:pStyle w:val="TableBullet"/>
              <w:numPr>
                <w:ilvl w:val="0"/>
                <w:numId w:val="5"/>
              </w:numPr>
            </w:pPr>
            <w:r w:rsidRPr="00207B8C">
              <w:t>Others noted that this scheme has been a gateway into information about the framework rights, utility relief grants, and concessions.</w:t>
            </w:r>
          </w:p>
        </w:tc>
      </w:tr>
      <w:tr w:rsidR="00E21638" w:rsidRPr="00207B8C" w14:paraId="5FE77B1D" w14:textId="77777777" w:rsidTr="002A11EE">
        <w:trPr>
          <w:cnfStyle w:val="000000010000" w:firstRow="0" w:lastRow="0" w:firstColumn="0" w:lastColumn="0" w:oddVBand="0" w:evenVBand="0" w:oddHBand="0" w:evenHBand="1" w:firstRowFirstColumn="0" w:firstRowLastColumn="0" w:lastRowFirstColumn="0" w:lastRowLastColumn="0"/>
          <w:trHeight w:val="20"/>
        </w:trPr>
        <w:tc>
          <w:tcPr>
            <w:tcW w:w="0" w:type="auto"/>
            <w:gridSpan w:val="2"/>
            <w:shd w:val="clear" w:color="auto" w:fill="183028" w:themeFill="accent5"/>
            <w:vAlign w:val="center"/>
          </w:tcPr>
          <w:p w14:paraId="3B4BA436" w14:textId="77777777" w:rsidR="00E21638" w:rsidRPr="00625E59" w:rsidRDefault="00E21638" w:rsidP="001E50F2">
            <w:pPr>
              <w:pStyle w:val="1"/>
            </w:pPr>
            <w:r w:rsidRPr="00625E59">
              <w:t>Systemic poverty and ongoing usage</w:t>
            </w:r>
          </w:p>
        </w:tc>
      </w:tr>
      <w:tr w:rsidR="00E21638" w:rsidRPr="00207B8C" w14:paraId="61763D72" w14:textId="77777777" w:rsidTr="004F1BC7">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4E6AFD06" w14:textId="77777777" w:rsidR="00E21638" w:rsidRPr="00207B8C" w:rsidRDefault="00E21638" w:rsidP="004F1BC7">
            <w:r>
              <w:rPr>
                <w:noProof/>
              </w:rPr>
              <w:drawing>
                <wp:inline distT="0" distB="0" distL="0" distR="0" wp14:anchorId="0AFE1781" wp14:editId="5DEF458F">
                  <wp:extent cx="914400" cy="914400"/>
                  <wp:effectExtent l="0" t="0" r="0" b="0"/>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188">
                            <a:extLst>
                              <a:ext uri="{28A0092B-C50C-407E-A947-70E740481C1C}">
                                <a14:useLocalDpi xmlns:a14="http://schemas.microsoft.com/office/drawing/2010/main" val="0"/>
                              </a:ext>
                              <a:ext uri="{96DAC541-7B7A-43D3-8B79-37D633B846F1}">
                                <asvg:svgBlip xmlns:asvg="http://schemas.microsoft.com/office/drawing/2016/SVG/main" r:embed="rId189"/>
                              </a:ext>
                            </a:extLst>
                          </a:blip>
                          <a:stretch>
                            <a:fillRect/>
                          </a:stretch>
                        </pic:blipFill>
                        <pic:spPr>
                          <a:xfrm>
                            <a:off x="0" y="0"/>
                            <a:ext cx="914400" cy="914400"/>
                          </a:xfrm>
                          <a:prstGeom prst="rect">
                            <a:avLst/>
                          </a:prstGeom>
                        </pic:spPr>
                      </pic:pic>
                    </a:graphicData>
                  </a:graphic>
                </wp:inline>
              </w:drawing>
            </w:r>
          </w:p>
        </w:tc>
        <w:tc>
          <w:tcPr>
            <w:tcW w:w="0" w:type="auto"/>
          </w:tcPr>
          <w:p w14:paraId="7979A1D3" w14:textId="77777777" w:rsidR="00E21638" w:rsidRDefault="00E21638" w:rsidP="00E21638">
            <w:pPr>
              <w:pStyle w:val="TableBullet"/>
              <w:numPr>
                <w:ilvl w:val="0"/>
                <w:numId w:val="5"/>
              </w:numPr>
            </w:pPr>
            <w:r w:rsidRPr="00207B8C">
              <w:t xml:space="preserve">Some raised the issue of chronic poverty, which cannot be alleviated by retailer assistance without wider support from government. </w:t>
            </w:r>
          </w:p>
          <w:p w14:paraId="4A4202E7" w14:textId="77777777" w:rsidR="00E21638" w:rsidRPr="00207B8C" w:rsidRDefault="00E21638" w:rsidP="00E21638">
            <w:pPr>
              <w:pStyle w:val="TableBullet"/>
              <w:numPr>
                <w:ilvl w:val="0"/>
                <w:numId w:val="5"/>
              </w:numPr>
            </w:pPr>
            <w:r w:rsidRPr="00207B8C">
              <w:t>Others noted that further government assistance is required on a regular basis for those who cannot pay for ongoing usage.</w:t>
            </w:r>
          </w:p>
        </w:tc>
      </w:tr>
    </w:tbl>
    <w:p w14:paraId="10201CFA" w14:textId="77777777" w:rsidR="00E21638" w:rsidRDefault="00E21638" w:rsidP="00E21638">
      <w:pPr>
        <w:spacing w:before="0" w:line="259" w:lineRule="auto"/>
      </w:pPr>
    </w:p>
    <w:sectPr w:rsidR="00E21638" w:rsidSect="004E5188">
      <w:headerReference w:type="default" r:id="rId190"/>
      <w:footerReference w:type="default" r:id="rId191"/>
      <w:type w:val="continuous"/>
      <w:pgSz w:w="11906" w:h="16838" w:code="9"/>
      <w:pgMar w:top="1134" w:right="1134" w:bottom="1134" w:left="1134"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C74F1" w14:textId="77777777" w:rsidR="007B0C29" w:rsidRDefault="007B0C29" w:rsidP="00AE03FA">
      <w:pPr>
        <w:spacing w:after="0"/>
      </w:pPr>
      <w:r>
        <w:separator/>
      </w:r>
    </w:p>
    <w:p w14:paraId="540F3517" w14:textId="77777777" w:rsidR="007B0C29" w:rsidRDefault="007B0C29"/>
  </w:endnote>
  <w:endnote w:type="continuationSeparator" w:id="0">
    <w:p w14:paraId="20DDC2E4" w14:textId="77777777" w:rsidR="007B0C29" w:rsidRDefault="007B0C29" w:rsidP="00AE03FA">
      <w:pPr>
        <w:spacing w:after="0"/>
      </w:pPr>
      <w:r>
        <w:continuationSeparator/>
      </w:r>
    </w:p>
    <w:p w14:paraId="768A5A19" w14:textId="77777777" w:rsidR="007B0C29" w:rsidRDefault="007B0C29"/>
  </w:endnote>
  <w:endnote w:type="continuationNotice" w:id="1">
    <w:p w14:paraId="4A7165A4" w14:textId="77777777" w:rsidR="007B0C29" w:rsidRDefault="007B0C2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pleSystemUIFont">
    <w:altName w:val="Cambria"/>
    <w:charset w:val="00"/>
    <w:family w:val="roman"/>
    <w:pitch w:val="default"/>
  </w:font>
  <w:font w:name=".SFUI-Regular">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A579" w14:textId="2F977676" w:rsidR="0053167F" w:rsidRDefault="0053167F">
    <w:pPr>
      <w:pStyle w:val="Footer"/>
    </w:pPr>
  </w:p>
  <w:p w14:paraId="2F255424" w14:textId="77777777" w:rsidR="001D7BDB" w:rsidRDefault="001D7BD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1E88" w14:textId="77777777" w:rsidR="00C43F4C" w:rsidRDefault="00C43F4C" w:rsidP="00DC3F20">
    <w:pPr>
      <w:pStyle w:val="FooterSpace"/>
      <w:ind w:right="707"/>
    </w:pPr>
    <w:r>
      <w:t>Executive summary</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C43F4C" w14:paraId="512F80F7" w14:textId="77777777" w:rsidTr="00DC3F2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2F184583" w14:textId="77777777" w:rsidR="00C43F4C" w:rsidRPr="009E15D6" w:rsidRDefault="00C43F4C" w:rsidP="00DC3F2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4</w:t>
          </w:r>
          <w:r w:rsidRPr="009E15D6">
            <w:rPr>
              <w:rStyle w:val="PageNumber"/>
            </w:rPr>
            <w:fldChar w:fldCharType="end"/>
          </w:r>
        </w:p>
      </w:tc>
    </w:tr>
  </w:tbl>
  <w:p w14:paraId="26735D6C" w14:textId="67BBB70D" w:rsidR="00C43F4C" w:rsidRPr="00F66A07" w:rsidRDefault="00C43F4C" w:rsidP="00DC3F20">
    <w:pPr>
      <w:pStyle w:val="Footer"/>
      <w:ind w:right="707"/>
      <w:rPr>
        <w:b/>
      </w:rPr>
    </w:pPr>
    <w:r>
      <w:t xml:space="preserve">Essential Services Commission </w:t>
    </w:r>
    <w:r w:rsidR="00177C04">
      <w:rPr>
        <w:b/>
      </w:rPr>
      <w:t>Payment difficulty framework implementation review 2022</w:t>
    </w:r>
    <w:r>
      <w:rPr>
        <w:b/>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FAB9" w14:textId="77777777" w:rsidR="00C43F4C" w:rsidRDefault="00C43F4C" w:rsidP="00DC3F20">
    <w:pPr>
      <w:pStyle w:val="FooterSpace"/>
      <w:ind w:right="707"/>
    </w:pPr>
    <w:r>
      <w:t>Introduction</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C43F4C" w14:paraId="0D27C24F" w14:textId="77777777" w:rsidTr="00DC3F2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28457F0C" w14:textId="77777777" w:rsidR="00C43F4C" w:rsidRPr="009E15D6" w:rsidRDefault="00C43F4C" w:rsidP="00DC3F2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4</w:t>
          </w:r>
          <w:r w:rsidRPr="009E15D6">
            <w:rPr>
              <w:rStyle w:val="PageNumber"/>
            </w:rPr>
            <w:fldChar w:fldCharType="end"/>
          </w:r>
        </w:p>
      </w:tc>
    </w:tr>
  </w:tbl>
  <w:p w14:paraId="49560719" w14:textId="37A93E8C" w:rsidR="00C43F4C" w:rsidRPr="00F66A07" w:rsidRDefault="00C43F4C" w:rsidP="00DC3F20">
    <w:pPr>
      <w:pStyle w:val="Footer"/>
      <w:ind w:right="707"/>
      <w:rPr>
        <w:b/>
      </w:rPr>
    </w:pPr>
    <w:r>
      <w:t xml:space="preserve">Essential Services Commission </w:t>
    </w:r>
    <w:r w:rsidR="00177C04">
      <w:rPr>
        <w:b/>
      </w:rPr>
      <w:t>Payment difficulty framework implementation review 2022</w:t>
    </w:r>
    <w:r>
      <w:rPr>
        <w:b/>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02EF1" w14:textId="77777777" w:rsidR="00C43F4C" w:rsidRDefault="00C43F4C" w:rsidP="00DC3F20">
    <w:pPr>
      <w:pStyle w:val="FooterSpace"/>
      <w:ind w:right="707"/>
    </w:pPr>
    <w:r>
      <w:t>Our approach</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C43F4C" w14:paraId="71DCA1D3" w14:textId="77777777" w:rsidTr="00DC3F2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05D5B064" w14:textId="77777777" w:rsidR="00C43F4C" w:rsidRPr="009E15D6" w:rsidRDefault="00C43F4C" w:rsidP="00DC3F2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4</w:t>
          </w:r>
          <w:r w:rsidRPr="009E15D6">
            <w:rPr>
              <w:rStyle w:val="PageNumber"/>
            </w:rPr>
            <w:fldChar w:fldCharType="end"/>
          </w:r>
        </w:p>
      </w:tc>
    </w:tr>
  </w:tbl>
  <w:p w14:paraId="38391004" w14:textId="651B507D" w:rsidR="00C43F4C" w:rsidRPr="00F66A07" w:rsidRDefault="00C43F4C" w:rsidP="00DC3F20">
    <w:pPr>
      <w:pStyle w:val="Footer"/>
      <w:ind w:right="707"/>
      <w:rPr>
        <w:b/>
      </w:rPr>
    </w:pPr>
    <w:r>
      <w:t xml:space="preserve">Essential Services Commission </w:t>
    </w:r>
    <w:r w:rsidR="00177C04">
      <w:rPr>
        <w:b/>
      </w:rPr>
      <w:t>Payment difficulty framework implementation review 2022</w:t>
    </w:r>
    <w:r>
      <w:rPr>
        <w:b/>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9FF9" w14:textId="77777777" w:rsidR="00C43F4C" w:rsidRDefault="00C43F4C" w:rsidP="00DC3F20">
    <w:pPr>
      <w:pStyle w:val="FooterSpace"/>
      <w:ind w:right="707"/>
    </w:pPr>
    <w:r w:rsidRPr="00F51FFE">
      <w:t>Common themes across the framework</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C43F4C" w14:paraId="5E109BC7" w14:textId="77777777" w:rsidTr="00DC3F2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2BBBC8BC" w14:textId="77777777" w:rsidR="00C43F4C" w:rsidRPr="009E15D6" w:rsidRDefault="00C43F4C" w:rsidP="00DC3F2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4</w:t>
          </w:r>
          <w:r w:rsidRPr="009E15D6">
            <w:rPr>
              <w:rStyle w:val="PageNumber"/>
            </w:rPr>
            <w:fldChar w:fldCharType="end"/>
          </w:r>
        </w:p>
      </w:tc>
    </w:tr>
  </w:tbl>
  <w:p w14:paraId="3E350612" w14:textId="66FDA291" w:rsidR="00C43F4C" w:rsidRPr="00F66A07" w:rsidRDefault="00C43F4C" w:rsidP="00DC3F20">
    <w:pPr>
      <w:pStyle w:val="Footer"/>
      <w:ind w:right="707"/>
      <w:rPr>
        <w:b/>
      </w:rPr>
    </w:pPr>
    <w:r>
      <w:t xml:space="preserve">Essential Services Commission </w:t>
    </w:r>
    <w:r w:rsidR="00177C04">
      <w:rPr>
        <w:b/>
      </w:rPr>
      <w:t>Payment difficulty framework implementation review 2022</w:t>
    </w:r>
    <w:r>
      <w:rPr>
        <w:b/>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C389B" w14:textId="77777777" w:rsidR="00C43F4C" w:rsidRDefault="00C43F4C" w:rsidP="00DC3F20">
    <w:pPr>
      <w:pStyle w:val="FooterSpace"/>
      <w:ind w:right="707"/>
    </w:pPr>
    <w:r w:rsidRPr="00F51FFE">
      <w:t>Are residential energy customers avoiding getting into arrears with their retailer?</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C43F4C" w14:paraId="279AD755" w14:textId="77777777" w:rsidTr="00DC3F2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67F470DE" w14:textId="77777777" w:rsidR="00C43F4C" w:rsidRPr="009E15D6" w:rsidRDefault="00C43F4C" w:rsidP="00DC3F2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4</w:t>
          </w:r>
          <w:r w:rsidRPr="009E15D6">
            <w:rPr>
              <w:rStyle w:val="PageNumber"/>
            </w:rPr>
            <w:fldChar w:fldCharType="end"/>
          </w:r>
        </w:p>
      </w:tc>
    </w:tr>
  </w:tbl>
  <w:p w14:paraId="7A4393D1" w14:textId="1A378CA3" w:rsidR="00C43F4C" w:rsidRPr="00F66A07" w:rsidRDefault="00C43F4C" w:rsidP="00DC3F20">
    <w:pPr>
      <w:pStyle w:val="Footer"/>
      <w:ind w:right="707"/>
      <w:rPr>
        <w:b/>
      </w:rPr>
    </w:pPr>
    <w:r>
      <w:t xml:space="preserve">Essential Services Commission </w:t>
    </w:r>
    <w:r w:rsidR="00177C04">
      <w:rPr>
        <w:b/>
      </w:rPr>
      <w:t>Payment difficulty framework implementation review 2022</w:t>
    </w:r>
    <w:r>
      <w:rPr>
        <w:b/>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8E40C" w14:textId="77777777" w:rsidR="00C43F4C" w:rsidRDefault="00C43F4C" w:rsidP="00DC3F20">
    <w:pPr>
      <w:pStyle w:val="FooterSpace"/>
      <w:ind w:right="707"/>
    </w:pPr>
    <w:r w:rsidRPr="009A011A">
      <w:t>Are residential energy customers supported to pay their ongoing energy use, repay their arrears and lower their energy costs?</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C43F4C" w14:paraId="1AB02B95" w14:textId="77777777" w:rsidTr="00DC3F2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1311532A" w14:textId="77777777" w:rsidR="00C43F4C" w:rsidRPr="009E15D6" w:rsidRDefault="00C43F4C" w:rsidP="00DC3F2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4</w:t>
          </w:r>
          <w:r w:rsidRPr="009E15D6">
            <w:rPr>
              <w:rStyle w:val="PageNumber"/>
            </w:rPr>
            <w:fldChar w:fldCharType="end"/>
          </w:r>
        </w:p>
      </w:tc>
    </w:tr>
  </w:tbl>
  <w:p w14:paraId="7384A4E1" w14:textId="0856CD37" w:rsidR="00C43F4C" w:rsidRPr="00F66A07" w:rsidRDefault="00C43F4C" w:rsidP="00DC3F20">
    <w:pPr>
      <w:pStyle w:val="Footer"/>
      <w:ind w:right="707"/>
      <w:rPr>
        <w:b/>
      </w:rPr>
    </w:pPr>
    <w:r>
      <w:t xml:space="preserve">Essential Services Commission </w:t>
    </w:r>
    <w:r w:rsidR="00177C04">
      <w:rPr>
        <w:b/>
      </w:rPr>
      <w:t>Payment difficulty framework implementation review 2022</w:t>
    </w:r>
    <w:r>
      <w:rPr>
        <w:b/>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6F940" w14:textId="77777777" w:rsidR="00C43F4C" w:rsidRDefault="00C43F4C" w:rsidP="00DC3F20">
    <w:pPr>
      <w:pStyle w:val="FooterSpace"/>
      <w:ind w:right="707"/>
    </w:pPr>
    <w:r w:rsidRPr="00E21D38">
      <w:t>Areas for improvement and further work</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C43F4C" w14:paraId="3CF603A2" w14:textId="77777777" w:rsidTr="00DC3F2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3054B6D0" w14:textId="77777777" w:rsidR="00C43F4C" w:rsidRPr="009E15D6" w:rsidRDefault="00C43F4C" w:rsidP="00DC3F2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4</w:t>
          </w:r>
          <w:r w:rsidRPr="009E15D6">
            <w:rPr>
              <w:rStyle w:val="PageNumber"/>
            </w:rPr>
            <w:fldChar w:fldCharType="end"/>
          </w:r>
        </w:p>
      </w:tc>
    </w:tr>
  </w:tbl>
  <w:p w14:paraId="44F62EED" w14:textId="227896BF" w:rsidR="00C43F4C" w:rsidRPr="00F66A07" w:rsidRDefault="00C43F4C" w:rsidP="00DC3F20">
    <w:pPr>
      <w:pStyle w:val="Footer"/>
      <w:ind w:right="707"/>
      <w:rPr>
        <w:b/>
      </w:rPr>
    </w:pPr>
    <w:r>
      <w:t xml:space="preserve">Essential Services Commission </w:t>
    </w:r>
    <w:r w:rsidR="00177C04">
      <w:rPr>
        <w:b/>
      </w:rPr>
      <w:t>Payment difficulty framework implementation review 2022</w:t>
    </w:r>
    <w:r>
      <w:rPr>
        <w:b/>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046D" w14:textId="77777777" w:rsidR="00C43F4C" w:rsidRDefault="00C43F4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CD42" w14:textId="68D164EC" w:rsidR="006F1802" w:rsidRDefault="006F1802" w:rsidP="00DC3F20">
    <w:pPr>
      <w:pStyle w:val="FooterSpace"/>
      <w:ind w:right="707"/>
    </w:pPr>
    <w:r>
      <w:t>Next steps</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6F1802" w14:paraId="28F8D974" w14:textId="77777777" w:rsidTr="00DC3F2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49003B89" w14:textId="77777777" w:rsidR="006F1802" w:rsidRPr="009E15D6" w:rsidRDefault="006F1802" w:rsidP="00DC3F2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4</w:t>
          </w:r>
          <w:r w:rsidRPr="009E15D6">
            <w:rPr>
              <w:rStyle w:val="PageNumber"/>
            </w:rPr>
            <w:fldChar w:fldCharType="end"/>
          </w:r>
        </w:p>
      </w:tc>
    </w:tr>
  </w:tbl>
  <w:p w14:paraId="22A6F30B" w14:textId="1F85E067" w:rsidR="00CD3855" w:rsidRPr="00F66A07" w:rsidRDefault="006F1802" w:rsidP="00DC3F20">
    <w:pPr>
      <w:pStyle w:val="Footer"/>
      <w:ind w:right="707"/>
      <w:rPr>
        <w:b/>
      </w:rPr>
    </w:pPr>
    <w:r>
      <w:t xml:space="preserve">Essential Services Commission </w:t>
    </w:r>
    <w:r>
      <w:rPr>
        <w:b/>
      </w:rPr>
      <w:t xml:space="preserve">Payment difficulty framework implementation review 2022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C4293" w14:textId="77777777" w:rsidR="00C43F4C" w:rsidRDefault="00C43F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E069C" w14:textId="77777777" w:rsidR="00357DD7" w:rsidRDefault="00357DD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61EB" w14:textId="77777777" w:rsidR="002A3C51" w:rsidRDefault="002A3C5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B5EC4" w14:textId="38FE5A5C" w:rsidR="00770AFA" w:rsidRDefault="00770AFA" w:rsidP="00DC3F20">
    <w:pPr>
      <w:pStyle w:val="FooterSpace"/>
      <w:ind w:right="707"/>
    </w:pPr>
    <w:r>
      <w:t>Appendices</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770AFA" w14:paraId="0159590C" w14:textId="77777777" w:rsidTr="00DC3F2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317F7286" w14:textId="77777777" w:rsidR="00770AFA" w:rsidRPr="009E15D6" w:rsidRDefault="00770AFA" w:rsidP="00DC3F2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4</w:t>
          </w:r>
          <w:r w:rsidRPr="009E15D6">
            <w:rPr>
              <w:rStyle w:val="PageNumber"/>
            </w:rPr>
            <w:fldChar w:fldCharType="end"/>
          </w:r>
        </w:p>
      </w:tc>
    </w:tr>
  </w:tbl>
  <w:p w14:paraId="5BB9D715" w14:textId="5C686964" w:rsidR="002A3C51" w:rsidRPr="002C2ADF" w:rsidRDefault="002A3C51" w:rsidP="00DC3F20">
    <w:pPr>
      <w:pStyle w:val="Footer"/>
      <w:ind w:right="707"/>
      <w:rPr>
        <w:b/>
      </w:rPr>
    </w:pPr>
    <w:r>
      <w:t xml:space="preserve">Essential Services Commission </w:t>
    </w:r>
    <w:r>
      <w:rPr>
        <w:b/>
      </w:rPr>
      <w:t xml:space="preserve">Payment difficulty framework implementation review 2022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9279D" w14:textId="77777777" w:rsidR="002A3C51" w:rsidRDefault="002A3C5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2DDA9" w14:textId="0A260163" w:rsidR="006F1802" w:rsidRDefault="006F1802" w:rsidP="00DC3F20">
    <w:pPr>
      <w:pStyle w:val="FooterSpace"/>
      <w:ind w:right="707"/>
    </w:pPr>
    <w:r>
      <w:t>Appendices</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6F1802" w14:paraId="1D5C3C51" w14:textId="77777777" w:rsidTr="00DC3F2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072E7C1E" w14:textId="77777777" w:rsidR="006F1802" w:rsidRPr="009E15D6" w:rsidRDefault="006F1802" w:rsidP="00DC3F2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4</w:t>
          </w:r>
          <w:r w:rsidRPr="009E15D6">
            <w:rPr>
              <w:rStyle w:val="PageNumber"/>
            </w:rPr>
            <w:fldChar w:fldCharType="end"/>
          </w:r>
        </w:p>
      </w:tc>
    </w:tr>
  </w:tbl>
  <w:p w14:paraId="53F014AA" w14:textId="11CC62C7" w:rsidR="00CD3855" w:rsidRPr="00F66A07" w:rsidRDefault="006F1802" w:rsidP="00DC3F20">
    <w:pPr>
      <w:pStyle w:val="Footer"/>
      <w:ind w:right="707"/>
      <w:rPr>
        <w:b/>
      </w:rPr>
    </w:pPr>
    <w:r>
      <w:t xml:space="preserve">Essential Services Commission </w:t>
    </w:r>
    <w:r>
      <w:rPr>
        <w:b/>
      </w:rPr>
      <w:t xml:space="preserve">Payment difficulty framework implementation review 2022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A81E" w14:textId="77777777" w:rsidR="00357DD7" w:rsidRDefault="00357D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B964" w14:textId="77777777" w:rsidR="003A30F3" w:rsidRDefault="003A30F3" w:rsidP="00A236AB">
    <w:pPr>
      <w:pStyle w:val="FooterSpace"/>
      <w:ind w:right="707"/>
    </w:pPr>
    <w:r>
      <w:t>Preface</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3889A4C0"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DB309BE"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w:t>
          </w:r>
          <w:r w:rsidRPr="009E15D6">
            <w:rPr>
              <w:rStyle w:val="PageNumber"/>
            </w:rPr>
            <w:fldChar w:fldCharType="end"/>
          </w:r>
        </w:p>
      </w:tc>
    </w:tr>
  </w:tbl>
  <w:p w14:paraId="138234B7" w14:textId="5E1B8CAB" w:rsidR="003A30F3" w:rsidRPr="002C2ADF" w:rsidRDefault="003A30F3" w:rsidP="00A236AB">
    <w:pPr>
      <w:pStyle w:val="Footer"/>
      <w:ind w:right="707"/>
      <w:rPr>
        <w:b/>
      </w:rPr>
    </w:pPr>
    <w:r>
      <w:t xml:space="preserve">Essential Services Commission </w:t>
    </w:r>
    <w:r w:rsidR="00177C04">
      <w:rPr>
        <w:b/>
      </w:rPr>
      <w:t>Payment difficulty framework implementation review 2022</w:t>
    </w:r>
    <w:r>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7DA0B" w14:textId="77777777" w:rsidR="00C43F4C" w:rsidRPr="00707B2F" w:rsidRDefault="00C43F4C" w:rsidP="00A236AB">
    <w:pPr>
      <w:pStyle w:val="FooterSpace"/>
      <w:ind w:right="707"/>
    </w:pPr>
    <w:r>
      <w:t>Contents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C43F4C" w14:paraId="32AD4B6E"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C94C744" w14:textId="77777777" w:rsidR="00C43F4C" w:rsidRPr="009E15D6" w:rsidRDefault="00C43F4C"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iii</w:t>
          </w:r>
          <w:r w:rsidRPr="009E15D6">
            <w:rPr>
              <w:rStyle w:val="PageNumber"/>
            </w:rPr>
            <w:fldChar w:fldCharType="end"/>
          </w:r>
        </w:p>
      </w:tc>
    </w:tr>
  </w:tbl>
  <w:p w14:paraId="3D3378A1" w14:textId="5EF8AF30" w:rsidR="00C43F4C" w:rsidRPr="002C2ADF" w:rsidRDefault="00C43F4C" w:rsidP="00A236AB">
    <w:pPr>
      <w:pStyle w:val="Footer"/>
      <w:ind w:right="283"/>
      <w:rPr>
        <w:b/>
      </w:rPr>
    </w:pPr>
    <w:r>
      <w:t xml:space="preserve">Essential Services Commission </w:t>
    </w:r>
    <w:r w:rsidR="00177C04">
      <w:rPr>
        <w:b/>
      </w:rPr>
      <w:t>Payment difficulty framework implementation review 2022</w:t>
    </w:r>
    <w:r>
      <w:rPr>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33F2" w14:textId="77777777" w:rsidR="00C43F4C" w:rsidRPr="00707B2F" w:rsidRDefault="00C43F4C" w:rsidP="00DC3F20">
    <w:pPr>
      <w:pStyle w:val="FooterSpace"/>
      <w:ind w:right="707"/>
    </w:pPr>
    <w:r>
      <w:t>Preface</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C43F4C" w14:paraId="5435D230" w14:textId="77777777" w:rsidTr="00DC3F2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D507F70" w14:textId="77777777" w:rsidR="00C43F4C" w:rsidRPr="009E15D6" w:rsidRDefault="00C43F4C" w:rsidP="00DC3F2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iii</w:t>
          </w:r>
          <w:r w:rsidRPr="009E15D6">
            <w:rPr>
              <w:rStyle w:val="PageNumber"/>
            </w:rPr>
            <w:fldChar w:fldCharType="end"/>
          </w:r>
        </w:p>
      </w:tc>
    </w:tr>
  </w:tbl>
  <w:p w14:paraId="2FCD67DC" w14:textId="2A80ACE9" w:rsidR="00C43F4C" w:rsidRPr="00E5390E" w:rsidRDefault="00C43F4C" w:rsidP="00DC3F20">
    <w:pPr>
      <w:pStyle w:val="Footer"/>
      <w:ind w:right="283"/>
      <w:rPr>
        <w:b/>
      </w:rPr>
    </w:pPr>
    <w:r>
      <w:t xml:space="preserve">Essential Services Commission </w:t>
    </w:r>
    <w:r w:rsidR="00177C04">
      <w:rPr>
        <w:b/>
      </w:rPr>
      <w:t>Payment difficulty framework implementation review 2022</w:t>
    </w:r>
    <w:r>
      <w:rPr>
        <w: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382B0" w14:textId="77777777" w:rsidR="00C43F4C" w:rsidRDefault="00C43F4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EE96" w14:textId="77777777" w:rsidR="00C43F4C" w:rsidRDefault="00C43F4C" w:rsidP="00DC3F20">
    <w:pPr>
      <w:pStyle w:val="FooterSpace"/>
      <w:ind w:right="707"/>
    </w:pPr>
    <w:r>
      <w:t>Contents</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C43F4C" w14:paraId="0E5C30D0" w14:textId="77777777" w:rsidTr="00DC3F2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72DFCA2E" w14:textId="77777777" w:rsidR="00C43F4C" w:rsidRPr="009E15D6" w:rsidRDefault="00C43F4C" w:rsidP="00DC3F2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4</w:t>
          </w:r>
          <w:r w:rsidRPr="009E15D6">
            <w:rPr>
              <w:rStyle w:val="PageNumber"/>
            </w:rPr>
            <w:fldChar w:fldCharType="end"/>
          </w:r>
        </w:p>
      </w:tc>
    </w:tr>
  </w:tbl>
  <w:p w14:paraId="01C956D6" w14:textId="40A693FC" w:rsidR="00C43F4C" w:rsidRPr="00F66A07" w:rsidRDefault="00C43F4C" w:rsidP="00DC3F20">
    <w:pPr>
      <w:pStyle w:val="Footer"/>
      <w:ind w:right="707"/>
      <w:rPr>
        <w:b/>
      </w:rPr>
    </w:pPr>
    <w:r>
      <w:t xml:space="preserve">Essential Services Commission </w:t>
    </w:r>
    <w:r w:rsidR="00177C04">
      <w:rPr>
        <w:b/>
      </w:rPr>
      <w:t>Payment difficulty framework implementation review 2022</w:t>
    </w:r>
    <w:r>
      <w:rPr>
        <w:b/>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4D289" w14:textId="77777777" w:rsidR="00C43F4C" w:rsidRDefault="00C43F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60384" w14:textId="77777777" w:rsidR="007B0C29" w:rsidRPr="00CF33F6" w:rsidRDefault="007B0C29" w:rsidP="00AE03FA">
      <w:pPr>
        <w:spacing w:after="0"/>
        <w:rPr>
          <w:color w:val="75787B" w:themeColor="background2"/>
        </w:rPr>
      </w:pPr>
      <w:bookmarkStart w:id="0" w:name="_Hlk480978878"/>
      <w:bookmarkEnd w:id="0"/>
      <w:r w:rsidRPr="00CF33F6">
        <w:rPr>
          <w:color w:val="75787B" w:themeColor="background2"/>
        </w:rPr>
        <w:separator/>
      </w:r>
    </w:p>
    <w:p w14:paraId="0E31AB29" w14:textId="77777777" w:rsidR="007B0C29" w:rsidRDefault="007B0C29" w:rsidP="00CF33F6">
      <w:pPr>
        <w:pStyle w:val="NoSpacing"/>
      </w:pPr>
    </w:p>
  </w:footnote>
  <w:footnote w:type="continuationSeparator" w:id="0">
    <w:p w14:paraId="20B23B29" w14:textId="77777777" w:rsidR="007B0C29" w:rsidRDefault="007B0C29" w:rsidP="00AE03FA">
      <w:pPr>
        <w:spacing w:after="0"/>
      </w:pPr>
      <w:r>
        <w:continuationSeparator/>
      </w:r>
    </w:p>
    <w:p w14:paraId="70946AA9" w14:textId="77777777" w:rsidR="007B0C29" w:rsidRDefault="007B0C29"/>
  </w:footnote>
  <w:footnote w:type="continuationNotice" w:id="1">
    <w:p w14:paraId="315F8C0B" w14:textId="77777777" w:rsidR="007B0C29" w:rsidRDefault="007B0C29">
      <w:pPr>
        <w:spacing w:before="0" w:after="0" w:line="240" w:lineRule="auto"/>
      </w:pPr>
    </w:p>
  </w:footnote>
  <w:footnote w:id="2">
    <w:p w14:paraId="534B0146" w14:textId="77777777" w:rsidR="00C43F4C" w:rsidRPr="00601902" w:rsidRDefault="00C43F4C" w:rsidP="00C43F4C">
      <w:pPr>
        <w:pStyle w:val="FootnoteText"/>
        <w:rPr>
          <w:lang w:val="en-US"/>
        </w:rPr>
      </w:pPr>
      <w:r>
        <w:rPr>
          <w:rStyle w:val="FootnoteReference"/>
        </w:rPr>
        <w:footnoteRef/>
      </w:r>
      <w:r>
        <w:t xml:space="preserve"> At that time, this was version 12 of the </w:t>
      </w:r>
      <w:r>
        <w:rPr>
          <w:lang w:val="en-US"/>
        </w:rPr>
        <w:t xml:space="preserve">Energy Retail Code. The framework is now in the Energy Retail Code of Practice, and specific provisions relating to disconnection have been transferred </w:t>
      </w:r>
      <w:bookmarkStart w:id="16" w:name="_Int_Eb8YGsLX"/>
      <w:r>
        <w:rPr>
          <w:lang w:val="en-US"/>
        </w:rPr>
        <w:t>to</w:t>
      </w:r>
      <w:bookmarkEnd w:id="16"/>
      <w:r>
        <w:rPr>
          <w:lang w:val="en-US"/>
        </w:rPr>
        <w:t xml:space="preserve"> the Electricity Industry Act 2000 and Gas Industry Act 2001.</w:t>
      </w:r>
    </w:p>
  </w:footnote>
  <w:footnote w:id="3">
    <w:p w14:paraId="12EFE206" w14:textId="6B59B8EB" w:rsidR="003159F6" w:rsidRPr="003159F6" w:rsidRDefault="003159F6">
      <w:pPr>
        <w:pStyle w:val="FootnoteText"/>
        <w:rPr>
          <w:lang w:val="en-US"/>
        </w:rPr>
      </w:pPr>
      <w:r>
        <w:rPr>
          <w:rStyle w:val="FootnoteReference"/>
        </w:rPr>
        <w:footnoteRef/>
      </w:r>
      <w:r>
        <w:t xml:space="preserve"> </w:t>
      </w:r>
      <w:r w:rsidR="00583E20">
        <w:rPr>
          <w:lang w:val="en-US"/>
        </w:rPr>
        <w:t>Essential Services Commission</w:t>
      </w:r>
      <w:r w:rsidR="008335E7">
        <w:rPr>
          <w:lang w:val="en-US"/>
        </w:rPr>
        <w:t>,</w:t>
      </w:r>
      <w:r w:rsidR="00583E20">
        <w:t xml:space="preserve"> </w:t>
      </w:r>
      <w:r>
        <w:t xml:space="preserve">‘Supporting customers, avoiding labels: Energy hardship inquiry final report’, </w:t>
      </w:r>
      <w:r w:rsidR="005D0789">
        <w:rPr>
          <w:lang w:val="en-US"/>
        </w:rPr>
        <w:t>22 March 2016</w:t>
      </w:r>
    </w:p>
  </w:footnote>
  <w:footnote w:id="4">
    <w:p w14:paraId="7F7CB371" w14:textId="5E6491AF" w:rsidR="00C43F4C" w:rsidRPr="00C42BDC" w:rsidRDefault="00C43F4C" w:rsidP="00C43F4C">
      <w:pPr>
        <w:pStyle w:val="FootnoteText"/>
        <w:rPr>
          <w:lang w:val="en-GB"/>
        </w:rPr>
      </w:pPr>
      <w:r>
        <w:rPr>
          <w:rStyle w:val="FootnoteReference"/>
        </w:rPr>
        <w:footnoteRef/>
      </w:r>
      <w:r>
        <w:t xml:space="preserve"> </w:t>
      </w:r>
      <w:r w:rsidR="008335E7">
        <w:t>Known</w:t>
      </w:r>
      <w:r>
        <w:rPr>
          <w:lang w:val="en-GB"/>
        </w:rPr>
        <w:t xml:space="preserve"> as the Energy Retail Code of Practice as of 1 March 2022.</w:t>
      </w:r>
    </w:p>
  </w:footnote>
  <w:footnote w:id="5">
    <w:p w14:paraId="6DFCEE29" w14:textId="04288869" w:rsidR="00C43F4C" w:rsidRPr="00F43448" w:rsidRDefault="00C43F4C" w:rsidP="00C43F4C">
      <w:pPr>
        <w:pStyle w:val="FootnoteText"/>
        <w:rPr>
          <w:lang w:val="en-US"/>
        </w:rPr>
      </w:pPr>
      <w:r w:rsidRPr="003B01C9">
        <w:rPr>
          <w:rStyle w:val="FootnoteReference"/>
        </w:rPr>
        <w:footnoteRef/>
      </w:r>
      <w:r w:rsidRPr="003B01C9">
        <w:t xml:space="preserve"> </w:t>
      </w:r>
      <w:r w:rsidRPr="00570D74">
        <w:rPr>
          <w:i/>
        </w:rPr>
        <w:t>Electricity Industry Act</w:t>
      </w:r>
      <w:r>
        <w:t xml:space="preserve"> 2000</w:t>
      </w:r>
      <w:r w:rsidR="00570D74">
        <w:t xml:space="preserve"> (Vic)</w:t>
      </w:r>
      <w:r>
        <w:t xml:space="preserve">, section 10(c); </w:t>
      </w:r>
      <w:r w:rsidRPr="00570D74">
        <w:rPr>
          <w:i/>
        </w:rPr>
        <w:t xml:space="preserve">Gas Industry Act </w:t>
      </w:r>
      <w:r w:rsidR="003501C7" w:rsidRPr="003501C7">
        <w:rPr>
          <w:i/>
          <w:iCs/>
        </w:rPr>
        <w:t>2001</w:t>
      </w:r>
      <w:r w:rsidR="003501C7" w:rsidRPr="00570D74">
        <w:rPr>
          <w:i/>
          <w:iCs/>
        </w:rPr>
        <w:t xml:space="preserve"> </w:t>
      </w:r>
      <w:r w:rsidR="00570D74" w:rsidRPr="003501C7">
        <w:t>(Vic)</w:t>
      </w:r>
      <w:r>
        <w:t>, section 18(c).</w:t>
      </w:r>
    </w:p>
  </w:footnote>
  <w:footnote w:id="6">
    <w:p w14:paraId="1B497B54" w14:textId="6065C7AB" w:rsidR="00C43F4C" w:rsidRPr="005F1157" w:rsidRDefault="00C43F4C" w:rsidP="00C43F4C">
      <w:pPr>
        <w:pStyle w:val="FootnoteText"/>
        <w:rPr>
          <w:lang w:val="en-US"/>
        </w:rPr>
      </w:pPr>
      <w:r>
        <w:rPr>
          <w:rStyle w:val="FootnoteReference"/>
        </w:rPr>
        <w:footnoteRef/>
      </w:r>
      <w:r>
        <w:t xml:space="preserve"> </w:t>
      </w:r>
      <w:r w:rsidR="008335E7">
        <w:t>Essential Services Commission</w:t>
      </w:r>
      <w:r w:rsidR="008335E7" w:rsidRPr="00C738DF">
        <w:t>,</w:t>
      </w:r>
      <w:r w:rsidR="008335E7">
        <w:t xml:space="preserve"> </w:t>
      </w:r>
      <w:r w:rsidR="00757B3C">
        <w:t>‘</w:t>
      </w:r>
      <w:r w:rsidRPr="00C738DF">
        <w:t>Getting to fair: Breaking down barriers to essential services</w:t>
      </w:r>
      <w:r w:rsidR="00757B3C">
        <w:t>’</w:t>
      </w:r>
      <w:r w:rsidRPr="00C738DF">
        <w:t>,</w:t>
      </w:r>
      <w:r w:rsidR="00757B3C">
        <w:t xml:space="preserve"> </w:t>
      </w:r>
      <w:r w:rsidRPr="00C738DF">
        <w:t>12 August</w:t>
      </w:r>
      <w:r w:rsidR="00757B3C">
        <w:t xml:space="preserve"> 2021</w:t>
      </w:r>
      <w:r>
        <w:t>, pp. 7.</w:t>
      </w:r>
    </w:p>
  </w:footnote>
  <w:footnote w:id="7">
    <w:p w14:paraId="6D0D16A9" w14:textId="125C7413" w:rsidR="00C43F4C" w:rsidRPr="005F1157" w:rsidRDefault="00C43F4C" w:rsidP="00C43F4C">
      <w:pPr>
        <w:pStyle w:val="FootnoteText"/>
        <w:rPr>
          <w:lang w:val="en-US"/>
        </w:rPr>
      </w:pPr>
      <w:r>
        <w:rPr>
          <w:rStyle w:val="FootnoteReference"/>
        </w:rPr>
        <w:footnoteRef/>
      </w:r>
      <w:r>
        <w:t xml:space="preserve"> </w:t>
      </w:r>
      <w:r w:rsidR="008335E7">
        <w:t>Essential Services Commission</w:t>
      </w:r>
      <w:r w:rsidR="008335E7" w:rsidRPr="00C738DF">
        <w:t>,</w:t>
      </w:r>
      <w:r w:rsidR="008335E7">
        <w:t xml:space="preserve"> ‘</w:t>
      </w:r>
      <w:r w:rsidR="008335E7" w:rsidRPr="00C738DF">
        <w:t>Getting to fair</w:t>
      </w:r>
      <w:r w:rsidR="008335E7">
        <w:t>’</w:t>
      </w:r>
      <w:r w:rsidR="00A84624">
        <w:t xml:space="preserve">, </w:t>
      </w:r>
      <w:r>
        <w:t xml:space="preserve">pp. 6-7. </w:t>
      </w:r>
    </w:p>
  </w:footnote>
  <w:footnote w:id="8">
    <w:p w14:paraId="2A2B46BC" w14:textId="2769FC52" w:rsidR="00C43F4C" w:rsidRPr="00137682" w:rsidRDefault="00C43F4C" w:rsidP="00C43F4C">
      <w:pPr>
        <w:pStyle w:val="FootnoteText"/>
        <w:rPr>
          <w:lang w:val="en-US"/>
        </w:rPr>
      </w:pPr>
      <w:r>
        <w:rPr>
          <w:rStyle w:val="FootnoteReference"/>
        </w:rPr>
        <w:footnoteRef/>
      </w:r>
      <w:r>
        <w:t xml:space="preserve"> </w:t>
      </w:r>
      <w:r w:rsidR="00A84624">
        <w:t>Essential Services Commission</w:t>
      </w:r>
      <w:r w:rsidR="00A84624" w:rsidRPr="00C738DF">
        <w:t>,</w:t>
      </w:r>
      <w:r w:rsidR="00A84624">
        <w:t xml:space="preserve"> ‘</w:t>
      </w:r>
      <w:r w:rsidR="00A84624" w:rsidRPr="00C738DF">
        <w:t>Getting to fair</w:t>
      </w:r>
      <w:r w:rsidR="00A84624">
        <w:t xml:space="preserve">’, </w:t>
      </w:r>
      <w:r>
        <w:t>pp. 6-7.</w:t>
      </w:r>
    </w:p>
  </w:footnote>
  <w:footnote w:id="9">
    <w:p w14:paraId="59455F28" w14:textId="5640838D" w:rsidR="00C43F4C" w:rsidRPr="00C51A96" w:rsidRDefault="00C43F4C" w:rsidP="00C43F4C">
      <w:pPr>
        <w:pStyle w:val="FootnoteText"/>
        <w:rPr>
          <w:lang w:val="en-US"/>
        </w:rPr>
      </w:pPr>
      <w:r>
        <w:rPr>
          <w:rStyle w:val="FootnoteReference"/>
        </w:rPr>
        <w:footnoteRef/>
      </w:r>
      <w:r>
        <w:t xml:space="preserve"> </w:t>
      </w:r>
      <w:r w:rsidR="00A84624">
        <w:rPr>
          <w:lang w:val="en-US"/>
        </w:rPr>
        <w:t xml:space="preserve">Essential Services Commission, </w:t>
      </w:r>
      <w:r w:rsidR="002E4809">
        <w:rPr>
          <w:lang w:val="en-US"/>
        </w:rPr>
        <w:t>‘</w:t>
      </w:r>
      <w:r>
        <w:rPr>
          <w:lang w:val="en-US"/>
        </w:rPr>
        <w:t>Payment difficulty framework review: our approach</w:t>
      </w:r>
      <w:r w:rsidR="002E4809">
        <w:rPr>
          <w:lang w:val="en-US"/>
        </w:rPr>
        <w:t xml:space="preserve">’, </w:t>
      </w:r>
      <w:r>
        <w:rPr>
          <w:lang w:val="en-US"/>
        </w:rPr>
        <w:t xml:space="preserve">September 2021. </w:t>
      </w:r>
    </w:p>
  </w:footnote>
  <w:footnote w:id="10">
    <w:p w14:paraId="306DDDBC" w14:textId="4D2D339D" w:rsidR="00343088" w:rsidRPr="00023704" w:rsidRDefault="00343088" w:rsidP="00343088">
      <w:pPr>
        <w:pStyle w:val="FootnoteText"/>
        <w:rPr>
          <w:lang w:val="en-US"/>
        </w:rPr>
      </w:pPr>
      <w:r>
        <w:rPr>
          <w:rStyle w:val="FootnoteReference"/>
        </w:rPr>
        <w:footnoteRef/>
      </w:r>
      <w:r w:rsidR="00A84624">
        <w:t xml:space="preserve"> Essential Services Commission, </w:t>
      </w:r>
      <w:r w:rsidR="002F15E4">
        <w:rPr>
          <w:lang w:val="en-US"/>
        </w:rPr>
        <w:t>‘</w:t>
      </w:r>
      <w:r>
        <w:t>Compliance and Enforcement Policy</w:t>
      </w:r>
      <w:r w:rsidR="002F15E4">
        <w:t>’,</w:t>
      </w:r>
      <w:r>
        <w:t xml:space="preserve"> April 2022.</w:t>
      </w:r>
    </w:p>
  </w:footnote>
  <w:footnote w:id="11">
    <w:p w14:paraId="44A60013" w14:textId="3A6F4804" w:rsidR="00610D74" w:rsidRPr="00610D74" w:rsidRDefault="00610D74">
      <w:pPr>
        <w:pStyle w:val="FootnoteText"/>
        <w:rPr>
          <w:lang w:val="en-US"/>
        </w:rPr>
      </w:pPr>
      <w:r>
        <w:rPr>
          <w:rStyle w:val="FootnoteReference"/>
        </w:rPr>
        <w:footnoteRef/>
      </w:r>
      <w:r>
        <w:t xml:space="preserve"> </w:t>
      </w:r>
      <w:r w:rsidRPr="00610D74">
        <w:t>ORIMA Research, ‘Essential Services Commission Payment Difficulty Framework: Call recordings study’, May 2022.</w:t>
      </w:r>
    </w:p>
  </w:footnote>
  <w:footnote w:id="12">
    <w:p w14:paraId="55605899" w14:textId="5651E99D" w:rsidR="00C43F4C" w:rsidRPr="003B742A" w:rsidRDefault="00C43F4C" w:rsidP="00C43F4C">
      <w:pPr>
        <w:pStyle w:val="FootnoteText"/>
        <w:rPr>
          <w:lang w:val="en-US"/>
        </w:rPr>
      </w:pPr>
      <w:r w:rsidRPr="003B742A">
        <w:rPr>
          <w:rStyle w:val="FootnoteReference"/>
        </w:rPr>
        <w:footnoteRef/>
      </w:r>
      <w:r w:rsidRPr="003B742A">
        <w:t xml:space="preserve"> </w:t>
      </w:r>
      <w:r w:rsidRPr="003B742A">
        <w:rPr>
          <w:lang w:val="en-US"/>
        </w:rPr>
        <w:t>Energy Retail Code of Practice, Division 1 (124)(1)</w:t>
      </w:r>
      <w:r w:rsidR="002F15E4">
        <w:rPr>
          <w:lang w:val="en-US"/>
        </w:rPr>
        <w:t>,</w:t>
      </w:r>
      <w:r w:rsidRPr="003B742A">
        <w:rPr>
          <w:lang w:val="en-US"/>
        </w:rPr>
        <w:t xml:space="preserve"> p. 90.</w:t>
      </w:r>
    </w:p>
  </w:footnote>
  <w:footnote w:id="13">
    <w:p w14:paraId="6C33C1F7" w14:textId="6C4F936F" w:rsidR="00C43F4C" w:rsidRPr="003B742A" w:rsidRDefault="00C43F4C" w:rsidP="00C43F4C">
      <w:pPr>
        <w:pStyle w:val="FootnoteText"/>
        <w:rPr>
          <w:lang w:val="en-US"/>
        </w:rPr>
      </w:pPr>
      <w:r w:rsidRPr="003B742A">
        <w:rPr>
          <w:rStyle w:val="FootnoteReference"/>
        </w:rPr>
        <w:footnoteRef/>
      </w:r>
      <w:r w:rsidRPr="003B742A">
        <w:t xml:space="preserve"> </w:t>
      </w:r>
      <w:r w:rsidRPr="003B742A">
        <w:rPr>
          <w:lang w:val="en-US"/>
        </w:rPr>
        <w:t>Energy Retail Code of Practice, Division 2 (128)(1)</w:t>
      </w:r>
      <w:r w:rsidR="002F15E4">
        <w:rPr>
          <w:lang w:val="en-US"/>
        </w:rPr>
        <w:t>,</w:t>
      </w:r>
      <w:r w:rsidRPr="003B742A">
        <w:rPr>
          <w:lang w:val="en-US"/>
        </w:rPr>
        <w:t xml:space="preserve"> p. 91.</w:t>
      </w:r>
    </w:p>
  </w:footnote>
  <w:footnote w:id="14">
    <w:p w14:paraId="18A51F83" w14:textId="10DBAB93" w:rsidR="00C43F4C" w:rsidRPr="00655B21" w:rsidRDefault="00C43F4C" w:rsidP="00C43F4C">
      <w:pPr>
        <w:pStyle w:val="FootnoteText"/>
        <w:rPr>
          <w:lang w:val="en-US"/>
        </w:rPr>
      </w:pPr>
      <w:r w:rsidRPr="003B742A">
        <w:rPr>
          <w:rStyle w:val="FootnoteReference"/>
        </w:rPr>
        <w:footnoteRef/>
      </w:r>
      <w:r w:rsidRPr="003B742A">
        <w:t xml:space="preserve"> </w:t>
      </w:r>
      <w:r w:rsidRPr="003B742A">
        <w:rPr>
          <w:lang w:val="en-US"/>
        </w:rPr>
        <w:t>Energy Retail Code of Practice, Part 6 (121)(1)</w:t>
      </w:r>
      <w:r w:rsidR="002F15E4">
        <w:rPr>
          <w:lang w:val="en-US"/>
        </w:rPr>
        <w:t>,</w:t>
      </w:r>
      <w:r w:rsidRPr="003B742A">
        <w:rPr>
          <w:lang w:val="en-US"/>
        </w:rPr>
        <w:t xml:space="preserve"> p. 89.</w:t>
      </w:r>
    </w:p>
  </w:footnote>
  <w:footnote w:id="15">
    <w:p w14:paraId="640096E7" w14:textId="49B6E219" w:rsidR="00E172FF" w:rsidRPr="001363D3" w:rsidRDefault="00E172FF">
      <w:pPr>
        <w:pStyle w:val="FootnoteText"/>
        <w:rPr>
          <w:lang w:val="en-US"/>
        </w:rPr>
      </w:pPr>
      <w:r>
        <w:rPr>
          <w:rStyle w:val="FootnoteReference"/>
        </w:rPr>
        <w:footnoteRef/>
      </w:r>
      <w:r>
        <w:t xml:space="preserve"> </w:t>
      </w:r>
      <w:r w:rsidRPr="001D75AB">
        <w:t>Barriers</w:t>
      </w:r>
      <w:r>
        <w:t xml:space="preserve"> could</w:t>
      </w:r>
      <w:r w:rsidRPr="001D75AB">
        <w:t xml:space="preserve"> include event-based circumstances, systemic factors, and market-based factors</w:t>
      </w:r>
      <w:r w:rsidR="00F43F09">
        <w:t>.</w:t>
      </w:r>
      <w:r w:rsidR="00E07338">
        <w:t xml:space="preserve"> Refer to </w:t>
      </w:r>
      <w:r w:rsidR="0060773F">
        <w:t xml:space="preserve">section </w:t>
      </w:r>
      <w:r w:rsidR="00D56ECC">
        <w:t>‘</w:t>
      </w:r>
      <w:r w:rsidR="005D36D6">
        <w:fldChar w:fldCharType="begin"/>
      </w:r>
      <w:r w:rsidR="005D36D6">
        <w:instrText xml:space="preserve"> REF _Ref104476339 \h </w:instrText>
      </w:r>
      <w:r w:rsidR="005D36D6">
        <w:fldChar w:fldCharType="separate"/>
      </w:r>
      <w:r w:rsidR="00357DD7" w:rsidRPr="00465E1C">
        <w:t>What we mean by ‘consumer vulnerability’</w:t>
      </w:r>
      <w:r w:rsidR="00357DD7">
        <w:t xml:space="preserve"> and ‘barriers’ to accessing or engaging with essential services</w:t>
      </w:r>
      <w:r w:rsidR="005D36D6">
        <w:fldChar w:fldCharType="end"/>
      </w:r>
      <w:r w:rsidR="00D56ECC">
        <w:t>’</w:t>
      </w:r>
      <w:r w:rsidR="005D36D6">
        <w:t xml:space="preserve"> on page </w:t>
      </w:r>
      <w:r w:rsidR="005D36D6">
        <w:fldChar w:fldCharType="begin"/>
      </w:r>
      <w:r w:rsidR="005D36D6">
        <w:instrText xml:space="preserve"> PAGEREF _Ref104476339 \h </w:instrText>
      </w:r>
      <w:r w:rsidR="005D36D6">
        <w:fldChar w:fldCharType="separate"/>
      </w:r>
      <w:r w:rsidR="00D56ECC">
        <w:rPr>
          <w:noProof/>
        </w:rPr>
        <w:t>25</w:t>
      </w:r>
      <w:r w:rsidR="005D36D6">
        <w:fldChar w:fldCharType="end"/>
      </w:r>
      <w:r w:rsidR="005D36D6">
        <w:t xml:space="preserve"> for further information.</w:t>
      </w:r>
    </w:p>
  </w:footnote>
  <w:footnote w:id="16">
    <w:p w14:paraId="11B6A4F5" w14:textId="2B1DFF6B" w:rsidR="00C43F4C" w:rsidRPr="00381BDF" w:rsidRDefault="00C43F4C" w:rsidP="00C43F4C">
      <w:pPr>
        <w:pStyle w:val="FootnoteText"/>
        <w:rPr>
          <w:lang w:val="en-US"/>
        </w:rPr>
      </w:pPr>
      <w:r>
        <w:rPr>
          <w:rStyle w:val="FootnoteReference"/>
        </w:rPr>
        <w:footnoteRef/>
      </w:r>
      <w:r>
        <w:t xml:space="preserve"> </w:t>
      </w:r>
      <w:r w:rsidR="00760DF8">
        <w:rPr>
          <w:lang w:val="en-US"/>
        </w:rPr>
        <w:t>Financial Counselling Victoria</w:t>
      </w:r>
      <w:r w:rsidR="005A16FC">
        <w:rPr>
          <w:lang w:val="en-US"/>
        </w:rPr>
        <w:t>,</w:t>
      </w:r>
      <w:r w:rsidR="0001162E">
        <w:rPr>
          <w:lang w:val="en-US"/>
        </w:rPr>
        <w:t xml:space="preserve"> </w:t>
      </w:r>
      <w:r w:rsidR="005A16FC">
        <w:rPr>
          <w:lang w:val="en-US"/>
        </w:rPr>
        <w:t>S</w:t>
      </w:r>
      <w:r w:rsidR="00BF6168" w:rsidRPr="00760DF8">
        <w:rPr>
          <w:lang w:val="en-US"/>
        </w:rPr>
        <w:t xml:space="preserve">ubmission to the Essential Services Commission </w:t>
      </w:r>
      <w:r w:rsidR="00613E74">
        <w:rPr>
          <w:lang w:val="en-US"/>
        </w:rPr>
        <w:t>key review questions</w:t>
      </w:r>
      <w:r w:rsidR="00760DF8">
        <w:rPr>
          <w:lang w:val="en-US"/>
        </w:rPr>
        <w:t>, November 2021,</w:t>
      </w:r>
      <w:r w:rsidR="00BF6168">
        <w:rPr>
          <w:lang w:val="en-US"/>
        </w:rPr>
        <w:t xml:space="preserve"> </w:t>
      </w:r>
      <w:r>
        <w:rPr>
          <w:lang w:val="en-US"/>
        </w:rPr>
        <w:t>p</w:t>
      </w:r>
      <w:r w:rsidR="00760DF8">
        <w:rPr>
          <w:lang w:val="en-US"/>
        </w:rPr>
        <w:t xml:space="preserve">p. </w:t>
      </w:r>
      <w:r>
        <w:rPr>
          <w:lang w:val="en-US"/>
        </w:rPr>
        <w:t>4-5</w:t>
      </w:r>
      <w:r w:rsidR="00224992">
        <w:rPr>
          <w:lang w:val="en-US"/>
        </w:rPr>
        <w:t>;</w:t>
      </w:r>
      <w:r>
        <w:rPr>
          <w:lang w:val="en-US"/>
        </w:rPr>
        <w:t xml:space="preserve"> </w:t>
      </w:r>
      <w:r w:rsidR="00D56ECC">
        <w:rPr>
          <w:lang w:val="en-US"/>
        </w:rPr>
        <w:t xml:space="preserve">Consumer Action Law Centre, </w:t>
      </w:r>
      <w:r w:rsidR="00224992">
        <w:rPr>
          <w:lang w:val="en-US"/>
        </w:rPr>
        <w:t>‘</w:t>
      </w:r>
      <w:r>
        <w:rPr>
          <w:lang w:val="en-US"/>
        </w:rPr>
        <w:t>Bills here bill there</w:t>
      </w:r>
      <w:r w:rsidR="00224992">
        <w:rPr>
          <w:lang w:val="en-US"/>
        </w:rPr>
        <w:t>’, December 2020,</w:t>
      </w:r>
      <w:r>
        <w:rPr>
          <w:lang w:val="en-US"/>
        </w:rPr>
        <w:t xml:space="preserve"> p.15</w:t>
      </w:r>
      <w:r w:rsidR="00224992">
        <w:rPr>
          <w:lang w:val="en-US"/>
        </w:rPr>
        <w:t>;</w:t>
      </w:r>
      <w:r w:rsidRPr="00177EED">
        <w:t xml:space="preserve"> </w:t>
      </w:r>
      <w:r w:rsidR="00D56ECC" w:rsidRPr="00177EED">
        <w:t>Victorian Aboriginal Legal Service</w:t>
      </w:r>
      <w:r w:rsidR="00D56ECC">
        <w:t xml:space="preserve"> and</w:t>
      </w:r>
      <w:r w:rsidR="00D56ECC" w:rsidRPr="00177EED">
        <w:t xml:space="preserve"> Consumer Action Law Centre</w:t>
      </w:r>
      <w:r w:rsidR="00D56ECC">
        <w:t>,</w:t>
      </w:r>
      <w:r w:rsidR="00D56ECC" w:rsidRPr="00177EED">
        <w:t xml:space="preserve"> </w:t>
      </w:r>
      <w:r w:rsidR="00177EED" w:rsidRPr="00177EED">
        <w:t>‘</w:t>
      </w:r>
      <w:r w:rsidRPr="00E8598D">
        <w:t xml:space="preserve">IP Project: Final </w:t>
      </w:r>
      <w:r w:rsidRPr="00177EED">
        <w:t>Report</w:t>
      </w:r>
      <w:r w:rsidR="00177EED" w:rsidRPr="00177EED">
        <w:t>’, 2020,</w:t>
      </w:r>
      <w:r>
        <w:t xml:space="preserve"> p.22</w:t>
      </w:r>
      <w:r w:rsidR="001B1E2E">
        <w:t xml:space="preserve">; </w:t>
      </w:r>
      <w:r w:rsidR="001B1E2E" w:rsidRPr="00E47BB9">
        <w:rPr>
          <w:lang w:val="en-US"/>
        </w:rPr>
        <w:t>Uniting Vic.Tas, submission to Essential Services Commission key review questions, 10 December 2021, p. 6</w:t>
      </w:r>
      <w:r w:rsidR="00177EED" w:rsidRPr="00E47BB9">
        <w:rPr>
          <w:lang w:val="en-US"/>
        </w:rPr>
        <w:t>.</w:t>
      </w:r>
    </w:p>
  </w:footnote>
  <w:footnote w:id="17">
    <w:p w14:paraId="512CA6C6" w14:textId="64DE985C" w:rsidR="003219D9" w:rsidRPr="003219D9" w:rsidRDefault="003219D9">
      <w:pPr>
        <w:pStyle w:val="FootnoteText"/>
        <w:rPr>
          <w:lang w:val="en-US"/>
        </w:rPr>
      </w:pPr>
      <w:r>
        <w:rPr>
          <w:rStyle w:val="FootnoteReference"/>
        </w:rPr>
        <w:footnoteRef/>
      </w:r>
      <w:r>
        <w:t xml:space="preserve"> </w:t>
      </w:r>
      <w:r w:rsidR="00A917B9" w:rsidRPr="00A917B9">
        <w:t xml:space="preserve">Financial Counselling Victoria, Submission to </w:t>
      </w:r>
      <w:r w:rsidR="00613E74">
        <w:t>key review questions</w:t>
      </w:r>
      <w:r w:rsidR="00A917B9" w:rsidRPr="00A917B9">
        <w:t>, p. 4</w:t>
      </w:r>
      <w:r w:rsidR="00EA2135">
        <w:t>.</w:t>
      </w:r>
    </w:p>
  </w:footnote>
  <w:footnote w:id="18">
    <w:p w14:paraId="223F1FAC" w14:textId="799471B1" w:rsidR="00A12543" w:rsidRPr="000B4061" w:rsidRDefault="00A12543" w:rsidP="00A12543">
      <w:pPr>
        <w:pStyle w:val="FootnoteText"/>
        <w:rPr>
          <w:lang w:val="en-US"/>
        </w:rPr>
      </w:pPr>
      <w:r>
        <w:rPr>
          <w:rStyle w:val="FootnoteReference"/>
        </w:rPr>
        <w:footnoteRef/>
      </w:r>
      <w:r>
        <w:t xml:space="preserve"> </w:t>
      </w:r>
      <w:r>
        <w:rPr>
          <w:lang w:val="en-US"/>
        </w:rPr>
        <w:t>Consumer Action Law Centre</w:t>
      </w:r>
      <w:r w:rsidR="00AF1BA2">
        <w:rPr>
          <w:lang w:val="en-US"/>
        </w:rPr>
        <w:t>, ‘Bills here bill there’,</w:t>
      </w:r>
      <w:r>
        <w:rPr>
          <w:lang w:val="en-US"/>
        </w:rPr>
        <w:t xml:space="preserve"> 2020; Energy and Water Ombudsman Victoria, ‘</w:t>
      </w:r>
      <w:r>
        <w:t>Missing the Mark’,</w:t>
      </w:r>
      <w:r>
        <w:rPr>
          <w:lang w:val="en-US"/>
        </w:rPr>
        <w:t xml:space="preserve"> December 2020</w:t>
      </w:r>
      <w:r>
        <w:t xml:space="preserve">; </w:t>
      </w:r>
      <w:r w:rsidRPr="00D62751">
        <w:t>Dr Larissa Nicholls and Dr Kari Dahlgren</w:t>
      </w:r>
      <w:r>
        <w:t>,</w:t>
      </w:r>
      <w:r w:rsidRPr="00D62751">
        <w:t xml:space="preserve"> </w:t>
      </w:r>
      <w:r>
        <w:t>‘Consumer experiences following energy market reforms in Victoria: Qualitative research with community support workers’, Consumer Policy Research Centre, June 2021, p. 43;</w:t>
      </w:r>
      <w:r>
        <w:rPr>
          <w:lang w:val="en-US"/>
        </w:rPr>
        <w:t xml:space="preserve"> </w:t>
      </w:r>
      <w:r w:rsidR="00AF1BA2">
        <w:rPr>
          <w:lang w:val="en-US"/>
        </w:rPr>
        <w:t xml:space="preserve">Honeycomb Strategy, </w:t>
      </w:r>
      <w:r>
        <w:t xml:space="preserve">‘Essential Services Commission Victoria Energy market insights research report’, </w:t>
      </w:r>
      <w:r>
        <w:rPr>
          <w:lang w:val="en-US"/>
        </w:rPr>
        <w:t>July 2021.</w:t>
      </w:r>
    </w:p>
  </w:footnote>
  <w:footnote w:id="19">
    <w:p w14:paraId="6AAECE6B" w14:textId="020B3DA5" w:rsidR="00A12543" w:rsidRPr="00410F88" w:rsidRDefault="00A12543" w:rsidP="00A12543">
      <w:pPr>
        <w:pStyle w:val="FootnoteText"/>
        <w:rPr>
          <w:lang w:val="en-US"/>
        </w:rPr>
      </w:pPr>
      <w:r>
        <w:rPr>
          <w:rStyle w:val="FootnoteReference"/>
        </w:rPr>
        <w:footnoteRef/>
      </w:r>
      <w:r w:rsidR="00984573">
        <w:t xml:space="preserve"> </w:t>
      </w:r>
      <w:r w:rsidR="00984573" w:rsidRPr="00177EED">
        <w:t>Victorian Aboriginal Legal Service</w:t>
      </w:r>
      <w:r w:rsidR="00984573">
        <w:t xml:space="preserve"> and</w:t>
      </w:r>
      <w:r w:rsidR="00984573" w:rsidRPr="00177EED">
        <w:t xml:space="preserve"> Consumer Action Law Centre</w:t>
      </w:r>
      <w:r w:rsidR="00AF1BA2">
        <w:t>,</w:t>
      </w:r>
      <w:r>
        <w:t xml:space="preserve"> </w:t>
      </w:r>
      <w:r w:rsidRPr="00177EED">
        <w:t>‘</w:t>
      </w:r>
      <w:r w:rsidRPr="00E8598D">
        <w:t xml:space="preserve">IP Project: Final </w:t>
      </w:r>
      <w:r w:rsidRPr="00177EED">
        <w:t>Report’, 2020,</w:t>
      </w:r>
      <w:r>
        <w:t xml:space="preserve"> p. </w:t>
      </w:r>
      <w:r w:rsidRPr="003D08FC">
        <w:t>14</w:t>
      </w:r>
      <w:r w:rsidRPr="003D08FC">
        <w:rPr>
          <w:lang w:val="en-US"/>
        </w:rPr>
        <w:t>.</w:t>
      </w:r>
    </w:p>
  </w:footnote>
  <w:footnote w:id="20">
    <w:p w14:paraId="4F31BCE8" w14:textId="7BC5F25A" w:rsidR="00A12543" w:rsidRPr="000862B7" w:rsidRDefault="00A12543" w:rsidP="00A12543">
      <w:pPr>
        <w:pStyle w:val="FootnoteText"/>
        <w:rPr>
          <w:lang w:val="en-US"/>
        </w:rPr>
      </w:pPr>
      <w:r>
        <w:rPr>
          <w:rStyle w:val="FootnoteReference"/>
        </w:rPr>
        <w:footnoteRef/>
      </w:r>
      <w:r>
        <w:t xml:space="preserve"> </w:t>
      </w:r>
      <w:r w:rsidR="00AF1BA2" w:rsidRPr="00177EED">
        <w:t>Victorian Aboriginal Legal Service</w:t>
      </w:r>
      <w:r w:rsidR="00AF1BA2">
        <w:t xml:space="preserve"> and</w:t>
      </w:r>
      <w:r w:rsidR="00AF1BA2" w:rsidRPr="00177EED">
        <w:t xml:space="preserve"> Consumer Action Law Centre</w:t>
      </w:r>
      <w:r w:rsidR="00AF1BA2">
        <w:t>,</w:t>
      </w:r>
      <w:r w:rsidR="00AF1BA2" w:rsidRPr="00177EED">
        <w:t xml:space="preserve"> </w:t>
      </w:r>
      <w:r w:rsidRPr="00177EED">
        <w:t>‘</w:t>
      </w:r>
      <w:r w:rsidRPr="00E8598D">
        <w:t xml:space="preserve">IP Project: </w:t>
      </w:r>
      <w:r>
        <w:t>Project</w:t>
      </w:r>
      <w:r w:rsidRPr="00E8598D">
        <w:t xml:space="preserve"> </w:t>
      </w:r>
      <w:r w:rsidRPr="00177EED">
        <w:t>Report’, 202</w:t>
      </w:r>
      <w:r>
        <w:t>1</w:t>
      </w:r>
      <w:r w:rsidRPr="00177EED">
        <w:t>,</w:t>
      </w:r>
      <w:r>
        <w:t xml:space="preserve"> p. 34.</w:t>
      </w:r>
    </w:p>
  </w:footnote>
  <w:footnote w:id="21">
    <w:p w14:paraId="4228E88C" w14:textId="24CBCF9F" w:rsidR="00A12543" w:rsidRPr="005B613F" w:rsidRDefault="00A12543" w:rsidP="00A12543">
      <w:pPr>
        <w:pStyle w:val="FootnoteText"/>
        <w:rPr>
          <w:lang w:val="en-US"/>
        </w:rPr>
      </w:pPr>
      <w:r>
        <w:rPr>
          <w:rStyle w:val="FootnoteReference"/>
        </w:rPr>
        <w:footnoteRef/>
      </w:r>
      <w:r>
        <w:t xml:space="preserve"> </w:t>
      </w:r>
      <w:r>
        <w:rPr>
          <w:lang w:val="en-US"/>
        </w:rPr>
        <w:t>Energy and Water Ombudsman Victoria, ‘</w:t>
      </w:r>
      <w:r>
        <w:t>Missing the Mark’,</w:t>
      </w:r>
      <w:r>
        <w:rPr>
          <w:lang w:val="en-US"/>
        </w:rPr>
        <w:t xml:space="preserve"> pp. 13-14. </w:t>
      </w:r>
    </w:p>
  </w:footnote>
  <w:footnote w:id="22">
    <w:p w14:paraId="1569B4CC" w14:textId="53750527" w:rsidR="000A456B" w:rsidRPr="00C46636" w:rsidRDefault="000A456B" w:rsidP="000A456B">
      <w:pPr>
        <w:pStyle w:val="FootnoteText"/>
        <w:rPr>
          <w:lang w:val="en-US"/>
        </w:rPr>
      </w:pPr>
      <w:r>
        <w:rPr>
          <w:rStyle w:val="FootnoteReference"/>
        </w:rPr>
        <w:footnoteRef/>
      </w:r>
      <w:r>
        <w:t xml:space="preserve"> </w:t>
      </w:r>
      <w:r w:rsidR="001334ED">
        <w:t xml:space="preserve">Honeycomb Strategy, </w:t>
      </w:r>
      <w:r>
        <w:t>‘Victoria Energy market insights research report’</w:t>
      </w:r>
      <w:r>
        <w:rPr>
          <w:lang w:val="en-US"/>
        </w:rPr>
        <w:t>.</w:t>
      </w:r>
    </w:p>
  </w:footnote>
  <w:footnote w:id="23">
    <w:p w14:paraId="1FB152B0" w14:textId="70383A93" w:rsidR="000A456B" w:rsidRPr="000A456B" w:rsidRDefault="000A456B">
      <w:pPr>
        <w:pStyle w:val="FootnoteText"/>
        <w:rPr>
          <w:lang w:val="en-US"/>
        </w:rPr>
      </w:pPr>
      <w:r w:rsidRPr="001363D3">
        <w:rPr>
          <w:rStyle w:val="FootnoteReference"/>
        </w:rPr>
        <w:footnoteRef/>
      </w:r>
      <w:r w:rsidRPr="001363D3">
        <w:t xml:space="preserve"> </w:t>
      </w:r>
      <w:r w:rsidR="00413301" w:rsidRPr="001363D3">
        <w:fldChar w:fldCharType="begin"/>
      </w:r>
      <w:r w:rsidR="00413301" w:rsidRPr="001363D3">
        <w:instrText xml:space="preserve"> REF _Ref103956397 \h </w:instrText>
      </w:r>
      <w:r w:rsidR="0099215E">
        <w:instrText xml:space="preserve"> \* MERGEFORMAT </w:instrText>
      </w:r>
      <w:r w:rsidR="00413301" w:rsidRPr="001363D3">
        <w:fldChar w:fldCharType="separate"/>
      </w:r>
      <w:r w:rsidR="00357DD7">
        <w:t>Appendix 3: Early observations workshop report</w:t>
      </w:r>
      <w:r w:rsidR="00413301" w:rsidRPr="001363D3">
        <w:fldChar w:fldCharType="end"/>
      </w:r>
      <w:r w:rsidR="009F6154" w:rsidRPr="001363D3">
        <w:t xml:space="preserve">; </w:t>
      </w:r>
      <w:r w:rsidR="00050880" w:rsidRPr="001363D3">
        <w:rPr>
          <w:lang w:val="en-US"/>
        </w:rPr>
        <w:t xml:space="preserve">Uniting </w:t>
      </w:r>
      <w:r w:rsidR="0099215E" w:rsidRPr="001363D3">
        <w:rPr>
          <w:lang w:val="en-US"/>
        </w:rPr>
        <w:t>Vic.</w:t>
      </w:r>
      <w:r w:rsidR="00050880" w:rsidRPr="001363D3">
        <w:rPr>
          <w:lang w:val="en-US"/>
        </w:rPr>
        <w:t xml:space="preserve">Tas, </w:t>
      </w:r>
      <w:r w:rsidR="001334ED">
        <w:rPr>
          <w:lang w:val="en-US"/>
        </w:rPr>
        <w:t>S</w:t>
      </w:r>
      <w:r w:rsidR="0099215E" w:rsidRPr="001363D3">
        <w:rPr>
          <w:lang w:val="en-US"/>
        </w:rPr>
        <w:t xml:space="preserve">ubmission to Essential Services Commission key review questions, 10 December 2021, </w:t>
      </w:r>
      <w:r w:rsidR="00050880" w:rsidRPr="001363D3">
        <w:rPr>
          <w:lang w:val="en-US"/>
        </w:rPr>
        <w:t>p</w:t>
      </w:r>
      <w:r w:rsidR="009F6154" w:rsidRPr="001363D3">
        <w:rPr>
          <w:lang w:val="en-US"/>
        </w:rPr>
        <w:t>.</w:t>
      </w:r>
      <w:r w:rsidR="00050880" w:rsidRPr="001363D3">
        <w:rPr>
          <w:lang w:val="en-US"/>
        </w:rPr>
        <w:t xml:space="preserve"> 6</w:t>
      </w:r>
      <w:r w:rsidR="00624E99" w:rsidRPr="001363D3">
        <w:rPr>
          <w:lang w:val="en-US"/>
        </w:rPr>
        <w:t>.</w:t>
      </w:r>
    </w:p>
  </w:footnote>
  <w:footnote w:id="24">
    <w:p w14:paraId="2DD3544F" w14:textId="51BC0CED" w:rsidR="00FA4525" w:rsidRPr="00AC648E" w:rsidRDefault="00FA4525" w:rsidP="00FA4525">
      <w:pPr>
        <w:pStyle w:val="FootnoteText"/>
        <w:rPr>
          <w:lang w:val="en-US"/>
        </w:rPr>
      </w:pPr>
      <w:r>
        <w:rPr>
          <w:rStyle w:val="FootnoteReference"/>
        </w:rPr>
        <w:footnoteRef/>
      </w:r>
      <w:r>
        <w:t xml:space="preserve"> Victorian Pride Lobby, </w:t>
      </w:r>
      <w:r w:rsidR="001334ED">
        <w:t>S</w:t>
      </w:r>
      <w:r>
        <w:t>ubmission to Essential Services Commission ‘</w:t>
      </w:r>
      <w:r w:rsidRPr="00177348">
        <w:t>Draft consumer vulnerability strategy</w:t>
      </w:r>
      <w:r>
        <w:t>’, June 2021, p. 3.</w:t>
      </w:r>
    </w:p>
  </w:footnote>
  <w:footnote w:id="25">
    <w:p w14:paraId="1F5631B1" w14:textId="77777777" w:rsidR="00FA4525" w:rsidRPr="00433DFF" w:rsidRDefault="00FA4525" w:rsidP="00FA4525">
      <w:pPr>
        <w:pStyle w:val="FootnoteText"/>
        <w:rPr>
          <w:lang w:val="en-US"/>
        </w:rPr>
      </w:pPr>
      <w:r>
        <w:rPr>
          <w:rStyle w:val="FootnoteReference"/>
        </w:rPr>
        <w:footnoteRef/>
      </w:r>
      <w:r>
        <w:t xml:space="preserve"> </w:t>
      </w:r>
      <w:r w:rsidRPr="00B76994">
        <w:rPr>
          <w:i/>
          <w:iCs/>
        </w:rPr>
        <w:t xml:space="preserve">Equal Opportunity Act 2010 </w:t>
      </w:r>
      <w:r>
        <w:t>(Vic), Part 2(8)(1) and Part 2(9)(1).</w:t>
      </w:r>
    </w:p>
  </w:footnote>
  <w:footnote w:id="26">
    <w:p w14:paraId="61FF8743" w14:textId="72E30798" w:rsidR="008B3E6A" w:rsidRPr="00EF376B" w:rsidRDefault="008B3E6A" w:rsidP="008B3E6A">
      <w:pPr>
        <w:pStyle w:val="FootnoteText"/>
        <w:rPr>
          <w:lang w:val="en-US"/>
        </w:rPr>
      </w:pPr>
      <w:r w:rsidRPr="00EF376B">
        <w:rPr>
          <w:rStyle w:val="FootnoteReference"/>
        </w:rPr>
        <w:footnoteRef/>
      </w:r>
      <w:r w:rsidRPr="00EF376B">
        <w:t xml:space="preserve"> </w:t>
      </w:r>
      <w:r w:rsidR="008B59F6" w:rsidRPr="00EF376B">
        <w:t>Workplace Gender Equality Agency</w:t>
      </w:r>
      <w:r w:rsidR="008B59F6">
        <w:t xml:space="preserve">, </w:t>
      </w:r>
      <w:r>
        <w:t>‘</w:t>
      </w:r>
      <w:r w:rsidRPr="00EF376B">
        <w:t>Factsheet series: Australia’s Gender Pay Gap Statistics</w:t>
      </w:r>
      <w:r>
        <w:t>’, 2021</w:t>
      </w:r>
      <w:r w:rsidRPr="00EF376B">
        <w:t xml:space="preserve">; </w:t>
      </w:r>
      <w:r>
        <w:t>‘</w:t>
      </w:r>
      <w:r w:rsidRPr="00EF376B">
        <w:t>Family violence and economic abuse – an overview</w:t>
      </w:r>
      <w:r>
        <w:t xml:space="preserve">’, </w:t>
      </w:r>
      <w:r w:rsidRPr="00EF376B">
        <w:t>Economic Abuse Reference Group</w:t>
      </w:r>
      <w:r>
        <w:t>, 2018.</w:t>
      </w:r>
    </w:p>
  </w:footnote>
  <w:footnote w:id="27">
    <w:p w14:paraId="3B9445A9" w14:textId="26CC661F" w:rsidR="00B27D05" w:rsidRPr="001363D3" w:rsidRDefault="00B27D05">
      <w:pPr>
        <w:pStyle w:val="FootnoteText"/>
        <w:rPr>
          <w:lang w:val="en-US"/>
        </w:rPr>
      </w:pPr>
      <w:r>
        <w:rPr>
          <w:rStyle w:val="FootnoteReference"/>
        </w:rPr>
        <w:footnoteRef/>
      </w:r>
      <w:r>
        <w:t xml:space="preserve"> </w:t>
      </w:r>
      <w:r w:rsidR="003B06F2" w:rsidRPr="001363D3">
        <w:t>Gender Equality Act 2020</w:t>
      </w:r>
      <w:r w:rsidR="003B06F2">
        <w:rPr>
          <w:i/>
          <w:iCs/>
        </w:rPr>
        <w:t xml:space="preserve">, </w:t>
      </w:r>
      <w:r w:rsidR="007B36DC">
        <w:t>sections 4</w:t>
      </w:r>
      <w:r w:rsidR="00421888">
        <w:t>(c)</w:t>
      </w:r>
      <w:r w:rsidR="007C3E34">
        <w:t xml:space="preserve">, </w:t>
      </w:r>
      <w:r w:rsidR="003B06F2">
        <w:t>6</w:t>
      </w:r>
      <w:r w:rsidR="002A6054">
        <w:t>(</w:t>
      </w:r>
      <w:r w:rsidR="003B06F2">
        <w:t>8</w:t>
      </w:r>
      <w:r w:rsidR="002A6054">
        <w:t>)</w:t>
      </w:r>
      <w:r w:rsidR="007C3E34">
        <w:t xml:space="preserve"> and 6(</w:t>
      </w:r>
      <w:r w:rsidR="003B06F2">
        <w:t>9)</w:t>
      </w:r>
      <w:r>
        <w:t>.</w:t>
      </w:r>
    </w:p>
  </w:footnote>
  <w:footnote w:id="28">
    <w:p w14:paraId="4C4DB9D1" w14:textId="6F2814BD" w:rsidR="00E244AE" w:rsidRPr="00E47BB9" w:rsidRDefault="00E244AE" w:rsidP="00E244AE">
      <w:pPr>
        <w:pStyle w:val="FootnoteText"/>
        <w:rPr>
          <w:lang w:val="en-US"/>
        </w:rPr>
      </w:pPr>
      <w:r>
        <w:rPr>
          <w:rStyle w:val="FootnoteReference"/>
        </w:rPr>
        <w:footnoteRef/>
      </w:r>
      <w:r>
        <w:t xml:space="preserve"> </w:t>
      </w:r>
      <w:r w:rsidRPr="001363D3">
        <w:t>Gender Equality Act 2020</w:t>
      </w:r>
      <w:r>
        <w:rPr>
          <w:i/>
          <w:iCs/>
        </w:rPr>
        <w:t xml:space="preserve">, </w:t>
      </w:r>
      <w:r w:rsidR="00276870">
        <w:t>section</w:t>
      </w:r>
      <w:r>
        <w:t xml:space="preserve"> 7</w:t>
      </w:r>
      <w:r w:rsidR="00276870">
        <w:t>.</w:t>
      </w:r>
    </w:p>
  </w:footnote>
  <w:footnote w:id="29">
    <w:p w14:paraId="210026C9" w14:textId="583AA67B" w:rsidR="00DB1430" w:rsidRPr="00D4254D" w:rsidRDefault="00DB1430" w:rsidP="00DB1430">
      <w:pPr>
        <w:pStyle w:val="FootnoteText"/>
        <w:rPr>
          <w:lang w:val="en-US"/>
        </w:rPr>
      </w:pPr>
      <w:r w:rsidRPr="00076229">
        <w:rPr>
          <w:rStyle w:val="FootnoteReference"/>
        </w:rPr>
        <w:footnoteRef/>
      </w:r>
      <w:r w:rsidRPr="00076229">
        <w:t xml:space="preserve"> </w:t>
      </w:r>
      <w:r w:rsidRPr="00D40FD8">
        <w:t>ORIMA Research, ‘Call recordings study</w:t>
      </w:r>
      <w:r w:rsidR="00203494">
        <w:t xml:space="preserve"> report</w:t>
      </w:r>
      <w:r w:rsidRPr="00D40FD8">
        <w:t xml:space="preserve">’, </w:t>
      </w:r>
      <w:r>
        <w:rPr>
          <w:lang w:val="en-US"/>
        </w:rPr>
        <w:t>p. 10.</w:t>
      </w:r>
      <w:r>
        <w:rPr>
          <w:lang w:val="en-US"/>
        </w:rPr>
        <w:br/>
        <w:t xml:space="preserve">Note: “For this question, </w:t>
      </w:r>
      <w:r w:rsidRPr="00F73176">
        <w:t>if a person described themselves as a particular gender or used a gender specific pronoun (e.g. mother), gender was coded as female or male. If gender was inferred based on name of customer or vocal cues, gender was coded as inferred female or inferred male.</w:t>
      </w:r>
      <w:r>
        <w:t>”</w:t>
      </w:r>
    </w:p>
  </w:footnote>
  <w:footnote w:id="30">
    <w:p w14:paraId="5E2A23BC" w14:textId="1D6578A2" w:rsidR="00B55AD4" w:rsidRPr="006B039C" w:rsidRDefault="00B55AD4" w:rsidP="00B55AD4">
      <w:pPr>
        <w:pStyle w:val="CommentText"/>
        <w:rPr>
          <w:highlight w:val="yellow"/>
        </w:rPr>
      </w:pPr>
      <w:r w:rsidRPr="00EF376B">
        <w:rPr>
          <w:rStyle w:val="FootnoteReference"/>
        </w:rPr>
        <w:footnoteRef/>
      </w:r>
      <w:r w:rsidRPr="00EF376B">
        <w:t xml:space="preserve"> </w:t>
      </w:r>
      <w:r w:rsidR="00203494" w:rsidRPr="00EF376B">
        <w:rPr>
          <w:sz w:val="18"/>
          <w:szCs w:val="18"/>
        </w:rPr>
        <w:t>C</w:t>
      </w:r>
      <w:r w:rsidR="00203494">
        <w:rPr>
          <w:sz w:val="18"/>
          <w:szCs w:val="18"/>
        </w:rPr>
        <w:t xml:space="preserve">onsumer </w:t>
      </w:r>
      <w:r w:rsidR="00203494" w:rsidRPr="00EF376B">
        <w:rPr>
          <w:sz w:val="18"/>
          <w:szCs w:val="18"/>
        </w:rPr>
        <w:t>A</w:t>
      </w:r>
      <w:r w:rsidR="00203494">
        <w:rPr>
          <w:sz w:val="18"/>
          <w:szCs w:val="18"/>
        </w:rPr>
        <w:t xml:space="preserve">ction </w:t>
      </w:r>
      <w:r w:rsidR="00203494" w:rsidRPr="00EF376B">
        <w:rPr>
          <w:sz w:val="18"/>
          <w:szCs w:val="18"/>
        </w:rPr>
        <w:t>L</w:t>
      </w:r>
      <w:r w:rsidR="00203494">
        <w:rPr>
          <w:sz w:val="18"/>
          <w:szCs w:val="18"/>
        </w:rPr>
        <w:t xml:space="preserve">aw </w:t>
      </w:r>
      <w:r w:rsidR="00203494" w:rsidRPr="00EF376B">
        <w:rPr>
          <w:sz w:val="18"/>
          <w:szCs w:val="18"/>
        </w:rPr>
        <w:t>C</w:t>
      </w:r>
      <w:r w:rsidR="00203494">
        <w:rPr>
          <w:sz w:val="18"/>
          <w:szCs w:val="18"/>
        </w:rPr>
        <w:t xml:space="preserve">entre, </w:t>
      </w:r>
      <w:r>
        <w:rPr>
          <w:sz w:val="18"/>
          <w:szCs w:val="18"/>
        </w:rPr>
        <w:t>‘</w:t>
      </w:r>
      <w:r w:rsidRPr="00EF376B">
        <w:rPr>
          <w:sz w:val="18"/>
          <w:szCs w:val="18"/>
        </w:rPr>
        <w:t xml:space="preserve">Energy </w:t>
      </w:r>
      <w:r>
        <w:rPr>
          <w:sz w:val="18"/>
          <w:szCs w:val="18"/>
        </w:rPr>
        <w:t>a</w:t>
      </w:r>
      <w:r w:rsidRPr="00EF376B">
        <w:rPr>
          <w:sz w:val="18"/>
          <w:szCs w:val="18"/>
        </w:rPr>
        <w:t xml:space="preserve">ssistance </w:t>
      </w:r>
      <w:r>
        <w:rPr>
          <w:sz w:val="18"/>
          <w:szCs w:val="18"/>
        </w:rPr>
        <w:t>r</w:t>
      </w:r>
      <w:r w:rsidRPr="00EF376B">
        <w:rPr>
          <w:sz w:val="18"/>
          <w:szCs w:val="18"/>
        </w:rPr>
        <w:t>eport</w:t>
      </w:r>
      <w:r>
        <w:rPr>
          <w:sz w:val="18"/>
          <w:szCs w:val="18"/>
        </w:rPr>
        <w:t>:</w:t>
      </w:r>
      <w:r w:rsidRPr="00EF376B">
        <w:rPr>
          <w:sz w:val="18"/>
          <w:szCs w:val="18"/>
        </w:rPr>
        <w:t xml:space="preserve"> </w:t>
      </w:r>
      <w:r>
        <w:rPr>
          <w:sz w:val="18"/>
          <w:szCs w:val="18"/>
        </w:rPr>
        <w:t>2</w:t>
      </w:r>
      <w:r w:rsidRPr="00ED2699">
        <w:rPr>
          <w:sz w:val="18"/>
          <w:szCs w:val="18"/>
          <w:vertAlign w:val="superscript"/>
        </w:rPr>
        <w:t>nd</w:t>
      </w:r>
      <w:r>
        <w:rPr>
          <w:sz w:val="18"/>
          <w:szCs w:val="18"/>
        </w:rPr>
        <w:t xml:space="preserve"> Edition’, 2021,</w:t>
      </w:r>
      <w:r w:rsidRPr="00EF376B">
        <w:rPr>
          <w:sz w:val="18"/>
          <w:szCs w:val="18"/>
        </w:rPr>
        <w:t xml:space="preserve"> </w:t>
      </w:r>
      <w:r w:rsidRPr="00AD5564">
        <w:rPr>
          <w:sz w:val="18"/>
          <w:szCs w:val="18"/>
        </w:rPr>
        <w:t>p. 32</w:t>
      </w:r>
      <w:r w:rsidR="007C3E34">
        <w:rPr>
          <w:sz w:val="18"/>
          <w:szCs w:val="18"/>
        </w:rPr>
        <w:t>.</w:t>
      </w:r>
    </w:p>
  </w:footnote>
  <w:footnote w:id="31">
    <w:p w14:paraId="6D822457" w14:textId="77777777" w:rsidR="00C43F4C" w:rsidRPr="0025203E" w:rsidRDefault="00C43F4C" w:rsidP="00C43F4C">
      <w:pPr>
        <w:pStyle w:val="FootnoteText"/>
        <w:rPr>
          <w:lang w:val="en-US"/>
        </w:rPr>
      </w:pPr>
      <w:r w:rsidRPr="00E575E4">
        <w:rPr>
          <w:rStyle w:val="FootnoteReference"/>
        </w:rPr>
        <w:footnoteRef/>
      </w:r>
      <w:r w:rsidRPr="00E575E4">
        <w:t xml:space="preserve"> </w:t>
      </w:r>
      <w:r w:rsidRPr="00E575E4">
        <w:rPr>
          <w:lang w:val="en-US"/>
        </w:rPr>
        <w:t>Energy Retail Code of Practice, clause 125.</w:t>
      </w:r>
    </w:p>
  </w:footnote>
  <w:footnote w:id="32">
    <w:p w14:paraId="34B91A36" w14:textId="3819BC63" w:rsidR="00C43F4C" w:rsidRPr="000F3E6D" w:rsidRDefault="00C43F4C" w:rsidP="00C43F4C">
      <w:pPr>
        <w:pStyle w:val="FootnoteText"/>
        <w:rPr>
          <w:lang w:val="en-US"/>
        </w:rPr>
      </w:pPr>
      <w:r>
        <w:rPr>
          <w:rStyle w:val="FootnoteReference"/>
        </w:rPr>
        <w:footnoteRef/>
      </w:r>
      <w:r>
        <w:t xml:space="preserve"> </w:t>
      </w:r>
      <w:r w:rsidR="00C76CC6" w:rsidRPr="00831FBF">
        <w:t>Essential Services Commission,</w:t>
      </w:r>
      <w:r w:rsidR="00C76CC6">
        <w:t xml:space="preserve"> </w:t>
      </w:r>
      <w:r w:rsidR="00F54139">
        <w:t>‘</w:t>
      </w:r>
      <w:r w:rsidRPr="00831FBF">
        <w:t>Payment difficulty framework audit 2019</w:t>
      </w:r>
      <w:r w:rsidR="00F54139">
        <w:t>’</w:t>
      </w:r>
      <w:r w:rsidRPr="00831FBF">
        <w:t xml:space="preserve">, </w:t>
      </w:r>
      <w:r w:rsidR="00F54139">
        <w:t>2019</w:t>
      </w:r>
      <w:r w:rsidRPr="00831FBF">
        <w:t>, https://www.esc.vic.gov.au/electricity-and-gas/market-performance-and-reporting/compliance-and-auditing-activities/payment-difficulty-framework-audit-2019</w:t>
      </w:r>
    </w:p>
  </w:footnote>
  <w:footnote w:id="33">
    <w:p w14:paraId="3C2F6627" w14:textId="77777777" w:rsidR="00C43F4C" w:rsidRPr="00B17E8A" w:rsidRDefault="00C43F4C" w:rsidP="00C43F4C">
      <w:pPr>
        <w:pStyle w:val="FootnoteText"/>
        <w:rPr>
          <w:lang w:val="en-US"/>
        </w:rPr>
      </w:pPr>
      <w:r>
        <w:rPr>
          <w:rStyle w:val="FootnoteReference"/>
        </w:rPr>
        <w:footnoteRef/>
      </w:r>
      <w:r>
        <w:t xml:space="preserve"> 36 per cent and 30 per cent respectively, compared to the average Victorian’s awareness of 43 per cent.</w:t>
      </w:r>
    </w:p>
  </w:footnote>
  <w:footnote w:id="34">
    <w:p w14:paraId="12A8E8CE" w14:textId="38808282" w:rsidR="00C43F4C" w:rsidRPr="0048213C" w:rsidRDefault="00C43F4C" w:rsidP="00C43F4C">
      <w:pPr>
        <w:pStyle w:val="FootnoteText"/>
        <w:rPr>
          <w:lang w:val="en-US"/>
        </w:rPr>
      </w:pPr>
      <w:r>
        <w:rPr>
          <w:rStyle w:val="FootnoteReference"/>
        </w:rPr>
        <w:footnoteRef/>
      </w:r>
      <w:r>
        <w:t xml:space="preserve"> </w:t>
      </w:r>
      <w:r>
        <w:rPr>
          <w:lang w:val="en-US"/>
        </w:rPr>
        <w:t>AGL</w:t>
      </w:r>
      <w:r w:rsidR="005A16FC">
        <w:rPr>
          <w:lang w:val="en-US"/>
        </w:rPr>
        <w:t>,</w:t>
      </w:r>
      <w:r>
        <w:rPr>
          <w:lang w:val="en-US"/>
        </w:rPr>
        <w:t xml:space="preserve"> </w:t>
      </w:r>
      <w:r w:rsidR="005A16FC" w:rsidRPr="005A16FC">
        <w:rPr>
          <w:lang w:val="en-US"/>
        </w:rPr>
        <w:t xml:space="preserve">Submission to the Essential Services Commission </w:t>
      </w:r>
      <w:r w:rsidR="00613E74">
        <w:rPr>
          <w:lang w:val="en-US"/>
        </w:rPr>
        <w:t>key review questions</w:t>
      </w:r>
      <w:r w:rsidR="005A16FC" w:rsidRPr="005A16FC">
        <w:rPr>
          <w:lang w:val="en-US"/>
        </w:rPr>
        <w:t>, November 2021</w:t>
      </w:r>
      <w:r>
        <w:rPr>
          <w:lang w:val="en-US"/>
        </w:rPr>
        <w:t>; Origin Energy</w:t>
      </w:r>
      <w:r w:rsidR="005A16FC">
        <w:rPr>
          <w:lang w:val="en-US"/>
        </w:rPr>
        <w:t xml:space="preserve">, </w:t>
      </w:r>
      <w:r w:rsidR="005A16FC" w:rsidRPr="005A16FC">
        <w:rPr>
          <w:lang w:val="en-US"/>
        </w:rPr>
        <w:t xml:space="preserve">Submission to the Essential Services Commission </w:t>
      </w:r>
      <w:r w:rsidR="00613E74">
        <w:rPr>
          <w:lang w:val="en-US"/>
        </w:rPr>
        <w:t>key review questions</w:t>
      </w:r>
      <w:r w:rsidR="005A16FC" w:rsidRPr="005A16FC">
        <w:rPr>
          <w:lang w:val="en-US"/>
        </w:rPr>
        <w:t>, November 2021</w:t>
      </w:r>
      <w:r w:rsidR="005A16FC">
        <w:rPr>
          <w:lang w:val="en-US"/>
        </w:rPr>
        <w:t>.</w:t>
      </w:r>
    </w:p>
  </w:footnote>
  <w:footnote w:id="35">
    <w:p w14:paraId="5B16EABA" w14:textId="1C8F5595" w:rsidR="006C5C3C" w:rsidRPr="00CD0B60" w:rsidRDefault="006C5C3C" w:rsidP="006C5C3C">
      <w:pPr>
        <w:pStyle w:val="FootnoteText"/>
        <w:rPr>
          <w:lang w:val="en-US"/>
        </w:rPr>
      </w:pPr>
      <w:r>
        <w:rPr>
          <w:rStyle w:val="FootnoteReference"/>
        </w:rPr>
        <w:footnoteRef/>
      </w:r>
      <w:r>
        <w:t xml:space="preserve"> </w:t>
      </w:r>
      <w:r w:rsidRPr="0033406E">
        <w:rPr>
          <w:lang w:val="en-US"/>
        </w:rPr>
        <w:t xml:space="preserve">Origin Energy, Submission to </w:t>
      </w:r>
      <w:r w:rsidR="00613E74">
        <w:rPr>
          <w:lang w:val="en-US"/>
        </w:rPr>
        <w:t>key review questions</w:t>
      </w:r>
      <w:r w:rsidRPr="0033406E">
        <w:rPr>
          <w:lang w:val="en-US"/>
        </w:rPr>
        <w:t>.</w:t>
      </w:r>
    </w:p>
  </w:footnote>
  <w:footnote w:id="36">
    <w:p w14:paraId="74F7DC2F" w14:textId="354638ED" w:rsidR="00C43F4C" w:rsidRPr="00D90CD9" w:rsidRDefault="00C43F4C" w:rsidP="00C43F4C">
      <w:pPr>
        <w:pStyle w:val="FootnoteText"/>
        <w:rPr>
          <w:lang w:val="en-US"/>
        </w:rPr>
      </w:pPr>
      <w:r>
        <w:rPr>
          <w:rStyle w:val="FootnoteReference"/>
        </w:rPr>
        <w:footnoteRef/>
      </w:r>
      <w:r>
        <w:t xml:space="preserve"> </w:t>
      </w:r>
      <w:r>
        <w:rPr>
          <w:lang w:val="en-US"/>
        </w:rPr>
        <w:t>AGL</w:t>
      </w:r>
      <w:r w:rsidR="005A16FC" w:rsidRPr="005A16FC">
        <w:rPr>
          <w:lang w:val="en-US"/>
        </w:rPr>
        <w:t xml:space="preserve">, </w:t>
      </w:r>
      <w:r w:rsidR="00C76CC6" w:rsidRPr="0033406E">
        <w:rPr>
          <w:lang w:val="en-US"/>
        </w:rPr>
        <w:t xml:space="preserve">Submission to </w:t>
      </w:r>
      <w:r w:rsidR="00C76CC6">
        <w:rPr>
          <w:lang w:val="en-US"/>
        </w:rPr>
        <w:t xml:space="preserve">key review questions, </w:t>
      </w:r>
      <w:r>
        <w:rPr>
          <w:lang w:val="en-US"/>
        </w:rPr>
        <w:t>p</w:t>
      </w:r>
      <w:r w:rsidR="0033406E">
        <w:rPr>
          <w:lang w:val="en-US"/>
        </w:rPr>
        <w:t xml:space="preserve">. </w:t>
      </w:r>
      <w:r>
        <w:rPr>
          <w:lang w:val="en-US"/>
        </w:rPr>
        <w:t>11.</w:t>
      </w:r>
    </w:p>
  </w:footnote>
  <w:footnote w:id="37">
    <w:p w14:paraId="6333A241" w14:textId="03CB2AEC" w:rsidR="00C43F4C" w:rsidRPr="00DA6BE5" w:rsidRDefault="00C43F4C" w:rsidP="00C43F4C">
      <w:pPr>
        <w:pStyle w:val="FootnoteText"/>
        <w:rPr>
          <w:lang w:val="en-US"/>
        </w:rPr>
      </w:pPr>
      <w:r>
        <w:rPr>
          <w:rStyle w:val="FootnoteReference"/>
        </w:rPr>
        <w:footnoteRef/>
      </w:r>
      <w:r>
        <w:t xml:space="preserve"> </w:t>
      </w:r>
      <w:r w:rsidR="00626ABA" w:rsidRPr="00626ABA">
        <w:rPr>
          <w:lang w:val="en-US"/>
        </w:rPr>
        <w:t>Energy Retail Code of Practice</w:t>
      </w:r>
      <w:r w:rsidR="00626ABA">
        <w:rPr>
          <w:lang w:val="en-US"/>
        </w:rPr>
        <w:t xml:space="preserve">, </w:t>
      </w:r>
      <w:r w:rsidR="00626ABA" w:rsidRPr="00626ABA">
        <w:rPr>
          <w:lang w:val="en-US"/>
        </w:rPr>
        <w:t>Part 6, Division 2</w:t>
      </w:r>
      <w:r w:rsidR="00626ABA">
        <w:rPr>
          <w:lang w:val="en-US"/>
        </w:rPr>
        <w:t>.</w:t>
      </w:r>
    </w:p>
  </w:footnote>
  <w:footnote w:id="38">
    <w:p w14:paraId="4EE47832" w14:textId="6B0C4C12" w:rsidR="00C43F4C" w:rsidRDefault="00C43F4C" w:rsidP="00C43F4C">
      <w:pPr>
        <w:pStyle w:val="FootnoteText"/>
      </w:pPr>
      <w:r>
        <w:rPr>
          <w:rStyle w:val="FootnoteReference"/>
        </w:rPr>
        <w:footnoteRef/>
      </w:r>
      <w:r>
        <w:t xml:space="preserve"> </w:t>
      </w:r>
      <w:r w:rsidR="00626ABA" w:rsidRPr="00626ABA">
        <w:rPr>
          <w:lang w:val="en-US"/>
        </w:rPr>
        <w:t>Energy Retail Code of Practice</w:t>
      </w:r>
      <w:r w:rsidR="00626ABA">
        <w:rPr>
          <w:lang w:val="en-US"/>
        </w:rPr>
        <w:t>,</w:t>
      </w:r>
      <w:r w:rsidR="00626ABA">
        <w:t xml:space="preserve"> </w:t>
      </w:r>
      <w:r>
        <w:t>Clause 129</w:t>
      </w:r>
      <w:r w:rsidR="00626ABA">
        <w:t>.</w:t>
      </w:r>
    </w:p>
  </w:footnote>
  <w:footnote w:id="39">
    <w:p w14:paraId="2DE3F52D" w14:textId="207C2854" w:rsidR="00C43F4C" w:rsidRPr="0074635B" w:rsidRDefault="00C43F4C" w:rsidP="00C43F4C">
      <w:pPr>
        <w:pStyle w:val="FootnoteText"/>
        <w:rPr>
          <w:lang w:val="en-US"/>
        </w:rPr>
      </w:pPr>
      <w:r>
        <w:rPr>
          <w:rStyle w:val="FootnoteReference"/>
        </w:rPr>
        <w:footnoteRef/>
      </w:r>
      <w:r>
        <w:t xml:space="preserve"> </w:t>
      </w:r>
      <w:r>
        <w:rPr>
          <w:lang w:val="en-US"/>
        </w:rPr>
        <w:t>This obligation was inserted in the Energy Retail Code of Practice on 1 March 2022</w:t>
      </w:r>
      <w:r w:rsidR="00246192">
        <w:rPr>
          <w:lang w:val="en-US"/>
        </w:rPr>
        <w:t>.</w:t>
      </w:r>
    </w:p>
  </w:footnote>
  <w:footnote w:id="40">
    <w:p w14:paraId="1D417F1D" w14:textId="48795687" w:rsidR="00C43F4C" w:rsidRPr="006F15F0" w:rsidRDefault="00C43F4C" w:rsidP="00C43F4C">
      <w:pPr>
        <w:pStyle w:val="FootnoteText"/>
        <w:rPr>
          <w:lang w:val="en-US"/>
        </w:rPr>
      </w:pPr>
      <w:r>
        <w:rPr>
          <w:rStyle w:val="FootnoteReference"/>
        </w:rPr>
        <w:footnoteRef/>
      </w:r>
      <w:r>
        <w:t xml:space="preserve"> </w:t>
      </w:r>
      <w:r w:rsidR="00D40FD8" w:rsidRPr="00D40FD8">
        <w:t xml:space="preserve">ORIMA Research, </w:t>
      </w:r>
      <w:r w:rsidR="004C5ECE">
        <w:t>‘</w:t>
      </w:r>
      <w:r w:rsidR="00D40FD8" w:rsidRPr="00D40FD8">
        <w:t>Call recordings study</w:t>
      </w:r>
      <w:r w:rsidR="004C5ECE">
        <w:t xml:space="preserve"> report</w:t>
      </w:r>
      <w:r w:rsidR="00D40FD8" w:rsidRPr="00D40FD8">
        <w:t xml:space="preserve">’, </w:t>
      </w:r>
      <w:r>
        <w:rPr>
          <w:lang w:val="en-US"/>
        </w:rPr>
        <w:t>p</w:t>
      </w:r>
      <w:r w:rsidR="00246192">
        <w:rPr>
          <w:lang w:val="en-US"/>
        </w:rPr>
        <w:t xml:space="preserve">. </w:t>
      </w:r>
      <w:r>
        <w:rPr>
          <w:lang w:val="en-US"/>
        </w:rPr>
        <w:t>16.</w:t>
      </w:r>
    </w:p>
  </w:footnote>
  <w:footnote w:id="41">
    <w:p w14:paraId="4AE2EF39" w14:textId="687AF3C8" w:rsidR="001F3329" w:rsidRPr="001F3329" w:rsidRDefault="001F3329" w:rsidP="00C00614">
      <w:pPr>
        <w:spacing w:before="0" w:after="0" w:line="240" w:lineRule="auto"/>
        <w:rPr>
          <w:lang w:val="en-US"/>
        </w:rPr>
      </w:pPr>
      <w:r w:rsidRPr="00C00614">
        <w:rPr>
          <w:rStyle w:val="FootnoteReference"/>
        </w:rPr>
        <w:footnoteRef/>
      </w:r>
      <w:r w:rsidRPr="00C00614">
        <w:t xml:space="preserve"> </w:t>
      </w:r>
      <w:r w:rsidR="00931C48" w:rsidRPr="00C00614">
        <w:rPr>
          <w:sz w:val="18"/>
          <w:szCs w:val="20"/>
        </w:rPr>
        <w:t xml:space="preserve">AGL, Submission </w:t>
      </w:r>
      <w:r w:rsidR="004C5ECE">
        <w:rPr>
          <w:sz w:val="18"/>
          <w:szCs w:val="20"/>
        </w:rPr>
        <w:t>to</w:t>
      </w:r>
      <w:r w:rsidR="00931C48" w:rsidRPr="00C00614">
        <w:rPr>
          <w:sz w:val="18"/>
          <w:szCs w:val="20"/>
        </w:rPr>
        <w:t xml:space="preserve"> key review questions, p. </w:t>
      </w:r>
      <w:r w:rsidRPr="00C00614">
        <w:rPr>
          <w:sz w:val="18"/>
          <w:szCs w:val="20"/>
        </w:rPr>
        <w:t>4.</w:t>
      </w:r>
    </w:p>
  </w:footnote>
  <w:footnote w:id="42">
    <w:p w14:paraId="5D006CCB" w14:textId="73F17EF5" w:rsidR="0021141C" w:rsidRPr="0021141C" w:rsidRDefault="0021141C" w:rsidP="004D7442">
      <w:pPr>
        <w:pStyle w:val="FootnoteText"/>
        <w:rPr>
          <w:lang w:val="en-US"/>
        </w:rPr>
      </w:pPr>
      <w:r>
        <w:rPr>
          <w:rStyle w:val="FootnoteReference"/>
        </w:rPr>
        <w:footnoteRef/>
      </w:r>
      <w:r>
        <w:t xml:space="preserve"> </w:t>
      </w:r>
      <w:r w:rsidR="00C00614" w:rsidRPr="008B4426">
        <w:t>Alinta,</w:t>
      </w:r>
      <w:r w:rsidR="00C00614" w:rsidRPr="008C6D80">
        <w:rPr>
          <w:lang w:val="en-US"/>
        </w:rPr>
        <w:t xml:space="preserve"> </w:t>
      </w:r>
      <w:r w:rsidR="004C5ECE">
        <w:rPr>
          <w:lang w:val="en-US"/>
        </w:rPr>
        <w:t>S</w:t>
      </w:r>
      <w:r w:rsidR="00C00614" w:rsidRPr="00943F3F">
        <w:rPr>
          <w:lang w:val="en-US"/>
        </w:rPr>
        <w:t xml:space="preserve">ubmission to the Essential Services Commission </w:t>
      </w:r>
      <w:r w:rsidR="00C00614">
        <w:rPr>
          <w:lang w:val="en-US"/>
        </w:rPr>
        <w:t>key review questions</w:t>
      </w:r>
      <w:r w:rsidR="00C00614" w:rsidRPr="00943F3F">
        <w:rPr>
          <w:lang w:val="en-US"/>
        </w:rPr>
        <w:t xml:space="preserve">, </w:t>
      </w:r>
      <w:r w:rsidR="00C00614">
        <w:t>November 2021</w:t>
      </w:r>
      <w:r w:rsidR="00C00614" w:rsidRPr="008B4426">
        <w:t xml:space="preserve">, p. </w:t>
      </w:r>
      <w:r w:rsidR="004D7442">
        <w:t>5</w:t>
      </w:r>
      <w:r w:rsidR="00C00614">
        <w:t>.</w:t>
      </w:r>
    </w:p>
  </w:footnote>
  <w:footnote w:id="43">
    <w:p w14:paraId="7D776715" w14:textId="2D94DE2E" w:rsidR="003B41DF" w:rsidRPr="003B41DF" w:rsidRDefault="003B41DF">
      <w:pPr>
        <w:pStyle w:val="FootnoteText"/>
        <w:rPr>
          <w:lang w:val="en-US"/>
        </w:rPr>
      </w:pPr>
      <w:r>
        <w:rPr>
          <w:rStyle w:val="FootnoteReference"/>
        </w:rPr>
        <w:footnoteRef/>
      </w:r>
      <w:r>
        <w:t xml:space="preserve"> </w:t>
      </w:r>
      <w:r w:rsidR="00931C48" w:rsidRPr="00853B28">
        <w:t xml:space="preserve">AGL, Submission to </w:t>
      </w:r>
      <w:r w:rsidR="00931C48">
        <w:t xml:space="preserve">key review </w:t>
      </w:r>
      <w:r w:rsidR="00931C48" w:rsidRPr="00931C48">
        <w:t>questions, p. 13</w:t>
      </w:r>
      <w:r w:rsidRPr="00931C48">
        <w:t>.</w:t>
      </w:r>
    </w:p>
  </w:footnote>
  <w:footnote w:id="44">
    <w:p w14:paraId="74B6451D" w14:textId="3B092100" w:rsidR="00C43F4C" w:rsidRPr="006F15F0" w:rsidRDefault="00C43F4C" w:rsidP="00C43F4C">
      <w:pPr>
        <w:pStyle w:val="FootnoteText"/>
        <w:rPr>
          <w:lang w:val="en-US"/>
        </w:rPr>
      </w:pPr>
      <w:r>
        <w:rPr>
          <w:rStyle w:val="FootnoteReference"/>
        </w:rPr>
        <w:footnoteRef/>
      </w:r>
      <w:r>
        <w:t xml:space="preserve"> </w:t>
      </w:r>
      <w:r w:rsidR="001D5CC1">
        <w:t xml:space="preserve">Essential Services Commission, </w:t>
      </w:r>
      <w:r w:rsidR="00D84459">
        <w:t>‘</w:t>
      </w:r>
      <w:r w:rsidRPr="00FB2060">
        <w:t>Guidance note 1 (2020): De-energisation (or disconnection) of premises (small customers)</w:t>
      </w:r>
      <w:r w:rsidR="00D84459">
        <w:t>’</w:t>
      </w:r>
      <w:r>
        <w:t>, published on 21 August 2020</w:t>
      </w:r>
      <w:r w:rsidR="00D84459">
        <w:t xml:space="preserve">, </w:t>
      </w:r>
      <w:r w:rsidR="00D84459" w:rsidRPr="00D84459">
        <w:t>https://www.esc.vic.gov.au/electricity-and-gas/codes-guidelines-and-policies/energy-retail-code</w:t>
      </w:r>
      <w:r w:rsidR="003C3017" w:rsidRPr="003C3017">
        <w:t>-practice#tabs-container4</w:t>
      </w:r>
      <w:r>
        <w:t>.</w:t>
      </w:r>
    </w:p>
  </w:footnote>
  <w:footnote w:id="45">
    <w:p w14:paraId="0F86519D" w14:textId="3914936A" w:rsidR="00C43F4C" w:rsidRPr="006F15F0" w:rsidRDefault="00C43F4C" w:rsidP="00C43F4C">
      <w:pPr>
        <w:pStyle w:val="FootnoteText"/>
        <w:rPr>
          <w:lang w:val="en-US"/>
        </w:rPr>
      </w:pPr>
      <w:r>
        <w:rPr>
          <w:rStyle w:val="FootnoteReference"/>
        </w:rPr>
        <w:footnoteRef/>
      </w:r>
      <w:r>
        <w:t xml:space="preserve"> </w:t>
      </w:r>
      <w:r w:rsidR="001D5CC1">
        <w:t>Essential Services Commission,</w:t>
      </w:r>
      <w:r w:rsidR="001D5CC1" w:rsidRPr="00AB1040">
        <w:t xml:space="preserve"> </w:t>
      </w:r>
      <w:r w:rsidR="00F002B3">
        <w:t>‘</w:t>
      </w:r>
      <w:r>
        <w:t>Guideline 3 (2022): Clear and unambiguous information or advice for residential customers anticipating or facing payment difficulties</w:t>
      </w:r>
      <w:r w:rsidR="00F002B3">
        <w:t>’</w:t>
      </w:r>
      <w:r>
        <w:t>,</w:t>
      </w:r>
      <w:r w:rsidR="00F002B3">
        <w:t xml:space="preserve"> </w:t>
      </w:r>
      <w:r>
        <w:t>published on 7 October 2020</w:t>
      </w:r>
      <w:r w:rsidR="00F002B3">
        <w:t xml:space="preserve">, </w:t>
      </w:r>
      <w:r w:rsidR="00F002B3" w:rsidRPr="00F002B3">
        <w:t>https://www.esc.vic.gov.au/electricity-and-gas/codes-guidelines-and-policies/energy-retail-code</w:t>
      </w:r>
      <w:r w:rsidR="003C3017" w:rsidRPr="003C3017">
        <w:t>-practice#tabs-container4</w:t>
      </w:r>
      <w:r w:rsidR="008D17A0" w:rsidRPr="008D17A0">
        <w:t>.</w:t>
      </w:r>
    </w:p>
  </w:footnote>
  <w:footnote w:id="46">
    <w:p w14:paraId="62977FAF" w14:textId="6F55CC3F" w:rsidR="004B7E16" w:rsidRPr="00363785" w:rsidRDefault="004B7E16" w:rsidP="004B7E16">
      <w:pPr>
        <w:pStyle w:val="FootnoteText"/>
        <w:rPr>
          <w:lang w:val="en-US"/>
        </w:rPr>
      </w:pPr>
      <w:r w:rsidRPr="00B90B46">
        <w:rPr>
          <w:rStyle w:val="FootnoteReference"/>
        </w:rPr>
        <w:footnoteRef/>
      </w:r>
      <w:r w:rsidRPr="00B90B46">
        <w:t xml:space="preserve"> </w:t>
      </w:r>
      <w:r w:rsidRPr="00B90B46">
        <w:rPr>
          <w:lang w:val="en-US"/>
        </w:rPr>
        <w:t xml:space="preserve">Victorian Council of Social Service, </w:t>
      </w:r>
      <w:r w:rsidR="001D5CC1">
        <w:rPr>
          <w:lang w:val="en-US"/>
        </w:rPr>
        <w:t>S</w:t>
      </w:r>
      <w:r w:rsidRPr="0033406E">
        <w:rPr>
          <w:lang w:val="en-US"/>
        </w:rPr>
        <w:t xml:space="preserve">ubmission to the Essential Services Commission </w:t>
      </w:r>
      <w:r w:rsidR="00613E74">
        <w:rPr>
          <w:lang w:val="en-US"/>
        </w:rPr>
        <w:t>key review questions</w:t>
      </w:r>
      <w:r w:rsidRPr="0033406E">
        <w:rPr>
          <w:lang w:val="en-US"/>
        </w:rPr>
        <w:t>, November 2021</w:t>
      </w:r>
      <w:r>
        <w:rPr>
          <w:lang w:val="en-US"/>
        </w:rPr>
        <w:t>,</w:t>
      </w:r>
      <w:r w:rsidRPr="00B90B46">
        <w:rPr>
          <w:lang w:val="en-US"/>
        </w:rPr>
        <w:t xml:space="preserve"> p</w:t>
      </w:r>
      <w:r w:rsidR="001D5CC1">
        <w:rPr>
          <w:lang w:val="en-US"/>
        </w:rPr>
        <w:t xml:space="preserve">p. </w:t>
      </w:r>
      <w:r w:rsidRPr="00B90B46">
        <w:rPr>
          <w:lang w:val="en-US"/>
        </w:rPr>
        <w:t>2,</w:t>
      </w:r>
      <w:r w:rsidR="001D5CC1">
        <w:rPr>
          <w:lang w:val="en-US"/>
        </w:rPr>
        <w:t xml:space="preserve"> </w:t>
      </w:r>
      <w:r w:rsidRPr="00B90B46">
        <w:rPr>
          <w:lang w:val="en-US"/>
        </w:rPr>
        <w:t xml:space="preserve">6; </w:t>
      </w:r>
      <w:r w:rsidRPr="00613E74">
        <w:rPr>
          <w:lang w:val="en-US"/>
        </w:rPr>
        <w:t>Powershop</w:t>
      </w:r>
      <w:r w:rsidR="00C239A8">
        <w:rPr>
          <w:lang w:val="en-US"/>
        </w:rPr>
        <w:t>,</w:t>
      </w:r>
      <w:r w:rsidRPr="00613E74">
        <w:rPr>
          <w:lang w:val="en-US"/>
        </w:rPr>
        <w:t xml:space="preserve"> </w:t>
      </w:r>
      <w:r w:rsidR="00C239A8">
        <w:rPr>
          <w:lang w:val="en-US"/>
        </w:rPr>
        <w:t>S</w:t>
      </w:r>
      <w:r w:rsidRPr="00613E74">
        <w:rPr>
          <w:lang w:val="en-US"/>
        </w:rPr>
        <w:t xml:space="preserve">ubmission to the Essential Services Commission </w:t>
      </w:r>
      <w:r w:rsidR="00613E74" w:rsidRPr="00613E74">
        <w:rPr>
          <w:lang w:val="en-US"/>
        </w:rPr>
        <w:t>key review questions</w:t>
      </w:r>
      <w:r w:rsidRPr="00613E74">
        <w:rPr>
          <w:lang w:val="en-US"/>
        </w:rPr>
        <w:t>, November 2021, p</w:t>
      </w:r>
      <w:r w:rsidR="00C239A8">
        <w:rPr>
          <w:lang w:val="en-US"/>
        </w:rPr>
        <w:t xml:space="preserve">. </w:t>
      </w:r>
      <w:r w:rsidRPr="00613E74">
        <w:rPr>
          <w:lang w:val="en-US"/>
        </w:rPr>
        <w:t xml:space="preserve">4; Energy and Water Ombudsman Victoria, submission to the Essential Services Commission </w:t>
      </w:r>
      <w:r w:rsidR="00613E74" w:rsidRPr="00613E74">
        <w:rPr>
          <w:lang w:val="en-US"/>
        </w:rPr>
        <w:t>key review questions</w:t>
      </w:r>
      <w:r w:rsidRPr="00613E74">
        <w:rPr>
          <w:lang w:val="en-US"/>
        </w:rPr>
        <w:t>, November 2021, p</w:t>
      </w:r>
      <w:r w:rsidR="00C239A8">
        <w:rPr>
          <w:lang w:val="en-US"/>
        </w:rPr>
        <w:t xml:space="preserve">p. </w:t>
      </w:r>
      <w:r w:rsidRPr="00613E74">
        <w:rPr>
          <w:lang w:val="en-US"/>
        </w:rPr>
        <w:t>6-7</w:t>
      </w:r>
      <w:r w:rsidR="00C239A8">
        <w:rPr>
          <w:lang w:val="en-US"/>
        </w:rPr>
        <w:t xml:space="preserve">; </w:t>
      </w:r>
      <w:r w:rsidR="00C239A8" w:rsidRPr="00B90B46">
        <w:rPr>
          <w:lang w:val="en-US"/>
        </w:rPr>
        <w:t xml:space="preserve">Financial Counselling Victoria, </w:t>
      </w:r>
      <w:r w:rsidR="00C239A8">
        <w:rPr>
          <w:lang w:val="en-US"/>
        </w:rPr>
        <w:t>s</w:t>
      </w:r>
      <w:r w:rsidR="00C239A8" w:rsidRPr="0033406E">
        <w:rPr>
          <w:lang w:val="en-US"/>
        </w:rPr>
        <w:t xml:space="preserve">ubmission to </w:t>
      </w:r>
      <w:r w:rsidR="00C239A8">
        <w:rPr>
          <w:lang w:val="en-US"/>
        </w:rPr>
        <w:t xml:space="preserve">key </w:t>
      </w:r>
      <w:r w:rsidR="00C239A8" w:rsidRPr="0033406E">
        <w:rPr>
          <w:lang w:val="en-US"/>
        </w:rPr>
        <w:t xml:space="preserve">review questions, </w:t>
      </w:r>
      <w:r w:rsidR="00C239A8" w:rsidRPr="00B90B46">
        <w:rPr>
          <w:lang w:val="en-US"/>
        </w:rPr>
        <w:t>p</w:t>
      </w:r>
      <w:r w:rsidR="00C239A8">
        <w:rPr>
          <w:lang w:val="en-US"/>
        </w:rPr>
        <w:t xml:space="preserve">. </w:t>
      </w:r>
      <w:r w:rsidR="00C239A8" w:rsidRPr="00B90B46">
        <w:rPr>
          <w:lang w:val="en-US"/>
        </w:rPr>
        <w:t xml:space="preserve">4; Uniting Vic. Tas, </w:t>
      </w:r>
      <w:r w:rsidR="00C239A8">
        <w:rPr>
          <w:lang w:val="en-US"/>
        </w:rPr>
        <w:t>S</w:t>
      </w:r>
      <w:r w:rsidR="00C239A8" w:rsidRPr="0033406E">
        <w:rPr>
          <w:lang w:val="en-US"/>
        </w:rPr>
        <w:t xml:space="preserve">ubmission to </w:t>
      </w:r>
      <w:r w:rsidR="00C239A8">
        <w:rPr>
          <w:lang w:val="en-US"/>
        </w:rPr>
        <w:t xml:space="preserve">key </w:t>
      </w:r>
      <w:r w:rsidR="00C239A8" w:rsidRPr="0033406E">
        <w:rPr>
          <w:lang w:val="en-US"/>
        </w:rPr>
        <w:t xml:space="preserve">review questions, </w:t>
      </w:r>
      <w:r w:rsidR="00C239A8" w:rsidRPr="00B90B46">
        <w:rPr>
          <w:lang w:val="en-US"/>
        </w:rPr>
        <w:t>p</w:t>
      </w:r>
      <w:r w:rsidR="00C239A8">
        <w:rPr>
          <w:lang w:val="en-US"/>
        </w:rPr>
        <w:t xml:space="preserve">. </w:t>
      </w:r>
      <w:r w:rsidR="00C239A8" w:rsidRPr="00B90B46">
        <w:rPr>
          <w:lang w:val="en-US"/>
        </w:rPr>
        <w:t xml:space="preserve">6; Alinta, </w:t>
      </w:r>
      <w:r w:rsidR="00C239A8">
        <w:rPr>
          <w:lang w:val="en-US"/>
        </w:rPr>
        <w:t>S</w:t>
      </w:r>
      <w:r w:rsidR="00C239A8" w:rsidRPr="0033406E">
        <w:rPr>
          <w:lang w:val="en-US"/>
        </w:rPr>
        <w:t xml:space="preserve">ubmission to </w:t>
      </w:r>
      <w:r w:rsidR="00C239A8">
        <w:rPr>
          <w:lang w:val="en-US"/>
        </w:rPr>
        <w:t xml:space="preserve">key </w:t>
      </w:r>
      <w:r w:rsidR="00C239A8" w:rsidRPr="0033406E">
        <w:rPr>
          <w:lang w:val="en-US"/>
        </w:rPr>
        <w:t xml:space="preserve">review questions, </w:t>
      </w:r>
      <w:r w:rsidR="00C239A8" w:rsidRPr="00B90B46">
        <w:rPr>
          <w:lang w:val="en-US"/>
        </w:rPr>
        <w:t>p</w:t>
      </w:r>
      <w:r w:rsidR="00C239A8">
        <w:rPr>
          <w:lang w:val="en-US"/>
        </w:rPr>
        <w:t xml:space="preserve">. </w:t>
      </w:r>
      <w:r w:rsidR="00C239A8" w:rsidRPr="00B90B46">
        <w:rPr>
          <w:lang w:val="en-US"/>
        </w:rPr>
        <w:t>3</w:t>
      </w:r>
      <w:r w:rsidR="00C239A8">
        <w:rPr>
          <w:lang w:val="en-US"/>
        </w:rPr>
        <w:t>.</w:t>
      </w:r>
    </w:p>
  </w:footnote>
  <w:footnote w:id="47">
    <w:p w14:paraId="2EF5B30D" w14:textId="4D847203" w:rsidR="00C43F4C" w:rsidRPr="00EE3ED0" w:rsidRDefault="00C43F4C" w:rsidP="00C43F4C">
      <w:pPr>
        <w:pStyle w:val="FootnoteText"/>
        <w:rPr>
          <w:lang w:val="en-US"/>
        </w:rPr>
      </w:pPr>
      <w:r w:rsidRPr="001A2D0D">
        <w:rPr>
          <w:rStyle w:val="FootnoteReference"/>
        </w:rPr>
        <w:footnoteRef/>
      </w:r>
      <w:r w:rsidRPr="001A2D0D">
        <w:t xml:space="preserve"> </w:t>
      </w:r>
      <w:r w:rsidR="001A2D0D" w:rsidRPr="001A2D0D">
        <w:rPr>
          <w:lang w:val="en-US"/>
        </w:rPr>
        <w:t>Based on retailer data submitted as per the Compliance and Performance Reporting Guideline</w:t>
      </w:r>
      <w:r w:rsidR="00F20A06">
        <w:rPr>
          <w:lang w:val="en-US"/>
        </w:rPr>
        <w:t>.</w:t>
      </w:r>
    </w:p>
  </w:footnote>
  <w:footnote w:id="48">
    <w:p w14:paraId="22E2CA59" w14:textId="3ECEF90F" w:rsidR="00C43F4C" w:rsidRPr="00531422" w:rsidRDefault="00C43F4C" w:rsidP="00C43F4C">
      <w:pPr>
        <w:pStyle w:val="FootnoteText"/>
        <w:rPr>
          <w:lang w:val="en-US"/>
        </w:rPr>
      </w:pPr>
      <w:r>
        <w:rPr>
          <w:rStyle w:val="FootnoteReference"/>
        </w:rPr>
        <w:footnoteRef/>
      </w:r>
      <w:r>
        <w:t xml:space="preserve"> </w:t>
      </w:r>
      <w:r>
        <w:rPr>
          <w:lang w:val="en-US"/>
        </w:rPr>
        <w:t xml:space="preserve">41 per cent of customers who can pay ongoing usage, and </w:t>
      </w:r>
      <w:r w:rsidR="00C61F20">
        <w:rPr>
          <w:lang w:val="en-US"/>
        </w:rPr>
        <w:t>54</w:t>
      </w:r>
      <w:r>
        <w:rPr>
          <w:lang w:val="en-US"/>
        </w:rPr>
        <w:t xml:space="preserve"> per</w:t>
      </w:r>
      <w:r w:rsidR="00FB764B">
        <w:rPr>
          <w:lang w:val="en-US"/>
        </w:rPr>
        <w:t xml:space="preserve"> </w:t>
      </w:r>
      <w:r>
        <w:rPr>
          <w:lang w:val="en-US"/>
        </w:rPr>
        <w:t>cent of electricity customers who cannot pay for on-going usage.</w:t>
      </w:r>
    </w:p>
  </w:footnote>
  <w:footnote w:id="49">
    <w:p w14:paraId="71797CE4" w14:textId="09B4AF4B" w:rsidR="00C43F4C" w:rsidRPr="00583623" w:rsidRDefault="00C43F4C" w:rsidP="00C43F4C">
      <w:pPr>
        <w:pStyle w:val="FootnoteText"/>
        <w:rPr>
          <w:lang w:val="en-US"/>
        </w:rPr>
      </w:pPr>
      <w:r w:rsidRPr="00FC73F0">
        <w:rPr>
          <w:rStyle w:val="FootnoteReference"/>
        </w:rPr>
        <w:footnoteRef/>
      </w:r>
      <w:r w:rsidRPr="00FC73F0">
        <w:t xml:space="preserve"> </w:t>
      </w:r>
      <w:r w:rsidR="00FC73F0" w:rsidRPr="00FC73F0">
        <w:rPr>
          <w:lang w:val="en-US"/>
        </w:rPr>
        <w:t xml:space="preserve">Based on retailer data submitted as per the </w:t>
      </w:r>
      <w:hyperlink r:id="rId1" w:history="1">
        <w:r w:rsidR="00FC73F0" w:rsidRPr="00EA5A1E">
          <w:rPr>
            <w:rStyle w:val="Hyperlink"/>
            <w:lang w:val="en-US"/>
          </w:rPr>
          <w:t>Compliance and Performance Reporting Guideline</w:t>
        </w:r>
      </w:hyperlink>
      <w:r w:rsidR="00EA5A1E">
        <w:rPr>
          <w:lang w:val="en-US"/>
        </w:rPr>
        <w:t>.</w:t>
      </w:r>
    </w:p>
  </w:footnote>
  <w:footnote w:id="50">
    <w:p w14:paraId="5CB91862" w14:textId="18B54718" w:rsidR="00C43F4C" w:rsidRPr="00175D77" w:rsidRDefault="00C43F4C" w:rsidP="00C43F4C">
      <w:pPr>
        <w:pStyle w:val="FootnoteText"/>
        <w:rPr>
          <w:lang w:val="en-US"/>
        </w:rPr>
      </w:pPr>
      <w:r>
        <w:rPr>
          <w:rStyle w:val="FootnoteReference"/>
        </w:rPr>
        <w:footnoteRef/>
      </w:r>
      <w:r>
        <w:t xml:space="preserve"> </w:t>
      </w:r>
      <w:r w:rsidR="00117C9E" w:rsidRPr="00117C9E">
        <w:rPr>
          <w:lang w:val="en-US"/>
        </w:rPr>
        <w:t xml:space="preserve">Energy and Water Ombudsman Victoria, ‘Missing the Mark’, </w:t>
      </w:r>
      <w:r>
        <w:rPr>
          <w:lang w:val="en-US"/>
        </w:rPr>
        <w:t>p</w:t>
      </w:r>
      <w:r w:rsidR="00E10C84">
        <w:rPr>
          <w:lang w:val="en-US"/>
        </w:rPr>
        <w:t xml:space="preserve">. </w:t>
      </w:r>
      <w:r>
        <w:rPr>
          <w:lang w:val="en-US"/>
        </w:rPr>
        <w:t>7</w:t>
      </w:r>
      <w:r w:rsidR="00E10C84">
        <w:rPr>
          <w:lang w:val="en-US"/>
        </w:rPr>
        <w:t>.</w:t>
      </w:r>
    </w:p>
  </w:footnote>
  <w:footnote w:id="51">
    <w:p w14:paraId="2C023F9C" w14:textId="4ECA3589" w:rsidR="00C43F4C" w:rsidRPr="00893857" w:rsidRDefault="00C43F4C" w:rsidP="00C43F4C">
      <w:pPr>
        <w:pStyle w:val="FootnoteText"/>
        <w:rPr>
          <w:lang w:val="en-US"/>
        </w:rPr>
      </w:pPr>
      <w:r>
        <w:rPr>
          <w:rStyle w:val="FootnoteReference"/>
        </w:rPr>
        <w:footnoteRef/>
      </w:r>
      <w:r w:rsidR="00535C81">
        <w:t xml:space="preserve"> </w:t>
      </w:r>
      <w:r w:rsidR="00685450">
        <w:t xml:space="preserve">Credit related complaints include complaints received by </w:t>
      </w:r>
      <w:r w:rsidR="00784B49">
        <w:t>Energy and Water Ombudsman of Victoria</w:t>
      </w:r>
      <w:r w:rsidR="00685450">
        <w:t xml:space="preserve"> relating to energy arrears or assistance provided by retailers;</w:t>
      </w:r>
      <w:r>
        <w:t xml:space="preserve"> </w:t>
      </w:r>
      <w:r w:rsidR="00E927B6" w:rsidRPr="00E927B6">
        <w:t>Energy and Water Ombudsman Victoria, December 2020</w:t>
      </w:r>
      <w:r w:rsidR="00E927B6">
        <w:t xml:space="preserve">, </w:t>
      </w:r>
      <w:r>
        <w:t>p</w:t>
      </w:r>
      <w:r w:rsidR="00E927B6">
        <w:t xml:space="preserve">. </w:t>
      </w:r>
      <w:r>
        <w:t xml:space="preserve">2. </w:t>
      </w:r>
    </w:p>
  </w:footnote>
  <w:footnote w:id="52">
    <w:p w14:paraId="6D4EFEB7" w14:textId="10161233" w:rsidR="00C43F4C" w:rsidRPr="005F1157" w:rsidRDefault="00C43F4C" w:rsidP="00C43F4C">
      <w:pPr>
        <w:pStyle w:val="FootnoteText"/>
        <w:rPr>
          <w:lang w:val="en-US"/>
        </w:rPr>
      </w:pPr>
      <w:r>
        <w:rPr>
          <w:rStyle w:val="FootnoteReference"/>
        </w:rPr>
        <w:footnoteRef/>
      </w:r>
      <w:r>
        <w:t xml:space="preserve"> </w:t>
      </w:r>
      <w:r w:rsidR="00D54C23" w:rsidRPr="00E927B6">
        <w:t>Energy and Water Ombudsman Victoria</w:t>
      </w:r>
      <w:r w:rsidRPr="00D5769B">
        <w:t>,</w:t>
      </w:r>
      <w:r w:rsidR="00D54C23">
        <w:t xml:space="preserve"> </w:t>
      </w:r>
      <w:r w:rsidR="00D54C23" w:rsidRPr="00D54C23">
        <w:t xml:space="preserve">Submission </w:t>
      </w:r>
      <w:r w:rsidR="00FB764B">
        <w:t>to</w:t>
      </w:r>
      <w:r w:rsidR="00D54C23" w:rsidRPr="00D54C23">
        <w:t xml:space="preserve"> </w:t>
      </w:r>
      <w:r w:rsidR="00613E74">
        <w:t>key review questions</w:t>
      </w:r>
      <w:r w:rsidR="00D54C23">
        <w:t>,</w:t>
      </w:r>
      <w:r w:rsidRPr="00D5769B">
        <w:t xml:space="preserve"> p. 6</w:t>
      </w:r>
      <w:r w:rsidR="00D54C23">
        <w:t>.</w:t>
      </w:r>
    </w:p>
  </w:footnote>
  <w:footnote w:id="53">
    <w:p w14:paraId="08CFBF5E" w14:textId="53E45755" w:rsidR="00DA44FC" w:rsidRPr="008E6AB9" w:rsidRDefault="00DA44FC">
      <w:pPr>
        <w:pStyle w:val="FootnoteText"/>
        <w:rPr>
          <w:lang w:val="en-US"/>
        </w:rPr>
      </w:pPr>
      <w:r>
        <w:rPr>
          <w:rStyle w:val="FootnoteReference"/>
        </w:rPr>
        <w:footnoteRef/>
      </w:r>
      <w:r>
        <w:t xml:space="preserve"> </w:t>
      </w:r>
      <w:r w:rsidR="00FB746A" w:rsidRPr="00D62751">
        <w:t>Dr Larissa Nicholls and Dr Kari Dahlgren</w:t>
      </w:r>
      <w:r w:rsidR="00FB746A">
        <w:t>,</w:t>
      </w:r>
      <w:r w:rsidR="00FB746A" w:rsidRPr="00D62751">
        <w:t xml:space="preserve"> </w:t>
      </w:r>
      <w:r w:rsidR="00FB746A">
        <w:t>‘Consumer experiences following energy market reforms in Victoria</w:t>
      </w:r>
      <w:r w:rsidR="0081266C">
        <w:t xml:space="preserve">’, </w:t>
      </w:r>
      <w:r w:rsidR="00FB746A">
        <w:t>p. 44.</w:t>
      </w:r>
    </w:p>
  </w:footnote>
  <w:footnote w:id="54">
    <w:p w14:paraId="27A9BD1A" w14:textId="1C3B0602" w:rsidR="00A671D5" w:rsidRPr="00A671D5" w:rsidRDefault="00A671D5">
      <w:pPr>
        <w:pStyle w:val="FootnoteText"/>
        <w:rPr>
          <w:lang w:val="en-US"/>
        </w:rPr>
      </w:pPr>
      <w:r>
        <w:rPr>
          <w:rStyle w:val="FootnoteReference"/>
        </w:rPr>
        <w:footnoteRef/>
      </w:r>
      <w:r>
        <w:t xml:space="preserve"> </w:t>
      </w:r>
      <w:r w:rsidRPr="00AD68F4">
        <w:t>Community Information and Support Victoria</w:t>
      </w:r>
      <w:r>
        <w:t>,</w:t>
      </w:r>
      <w:r w:rsidRPr="00AD68F4">
        <w:t xml:space="preserve"> </w:t>
      </w:r>
      <w:r w:rsidR="0081266C">
        <w:t>S</w:t>
      </w:r>
      <w:r w:rsidRPr="00AD68F4">
        <w:rPr>
          <w:lang w:val="en-US"/>
        </w:rPr>
        <w:t xml:space="preserve">ubmission to the Essential Services Commission </w:t>
      </w:r>
      <w:r>
        <w:rPr>
          <w:lang w:val="en-US"/>
        </w:rPr>
        <w:t>key review questions</w:t>
      </w:r>
      <w:r w:rsidRPr="00AD68F4">
        <w:rPr>
          <w:lang w:val="en-US"/>
        </w:rPr>
        <w:t>, November 2021, p</w:t>
      </w:r>
      <w:r>
        <w:rPr>
          <w:lang w:val="en-US"/>
        </w:rPr>
        <w:t xml:space="preserve">. </w:t>
      </w:r>
      <w:r w:rsidRPr="00AD68F4">
        <w:rPr>
          <w:lang w:val="en-US"/>
        </w:rPr>
        <w:t>2</w:t>
      </w:r>
      <w:r>
        <w:rPr>
          <w:lang w:val="en-US"/>
        </w:rPr>
        <w:t>.</w:t>
      </w:r>
    </w:p>
  </w:footnote>
  <w:footnote w:id="55">
    <w:p w14:paraId="78CD4A7D" w14:textId="01A1AF3A" w:rsidR="002D4F01" w:rsidRPr="00A702B7" w:rsidRDefault="002D4F01" w:rsidP="002D4F01">
      <w:pPr>
        <w:pStyle w:val="FootnoteText"/>
        <w:rPr>
          <w:lang w:val="en-US"/>
        </w:rPr>
      </w:pPr>
      <w:r w:rsidRPr="00AD68F4">
        <w:rPr>
          <w:rStyle w:val="FootnoteReference"/>
        </w:rPr>
        <w:footnoteRef/>
      </w:r>
      <w:r w:rsidRPr="00AD68F4">
        <w:t xml:space="preserve"> Community Information and Support Victoria</w:t>
      </w:r>
      <w:r>
        <w:t>,</w:t>
      </w:r>
      <w:r w:rsidRPr="00AD68F4">
        <w:t xml:space="preserve"> </w:t>
      </w:r>
      <w:r w:rsidR="0081266C">
        <w:rPr>
          <w:lang w:val="en-US"/>
        </w:rPr>
        <w:t>S</w:t>
      </w:r>
      <w:r w:rsidRPr="00AD68F4">
        <w:rPr>
          <w:lang w:val="en-US"/>
        </w:rPr>
        <w:t xml:space="preserve">ubmission to </w:t>
      </w:r>
      <w:r w:rsidR="00613E74">
        <w:rPr>
          <w:lang w:val="en-US"/>
        </w:rPr>
        <w:t>key review questions</w:t>
      </w:r>
      <w:r w:rsidRPr="00AD68F4">
        <w:rPr>
          <w:lang w:val="en-US"/>
        </w:rPr>
        <w:t>, p</w:t>
      </w:r>
      <w:r>
        <w:rPr>
          <w:lang w:val="en-US"/>
        </w:rPr>
        <w:t xml:space="preserve">. </w:t>
      </w:r>
      <w:r w:rsidRPr="00AD68F4">
        <w:rPr>
          <w:lang w:val="en-US"/>
        </w:rPr>
        <w:t>2</w:t>
      </w:r>
      <w:r>
        <w:rPr>
          <w:lang w:val="en-US"/>
        </w:rPr>
        <w:t>.</w:t>
      </w:r>
    </w:p>
  </w:footnote>
  <w:footnote w:id="56">
    <w:p w14:paraId="76AF8C3A" w14:textId="61F79997" w:rsidR="002D4F01" w:rsidRPr="005B38E9" w:rsidRDefault="002D4F01" w:rsidP="002D4F01">
      <w:pPr>
        <w:pStyle w:val="FootnoteText"/>
        <w:rPr>
          <w:lang w:val="en-US"/>
        </w:rPr>
      </w:pPr>
      <w:r>
        <w:rPr>
          <w:rStyle w:val="FootnoteReference"/>
        </w:rPr>
        <w:footnoteRef/>
      </w:r>
      <w:r>
        <w:t xml:space="preserve"> </w:t>
      </w:r>
      <w:r w:rsidR="0081266C" w:rsidRPr="00D62751">
        <w:t>Dr Larissa Nicholls and Dr Kari Dahlgren</w:t>
      </w:r>
      <w:r w:rsidR="0081266C">
        <w:t>,</w:t>
      </w:r>
      <w:r w:rsidR="0081266C" w:rsidRPr="00D62751">
        <w:t xml:space="preserve"> </w:t>
      </w:r>
      <w:r w:rsidR="0081266C">
        <w:t xml:space="preserve">‘Consumer experiences following energy market reforms in Victoria’, </w:t>
      </w:r>
      <w:r>
        <w:t>p. 10.</w:t>
      </w:r>
    </w:p>
  </w:footnote>
  <w:footnote w:id="57">
    <w:p w14:paraId="0A8E916B" w14:textId="301F07FE" w:rsidR="00C43F4C" w:rsidRPr="00815E0F" w:rsidRDefault="00C43F4C" w:rsidP="00C43F4C">
      <w:pPr>
        <w:pStyle w:val="FootnoteText"/>
        <w:rPr>
          <w:lang w:val="en-US"/>
        </w:rPr>
      </w:pPr>
      <w:r>
        <w:rPr>
          <w:rStyle w:val="FootnoteReference"/>
        </w:rPr>
        <w:footnoteRef/>
      </w:r>
      <w:r>
        <w:t xml:space="preserve"> </w:t>
      </w:r>
      <w:r w:rsidR="00044A09">
        <w:t>Powershop</w:t>
      </w:r>
      <w:r w:rsidR="00880FF9">
        <w:rPr>
          <w:lang w:val="en-US"/>
        </w:rPr>
        <w:t xml:space="preserve">, </w:t>
      </w:r>
      <w:r w:rsidR="00165148">
        <w:rPr>
          <w:lang w:val="en-US"/>
        </w:rPr>
        <w:t>S</w:t>
      </w:r>
      <w:r w:rsidR="00880FF9" w:rsidRPr="00D54C23">
        <w:t xml:space="preserve">ubmission to </w:t>
      </w:r>
      <w:r w:rsidR="00613E74">
        <w:t>key review questions</w:t>
      </w:r>
      <w:r w:rsidR="00880FF9">
        <w:rPr>
          <w:lang w:val="en-US"/>
        </w:rPr>
        <w:t>;</w:t>
      </w:r>
      <w:r>
        <w:rPr>
          <w:lang w:val="en-US"/>
        </w:rPr>
        <w:t xml:space="preserve"> </w:t>
      </w:r>
      <w:r w:rsidR="005151CD">
        <w:rPr>
          <w:lang w:val="en-US"/>
        </w:rPr>
        <w:t xml:space="preserve">Community </w:t>
      </w:r>
      <w:r w:rsidR="008E28B3">
        <w:rPr>
          <w:lang w:val="en-US"/>
        </w:rPr>
        <w:t>Information and Support Victoria</w:t>
      </w:r>
      <w:r w:rsidR="005151CD">
        <w:rPr>
          <w:lang w:val="en-US"/>
        </w:rPr>
        <w:t xml:space="preserve">, </w:t>
      </w:r>
      <w:r w:rsidR="00165148">
        <w:t>S</w:t>
      </w:r>
      <w:r w:rsidR="005151CD" w:rsidRPr="00D54C23">
        <w:t xml:space="preserve">ubmission to </w:t>
      </w:r>
      <w:r w:rsidR="00613E74">
        <w:t>key review questions</w:t>
      </w:r>
      <w:r w:rsidR="008E28B3">
        <w:t>.</w:t>
      </w:r>
    </w:p>
  </w:footnote>
  <w:footnote w:id="58">
    <w:p w14:paraId="1A6D6EBF" w14:textId="5D16BFCA" w:rsidR="00C43F4C" w:rsidRPr="00D86ECB" w:rsidRDefault="00C43F4C" w:rsidP="00C43F4C">
      <w:pPr>
        <w:pStyle w:val="FootnoteText"/>
        <w:rPr>
          <w:lang w:val="en-US"/>
        </w:rPr>
      </w:pPr>
      <w:r>
        <w:rPr>
          <w:rStyle w:val="FootnoteReference"/>
        </w:rPr>
        <w:footnoteRef/>
      </w:r>
      <w:r>
        <w:t xml:space="preserve"> </w:t>
      </w:r>
      <w:r w:rsidR="00165148" w:rsidRPr="00D62751">
        <w:t>Dr Larissa Nicholls and Dr Kari Dahlgren</w:t>
      </w:r>
      <w:r w:rsidR="00165148">
        <w:t>,</w:t>
      </w:r>
      <w:r w:rsidR="00165148" w:rsidRPr="00D62751">
        <w:t xml:space="preserve"> </w:t>
      </w:r>
      <w:r w:rsidR="00165148">
        <w:t xml:space="preserve">‘Consumer experiences following energy market reforms in Victoria’, </w:t>
      </w:r>
      <w:r w:rsidR="00847657" w:rsidRPr="00847657">
        <w:rPr>
          <w:lang w:val="en-US"/>
        </w:rPr>
        <w:t xml:space="preserve">p. </w:t>
      </w:r>
      <w:r w:rsidR="00885D52">
        <w:rPr>
          <w:lang w:val="en-US"/>
        </w:rPr>
        <w:t>4</w:t>
      </w:r>
      <w:r w:rsidR="00847657">
        <w:rPr>
          <w:lang w:val="en-US"/>
        </w:rPr>
        <w:t>.</w:t>
      </w:r>
    </w:p>
  </w:footnote>
  <w:footnote w:id="59">
    <w:p w14:paraId="32915735" w14:textId="767141D4" w:rsidR="001027AF" w:rsidRPr="006F15F0" w:rsidRDefault="001027AF" w:rsidP="001027AF">
      <w:pPr>
        <w:pStyle w:val="FootnoteText"/>
        <w:rPr>
          <w:lang w:val="en-US"/>
        </w:rPr>
      </w:pPr>
      <w:r>
        <w:rPr>
          <w:rStyle w:val="FootnoteReference"/>
        </w:rPr>
        <w:footnoteRef/>
      </w:r>
      <w:r>
        <w:t xml:space="preserve"> ‘</w:t>
      </w:r>
      <w:r w:rsidRPr="00FB2060">
        <w:t xml:space="preserve">Guidance note </w:t>
      </w:r>
      <w:r>
        <w:t>4</w:t>
      </w:r>
      <w:r w:rsidRPr="00FB2060">
        <w:t xml:space="preserve"> (2020): De-energisation (or disconnection) of premises (small customers)</w:t>
      </w:r>
      <w:r>
        <w:t xml:space="preserve">’, Essential Services Commission, published on 28 October 2020, </w:t>
      </w:r>
      <w:r w:rsidRPr="00D84459">
        <w:t>https://www.esc.vic.gov.au/electricity-and-gas/codes-guidelines-and-policies/energy-retail-code</w:t>
      </w:r>
      <w:r w:rsidRPr="003C3017">
        <w:t>-practice#tabs-container4</w:t>
      </w:r>
      <w:r>
        <w:t>.</w:t>
      </w:r>
    </w:p>
  </w:footnote>
  <w:footnote w:id="60">
    <w:p w14:paraId="733E43B1" w14:textId="15ED6CC8" w:rsidR="00C43F4C" w:rsidRPr="004B6B99" w:rsidRDefault="00C43F4C" w:rsidP="00C43F4C">
      <w:pPr>
        <w:pStyle w:val="FootnoteText"/>
        <w:rPr>
          <w:lang w:val="en-US"/>
        </w:rPr>
      </w:pPr>
      <w:r>
        <w:rPr>
          <w:rStyle w:val="FootnoteReference"/>
        </w:rPr>
        <w:footnoteRef/>
      </w:r>
      <w:r>
        <w:t xml:space="preserve"> </w:t>
      </w:r>
      <w:r w:rsidR="00D40FD8" w:rsidRPr="00D40FD8">
        <w:t>ORIMA Research, ‘Call recordings study</w:t>
      </w:r>
      <w:r w:rsidR="00165148">
        <w:t xml:space="preserve"> report</w:t>
      </w:r>
      <w:r w:rsidR="00D40FD8" w:rsidRPr="00D40FD8">
        <w:t xml:space="preserve">’, </w:t>
      </w:r>
      <w:r w:rsidR="00BF4F0A" w:rsidRPr="00BF4F0A">
        <w:rPr>
          <w:lang w:val="en-US"/>
        </w:rPr>
        <w:t>p</w:t>
      </w:r>
      <w:r w:rsidR="00165148">
        <w:rPr>
          <w:lang w:val="en-US"/>
        </w:rPr>
        <w:t xml:space="preserve">. </w:t>
      </w:r>
      <w:r w:rsidR="00E66AAC">
        <w:rPr>
          <w:lang w:val="en-US"/>
        </w:rPr>
        <w:t>2</w:t>
      </w:r>
      <w:r w:rsidR="00BF4F0A" w:rsidRPr="00BF4F0A">
        <w:rPr>
          <w:lang w:val="en-US"/>
        </w:rPr>
        <w:t>6.</w:t>
      </w:r>
    </w:p>
  </w:footnote>
  <w:footnote w:id="61">
    <w:p w14:paraId="36B7C0E2" w14:textId="507301E8" w:rsidR="00C43F4C" w:rsidRPr="00CC6D51" w:rsidRDefault="00C43F4C" w:rsidP="00C43F4C">
      <w:pPr>
        <w:pStyle w:val="FootnoteText"/>
        <w:rPr>
          <w:lang w:val="en-US"/>
        </w:rPr>
      </w:pPr>
      <w:r>
        <w:rPr>
          <w:rStyle w:val="FootnoteReference"/>
        </w:rPr>
        <w:footnoteRef/>
      </w:r>
      <w:r>
        <w:t xml:space="preserve"> </w:t>
      </w:r>
      <w:r w:rsidR="00B74155" w:rsidRPr="00D40FD8">
        <w:t>ORIMA Research, ‘Call recordings study</w:t>
      </w:r>
      <w:r w:rsidR="00B74155">
        <w:t xml:space="preserve"> report</w:t>
      </w:r>
      <w:r w:rsidR="00B74155" w:rsidRPr="00D40FD8">
        <w:t xml:space="preserve">’, </w:t>
      </w:r>
      <w:r w:rsidR="00B74155" w:rsidRPr="00BF4F0A">
        <w:rPr>
          <w:lang w:val="en-US"/>
        </w:rPr>
        <w:t>p</w:t>
      </w:r>
      <w:r w:rsidR="00B74155">
        <w:rPr>
          <w:lang w:val="en-US"/>
        </w:rPr>
        <w:t>. 2</w:t>
      </w:r>
      <w:r w:rsidR="00B74155" w:rsidRPr="00BF4F0A">
        <w:rPr>
          <w:lang w:val="en-US"/>
        </w:rPr>
        <w:t>6.</w:t>
      </w:r>
    </w:p>
  </w:footnote>
  <w:footnote w:id="62">
    <w:p w14:paraId="426F6103" w14:textId="603461EC" w:rsidR="00C43F4C" w:rsidRPr="00133D72" w:rsidRDefault="00C43F4C" w:rsidP="00C43F4C">
      <w:pPr>
        <w:pStyle w:val="FootnoteText"/>
        <w:rPr>
          <w:lang w:val="en-US"/>
        </w:rPr>
      </w:pPr>
      <w:r>
        <w:rPr>
          <w:rStyle w:val="FootnoteReference"/>
        </w:rPr>
        <w:footnoteRef/>
      </w:r>
      <w:r>
        <w:t xml:space="preserve"> </w:t>
      </w:r>
      <w:r w:rsidR="00571DC1" w:rsidRPr="00571DC1">
        <w:rPr>
          <w:lang w:val="en-US"/>
        </w:rPr>
        <w:t xml:space="preserve">AGL, Submission to </w:t>
      </w:r>
      <w:r w:rsidR="00613E74">
        <w:rPr>
          <w:lang w:val="en-US"/>
        </w:rPr>
        <w:t>key review questions</w:t>
      </w:r>
      <w:r w:rsidR="00571DC1" w:rsidRPr="00571DC1">
        <w:rPr>
          <w:lang w:val="en-US"/>
        </w:rPr>
        <w:t xml:space="preserve">, </w:t>
      </w:r>
      <w:r w:rsidR="00571DC1" w:rsidRPr="00285B55">
        <w:t>p.</w:t>
      </w:r>
      <w:r w:rsidR="00525DA7">
        <w:t xml:space="preserve"> </w:t>
      </w:r>
      <w:r w:rsidR="00285B55" w:rsidRPr="00285B55">
        <w:t>2</w:t>
      </w:r>
      <w:r>
        <w:rPr>
          <w:lang w:val="en-US"/>
        </w:rPr>
        <w:t>;</w:t>
      </w:r>
      <w:r w:rsidR="002E3571">
        <w:rPr>
          <w:lang w:val="en-US"/>
        </w:rPr>
        <w:t xml:space="preserve"> </w:t>
      </w:r>
      <w:r w:rsidR="00756358" w:rsidRPr="00756358">
        <w:rPr>
          <w:lang w:val="en-US"/>
        </w:rPr>
        <w:t xml:space="preserve">Origin Energy, </w:t>
      </w:r>
      <w:r w:rsidR="000C1B4C">
        <w:rPr>
          <w:lang w:val="en-US"/>
        </w:rPr>
        <w:t>S</w:t>
      </w:r>
      <w:r w:rsidR="00756358" w:rsidRPr="00756358">
        <w:rPr>
          <w:lang w:val="en-US"/>
        </w:rPr>
        <w:t xml:space="preserve">ubmission to </w:t>
      </w:r>
      <w:r w:rsidR="00613E74">
        <w:rPr>
          <w:lang w:val="en-US"/>
        </w:rPr>
        <w:t>key review questions</w:t>
      </w:r>
      <w:r w:rsidR="00756358">
        <w:rPr>
          <w:lang w:val="en-US"/>
        </w:rPr>
        <w:t>.</w:t>
      </w:r>
    </w:p>
  </w:footnote>
  <w:footnote w:id="63">
    <w:p w14:paraId="45E991CC" w14:textId="06A99EDA" w:rsidR="00C43F4C" w:rsidRPr="005A3242" w:rsidRDefault="00C43F4C" w:rsidP="00C43F4C">
      <w:pPr>
        <w:pStyle w:val="FootnoteText"/>
        <w:rPr>
          <w:lang w:val="en-US"/>
        </w:rPr>
      </w:pPr>
      <w:r>
        <w:rPr>
          <w:rStyle w:val="FootnoteReference"/>
        </w:rPr>
        <w:footnoteRef/>
      </w:r>
      <w:r>
        <w:t xml:space="preserve"> </w:t>
      </w:r>
      <w:r w:rsidR="00853B28" w:rsidRPr="00853B28">
        <w:t xml:space="preserve">AGL, Submission to the </w:t>
      </w:r>
      <w:r w:rsidR="00613E74">
        <w:t>key review questions</w:t>
      </w:r>
      <w:r w:rsidR="00853B28" w:rsidRPr="00853B28">
        <w:t xml:space="preserve">, p. </w:t>
      </w:r>
      <w:r w:rsidR="00853B28">
        <w:t>13.</w:t>
      </w:r>
    </w:p>
  </w:footnote>
  <w:footnote w:id="64">
    <w:p w14:paraId="2C8B138E" w14:textId="3B63EEEB" w:rsidR="00C43F4C" w:rsidRPr="00ED3D5D" w:rsidRDefault="00C43F4C" w:rsidP="00C43F4C">
      <w:pPr>
        <w:pStyle w:val="FootnoteText"/>
        <w:rPr>
          <w:lang w:val="en-US"/>
        </w:rPr>
      </w:pPr>
      <w:r>
        <w:rPr>
          <w:rStyle w:val="FootnoteReference"/>
        </w:rPr>
        <w:footnoteRef/>
      </w:r>
      <w:r w:rsidR="005E1FBD">
        <w:t xml:space="preserve"> </w:t>
      </w:r>
      <w:r w:rsidR="00D40FD8" w:rsidRPr="00D40FD8">
        <w:t>ORIMA Research, ‘Call recordings study</w:t>
      </w:r>
      <w:r w:rsidR="00525DA7">
        <w:t xml:space="preserve"> report</w:t>
      </w:r>
      <w:r w:rsidR="00D40FD8" w:rsidRPr="00D40FD8">
        <w:t xml:space="preserve">’, </w:t>
      </w:r>
      <w:r>
        <w:rPr>
          <w:lang w:val="en-US"/>
        </w:rPr>
        <w:t>p</w:t>
      </w:r>
      <w:r w:rsidR="00525DA7">
        <w:rPr>
          <w:lang w:val="en-US"/>
        </w:rPr>
        <w:t>p</w:t>
      </w:r>
      <w:r w:rsidR="00853B28">
        <w:rPr>
          <w:lang w:val="en-US"/>
        </w:rPr>
        <w:t xml:space="preserve">. </w:t>
      </w:r>
      <w:r>
        <w:rPr>
          <w:lang w:val="en-US"/>
        </w:rPr>
        <w:t>12-13</w:t>
      </w:r>
      <w:r w:rsidR="00853B28">
        <w:rPr>
          <w:lang w:val="en-US"/>
        </w:rPr>
        <w:t>.</w:t>
      </w:r>
    </w:p>
  </w:footnote>
  <w:footnote w:id="65">
    <w:p w14:paraId="0BC97BCF" w14:textId="7DD3F271" w:rsidR="00100FD2" w:rsidRPr="00C46636" w:rsidRDefault="00EC50ED" w:rsidP="00100FD2">
      <w:pPr>
        <w:pStyle w:val="FootnoteText"/>
        <w:rPr>
          <w:lang w:val="en-US"/>
        </w:rPr>
      </w:pPr>
      <w:r w:rsidRPr="001C2DDE">
        <w:rPr>
          <w:rStyle w:val="FootnoteReference"/>
        </w:rPr>
        <w:footnoteRef/>
      </w:r>
      <w:r w:rsidRPr="001C2DDE">
        <w:t xml:space="preserve"> </w:t>
      </w:r>
      <w:r w:rsidR="0070745B">
        <w:t>Honeycomb</w:t>
      </w:r>
      <w:r w:rsidR="00525DA7">
        <w:t xml:space="preserve"> Strategy</w:t>
      </w:r>
      <w:r w:rsidR="0070745B">
        <w:t xml:space="preserve">, </w:t>
      </w:r>
      <w:r w:rsidR="00100FD2">
        <w:t xml:space="preserve">‘Victoria Energy market insights research report’, </w:t>
      </w:r>
      <w:r w:rsidR="001C2DDE">
        <w:rPr>
          <w:lang w:val="en-US"/>
        </w:rPr>
        <w:t>p.7</w:t>
      </w:r>
      <w:r w:rsidR="00100FD2">
        <w:rPr>
          <w:lang w:val="en-US"/>
        </w:rPr>
        <w:t>.</w:t>
      </w:r>
    </w:p>
    <w:p w14:paraId="1694E2F4" w14:textId="4B9F679A" w:rsidR="00EC50ED" w:rsidRPr="005B613F" w:rsidRDefault="00EC50ED">
      <w:pPr>
        <w:pStyle w:val="FootnoteText"/>
        <w:rPr>
          <w:lang w:val="en-US"/>
        </w:rPr>
      </w:pPr>
    </w:p>
  </w:footnote>
  <w:footnote w:id="66">
    <w:p w14:paraId="6E79FD42" w14:textId="41F7DBDD" w:rsidR="00C43F4C" w:rsidRPr="007D4AE7" w:rsidRDefault="00C43F4C" w:rsidP="00C43F4C">
      <w:pPr>
        <w:pStyle w:val="FootnoteText"/>
        <w:rPr>
          <w:lang w:val="en-US"/>
        </w:rPr>
      </w:pPr>
      <w:r>
        <w:rPr>
          <w:rStyle w:val="FootnoteReference"/>
        </w:rPr>
        <w:footnoteRef/>
      </w:r>
      <w:r>
        <w:t xml:space="preserve"> </w:t>
      </w:r>
      <w:r w:rsidR="005E1FBD">
        <w:rPr>
          <w:lang w:val="en-US"/>
        </w:rPr>
        <w:t>Energy Retail Code of Practice, c</w:t>
      </w:r>
      <w:r>
        <w:rPr>
          <w:lang w:val="en-US"/>
        </w:rPr>
        <w:t>lause 128(1)(a-b)</w:t>
      </w:r>
      <w:r w:rsidR="005E1FBD">
        <w:rPr>
          <w:lang w:val="en-US"/>
        </w:rPr>
        <w:t>.</w:t>
      </w:r>
      <w:r>
        <w:rPr>
          <w:lang w:val="en-US"/>
        </w:rPr>
        <w:t xml:space="preserve"> </w:t>
      </w:r>
    </w:p>
  </w:footnote>
  <w:footnote w:id="67">
    <w:p w14:paraId="7A1A2AD0" w14:textId="0C84059F" w:rsidR="00140589" w:rsidRPr="00140589" w:rsidRDefault="00140589">
      <w:pPr>
        <w:pStyle w:val="FootnoteText"/>
        <w:rPr>
          <w:lang w:val="en-US"/>
        </w:rPr>
      </w:pPr>
      <w:r>
        <w:rPr>
          <w:rStyle w:val="FootnoteReference"/>
        </w:rPr>
        <w:footnoteRef/>
      </w:r>
      <w:r>
        <w:t xml:space="preserve"> </w:t>
      </w:r>
      <w:r w:rsidR="00434B5E" w:rsidRPr="00434B5E">
        <w:t>ORIMA Research, ‘Essential Services Commission Payment Difficulty Framework: Call recordings study’, May 2022,</w:t>
      </w:r>
      <w:r w:rsidRPr="00434B5E">
        <w:t xml:space="preserve"> </w:t>
      </w:r>
      <w:r w:rsidRPr="00434B5E">
        <w:rPr>
          <w:lang w:val="en-US"/>
        </w:rPr>
        <w:t>p. 19.</w:t>
      </w:r>
    </w:p>
  </w:footnote>
  <w:footnote w:id="68">
    <w:p w14:paraId="58F5C28A" w14:textId="49AE7CE7" w:rsidR="00C43F4C" w:rsidRPr="005F1157" w:rsidRDefault="00C43F4C" w:rsidP="00C43F4C">
      <w:pPr>
        <w:pStyle w:val="FootnoteText"/>
        <w:rPr>
          <w:lang w:val="en-US"/>
        </w:rPr>
      </w:pPr>
      <w:r w:rsidRPr="00886162">
        <w:rPr>
          <w:rStyle w:val="FootnoteReference"/>
        </w:rPr>
        <w:footnoteRef/>
      </w:r>
      <w:r w:rsidRPr="00886162">
        <w:t xml:space="preserve"> </w:t>
      </w:r>
      <w:r w:rsidR="00EB4F95" w:rsidRPr="00886162">
        <w:t>Alinta,</w:t>
      </w:r>
      <w:r w:rsidR="00886162" w:rsidRPr="00886162">
        <w:t xml:space="preserve"> </w:t>
      </w:r>
      <w:r w:rsidR="006B68CD" w:rsidRPr="006B68CD">
        <w:t>Submission to key review questions</w:t>
      </w:r>
      <w:r w:rsidR="00886162">
        <w:t xml:space="preserve">; </w:t>
      </w:r>
      <w:r w:rsidR="00B81A36">
        <w:t xml:space="preserve">Consumer Policy Research Centre, </w:t>
      </w:r>
      <w:r w:rsidR="00324B94" w:rsidRPr="00324B94">
        <w:t>Submission to key review questions</w:t>
      </w:r>
      <w:r w:rsidR="002B29FB">
        <w:t>, p 2.</w:t>
      </w:r>
    </w:p>
  </w:footnote>
  <w:footnote w:id="69">
    <w:p w14:paraId="7793BF62" w14:textId="01AE7759" w:rsidR="00C43F4C" w:rsidRPr="000B2430" w:rsidRDefault="00C43F4C" w:rsidP="00C43F4C">
      <w:pPr>
        <w:pStyle w:val="FootnoteText"/>
        <w:rPr>
          <w:lang w:val="en-US"/>
        </w:rPr>
      </w:pPr>
      <w:r>
        <w:rPr>
          <w:rStyle w:val="FootnoteReference"/>
        </w:rPr>
        <w:footnoteRef/>
      </w:r>
      <w:r>
        <w:t xml:space="preserve"> </w:t>
      </w:r>
      <w:r w:rsidR="000B4D71" w:rsidRPr="000B4D71">
        <w:t xml:space="preserve">Consumer Action Law Centre, </w:t>
      </w:r>
      <w:r w:rsidR="00324B94" w:rsidRPr="00324B94">
        <w:t>Submission to key review questions</w:t>
      </w:r>
      <w:r w:rsidR="00324B94">
        <w:t xml:space="preserve">, </w:t>
      </w:r>
      <w:r w:rsidR="000B4D71" w:rsidRPr="000B4D71">
        <w:t>p. 5</w:t>
      </w:r>
      <w:r w:rsidR="000B4D71">
        <w:t>.</w:t>
      </w:r>
    </w:p>
  </w:footnote>
  <w:footnote w:id="70">
    <w:p w14:paraId="7A221A98" w14:textId="3A94118F" w:rsidR="00C43F4C" w:rsidRPr="005F1157" w:rsidRDefault="00C43F4C" w:rsidP="00C43F4C">
      <w:pPr>
        <w:pStyle w:val="FootnoteText"/>
        <w:rPr>
          <w:lang w:val="en-US"/>
        </w:rPr>
      </w:pPr>
      <w:r>
        <w:rPr>
          <w:rStyle w:val="FootnoteReference"/>
        </w:rPr>
        <w:footnoteRef/>
      </w:r>
      <w:r>
        <w:t xml:space="preserve"> </w:t>
      </w:r>
      <w:r w:rsidRPr="00E216A6">
        <w:t>AGL</w:t>
      </w:r>
      <w:r w:rsidR="0033522A" w:rsidRPr="0033522A">
        <w:t xml:space="preserve">, </w:t>
      </w:r>
      <w:r w:rsidR="00324B94" w:rsidRPr="00324B94">
        <w:t>Submission to key review questions</w:t>
      </w:r>
      <w:r w:rsidR="00324B94">
        <w:t xml:space="preserve">, </w:t>
      </w:r>
      <w:r w:rsidRPr="00E216A6">
        <w:t>p. 12</w:t>
      </w:r>
      <w:r w:rsidR="0033522A">
        <w:t>.</w:t>
      </w:r>
    </w:p>
  </w:footnote>
  <w:footnote w:id="71">
    <w:p w14:paraId="09632D23" w14:textId="03E0321D" w:rsidR="00C43F4C" w:rsidRPr="008009E9" w:rsidRDefault="00C43F4C" w:rsidP="00C43F4C">
      <w:pPr>
        <w:pStyle w:val="FootnoteText"/>
        <w:rPr>
          <w:lang w:val="en-US"/>
        </w:rPr>
      </w:pPr>
      <w:r>
        <w:rPr>
          <w:rStyle w:val="FootnoteReference"/>
        </w:rPr>
        <w:footnoteRef/>
      </w:r>
      <w:r>
        <w:t xml:space="preserve"> </w:t>
      </w:r>
      <w:r>
        <w:rPr>
          <w:lang w:val="en-US"/>
        </w:rPr>
        <w:t>Origin</w:t>
      </w:r>
      <w:r w:rsidR="005B0F1A">
        <w:rPr>
          <w:lang w:val="en-US"/>
        </w:rPr>
        <w:t xml:space="preserve"> Energy</w:t>
      </w:r>
      <w:r w:rsidR="0033522A">
        <w:rPr>
          <w:lang w:val="en-US"/>
        </w:rPr>
        <w:t xml:space="preserve">, </w:t>
      </w:r>
      <w:r w:rsidR="00324B94" w:rsidRPr="00324B94">
        <w:rPr>
          <w:lang w:val="en-US"/>
        </w:rPr>
        <w:t>Submission to key review questions</w:t>
      </w:r>
      <w:r w:rsidR="0033522A">
        <w:rPr>
          <w:lang w:val="en-US"/>
        </w:rPr>
        <w:t>.</w:t>
      </w:r>
      <w:r w:rsidR="00012A64">
        <w:rPr>
          <w:lang w:val="en-US"/>
        </w:rPr>
        <w:t xml:space="preserve"> Note that the clause reference refers to the Energy Retail Code </w:t>
      </w:r>
      <w:r w:rsidR="00BC0BEB">
        <w:rPr>
          <w:lang w:val="en-US"/>
        </w:rPr>
        <w:t>version 20.</w:t>
      </w:r>
    </w:p>
  </w:footnote>
  <w:footnote w:id="72">
    <w:p w14:paraId="3CC74B31" w14:textId="152779A4" w:rsidR="00C43F4C" w:rsidRPr="0042595E" w:rsidRDefault="00C43F4C" w:rsidP="00C43F4C">
      <w:pPr>
        <w:pStyle w:val="FootnoteText"/>
        <w:rPr>
          <w:lang w:val="en-US"/>
        </w:rPr>
      </w:pPr>
      <w:r w:rsidRPr="00FA384E">
        <w:rPr>
          <w:rStyle w:val="FootnoteReference"/>
        </w:rPr>
        <w:footnoteRef/>
      </w:r>
      <w:r w:rsidRPr="00FA384E">
        <w:t xml:space="preserve"> </w:t>
      </w:r>
      <w:r>
        <w:t>Energy Retail Code of Practice, cl</w:t>
      </w:r>
      <w:r w:rsidR="0033522A">
        <w:t>ause</w:t>
      </w:r>
      <w:r>
        <w:t xml:space="preserve"> </w:t>
      </w:r>
      <w:r w:rsidRPr="00FA384E">
        <w:t>130(4)</w:t>
      </w:r>
      <w:r>
        <w:t>(b)</w:t>
      </w:r>
      <w:r w:rsidR="0033522A">
        <w:t>.</w:t>
      </w:r>
    </w:p>
  </w:footnote>
  <w:footnote w:id="73">
    <w:p w14:paraId="100B9BE1" w14:textId="5695906E" w:rsidR="00A628F3" w:rsidRPr="00A628F3" w:rsidRDefault="00A628F3">
      <w:pPr>
        <w:pStyle w:val="FootnoteText"/>
        <w:rPr>
          <w:lang w:val="en-US"/>
        </w:rPr>
      </w:pPr>
      <w:r w:rsidRPr="009909FF">
        <w:rPr>
          <w:rStyle w:val="FootnoteReference"/>
        </w:rPr>
        <w:footnoteRef/>
      </w:r>
      <w:r w:rsidRPr="009909FF">
        <w:t xml:space="preserve"> </w:t>
      </w:r>
      <w:r w:rsidR="009909FF" w:rsidRPr="009909FF">
        <w:t>AGL</w:t>
      </w:r>
      <w:r w:rsidR="00234A38">
        <w:t xml:space="preserve">, </w:t>
      </w:r>
      <w:r w:rsidR="00234A38" w:rsidRPr="00234A38">
        <w:t>Submission to key review questions</w:t>
      </w:r>
      <w:r w:rsidR="00234A38">
        <w:t xml:space="preserve">, </w:t>
      </w:r>
      <w:r w:rsidR="009909FF" w:rsidRPr="009909FF">
        <w:t>p. 8.</w:t>
      </w:r>
      <w:r w:rsidR="009909FF">
        <w:t xml:space="preserve"> </w:t>
      </w:r>
    </w:p>
  </w:footnote>
  <w:footnote w:id="74">
    <w:p w14:paraId="2A764507" w14:textId="7EAD450E" w:rsidR="00E80865" w:rsidRPr="00DB6E6D" w:rsidRDefault="00E80865" w:rsidP="00E80865">
      <w:pPr>
        <w:pStyle w:val="FootnoteText"/>
        <w:rPr>
          <w:lang w:val="en-US"/>
        </w:rPr>
      </w:pPr>
      <w:r w:rsidRPr="002230CB">
        <w:rPr>
          <w:rStyle w:val="FootnoteReference"/>
        </w:rPr>
        <w:footnoteRef/>
      </w:r>
      <w:r w:rsidRPr="002230CB">
        <w:t xml:space="preserve"> </w:t>
      </w:r>
      <w:r w:rsidR="00E918DC" w:rsidRPr="002230CB">
        <w:t>Consumer Action Law Centre,</w:t>
      </w:r>
      <w:r w:rsidR="00AD6DAE" w:rsidRPr="002230CB">
        <w:t xml:space="preserve"> </w:t>
      </w:r>
      <w:r w:rsidR="00234A38" w:rsidRPr="00234A38">
        <w:t xml:space="preserve">Submission to key review questions </w:t>
      </w:r>
      <w:r w:rsidRPr="002230CB">
        <w:t>p</w:t>
      </w:r>
      <w:r w:rsidR="00DB6E6D" w:rsidRPr="002230CB">
        <w:t xml:space="preserve">. </w:t>
      </w:r>
      <w:r w:rsidRPr="002230CB">
        <w:t>6</w:t>
      </w:r>
      <w:r w:rsidR="00DB6E6D" w:rsidRPr="002230CB">
        <w:t>; Financial Counselling Victoria,</w:t>
      </w:r>
      <w:r w:rsidR="00234A38" w:rsidRPr="00234A38">
        <w:t xml:space="preserve"> Submission to key review </w:t>
      </w:r>
      <w:r w:rsidR="00B616FE">
        <w:t>questions,</w:t>
      </w:r>
      <w:r w:rsidR="00DB6E6D" w:rsidRPr="002230CB">
        <w:t xml:space="preserve"> </w:t>
      </w:r>
      <w:r w:rsidR="008D2447" w:rsidRPr="002230CB">
        <w:t>p</w:t>
      </w:r>
      <w:r w:rsidR="00DB6E6D" w:rsidRPr="002230CB">
        <w:t xml:space="preserve">. </w:t>
      </w:r>
      <w:r w:rsidR="008D2447" w:rsidRPr="002230CB">
        <w:t>6</w:t>
      </w:r>
      <w:r w:rsidR="00DB6E6D" w:rsidRPr="002230CB">
        <w:t>;</w:t>
      </w:r>
      <w:r w:rsidR="008D2447" w:rsidRPr="002230CB">
        <w:t xml:space="preserve"> </w:t>
      </w:r>
      <w:r w:rsidR="00DB6E6D" w:rsidRPr="002230CB">
        <w:t xml:space="preserve">Consumer Policy Research Centre, </w:t>
      </w:r>
      <w:r w:rsidR="00B616FE" w:rsidRPr="00B616FE">
        <w:t>Submission to key review questions</w:t>
      </w:r>
      <w:r w:rsidR="00B616FE">
        <w:t xml:space="preserve">, </w:t>
      </w:r>
      <w:r w:rsidR="00771C6F" w:rsidRPr="002230CB">
        <w:t>p</w:t>
      </w:r>
      <w:r w:rsidR="00DB6E6D" w:rsidRPr="002230CB">
        <w:t xml:space="preserve">. </w:t>
      </w:r>
      <w:r w:rsidR="00AF5254" w:rsidRPr="002230CB">
        <w:t>2</w:t>
      </w:r>
      <w:r w:rsidR="00DB6E6D" w:rsidRPr="002230CB">
        <w:t>.</w:t>
      </w:r>
    </w:p>
  </w:footnote>
  <w:footnote w:id="75">
    <w:p w14:paraId="3F60C359" w14:textId="66F5CB66" w:rsidR="00C43F4C" w:rsidRPr="002F5E7E" w:rsidRDefault="00C43F4C" w:rsidP="00C43F4C">
      <w:pPr>
        <w:pStyle w:val="FootnoteText"/>
        <w:rPr>
          <w:lang w:val="en-US"/>
        </w:rPr>
      </w:pPr>
      <w:r w:rsidRPr="00DB6E6D">
        <w:rPr>
          <w:rStyle w:val="FootnoteReference"/>
        </w:rPr>
        <w:footnoteRef/>
      </w:r>
      <w:r w:rsidRPr="00DB6E6D">
        <w:t xml:space="preserve"> </w:t>
      </w:r>
      <w:r w:rsidR="000520B2" w:rsidRPr="00DB6E6D">
        <w:t>Financial Counselling</w:t>
      </w:r>
      <w:r w:rsidR="000520B2">
        <w:t xml:space="preserve"> Victoria,</w:t>
      </w:r>
      <w:r>
        <w:t xml:space="preserve"> </w:t>
      </w:r>
      <w:r w:rsidR="00B616FE" w:rsidRPr="00B616FE">
        <w:t>Submission to key review questions</w:t>
      </w:r>
      <w:r w:rsidR="000520B2">
        <w:t>.</w:t>
      </w:r>
    </w:p>
  </w:footnote>
  <w:footnote w:id="76">
    <w:p w14:paraId="7E32FB8E" w14:textId="6984A3DB" w:rsidR="00C43F4C" w:rsidRPr="005F1157" w:rsidRDefault="00C43F4C" w:rsidP="00C43F4C">
      <w:pPr>
        <w:pStyle w:val="FootnoteText"/>
        <w:rPr>
          <w:lang w:val="en-US"/>
        </w:rPr>
      </w:pPr>
      <w:r>
        <w:rPr>
          <w:rStyle w:val="FootnoteReference"/>
        </w:rPr>
        <w:footnoteRef/>
      </w:r>
      <w:r>
        <w:t xml:space="preserve"> </w:t>
      </w:r>
      <w:r w:rsidRPr="00B17B36">
        <w:t>Anglicare</w:t>
      </w:r>
      <w:r w:rsidR="000520B2">
        <w:t xml:space="preserve">, </w:t>
      </w:r>
      <w:r w:rsidR="00B616FE">
        <w:t>S</w:t>
      </w:r>
      <w:r w:rsidR="000520B2" w:rsidRPr="0033522A">
        <w:t xml:space="preserve">ubmission to the Essential Services Commission </w:t>
      </w:r>
      <w:r w:rsidR="00613E74">
        <w:t>key review questions</w:t>
      </w:r>
      <w:r w:rsidR="000520B2" w:rsidRPr="0033522A">
        <w:t>,</w:t>
      </w:r>
      <w:r w:rsidR="000520B2">
        <w:t xml:space="preserve"> </w:t>
      </w:r>
      <w:r w:rsidR="000520B2" w:rsidRPr="00E216A6">
        <w:t>November 2021</w:t>
      </w:r>
      <w:r w:rsidRPr="00B17B36">
        <w:t>, p. 1</w:t>
      </w:r>
      <w:r w:rsidR="000520B2">
        <w:t>.</w:t>
      </w:r>
    </w:p>
  </w:footnote>
  <w:footnote w:id="77">
    <w:p w14:paraId="04E968B5" w14:textId="62E3EFD0" w:rsidR="00C43F4C" w:rsidRPr="008009E9" w:rsidRDefault="00C43F4C" w:rsidP="00C43F4C">
      <w:pPr>
        <w:pStyle w:val="FootnoteText"/>
        <w:rPr>
          <w:lang w:val="en-US"/>
        </w:rPr>
      </w:pPr>
      <w:r>
        <w:rPr>
          <w:rStyle w:val="FootnoteReference"/>
        </w:rPr>
        <w:footnoteRef/>
      </w:r>
      <w:r>
        <w:t xml:space="preserve"> </w:t>
      </w:r>
      <w:r>
        <w:rPr>
          <w:lang w:val="en-US"/>
        </w:rPr>
        <w:t xml:space="preserve">Origin </w:t>
      </w:r>
      <w:r w:rsidR="000520B2">
        <w:rPr>
          <w:lang w:val="en-US"/>
        </w:rPr>
        <w:t xml:space="preserve">Energy, </w:t>
      </w:r>
      <w:r w:rsidR="00B616FE" w:rsidRPr="00B616FE">
        <w:rPr>
          <w:lang w:val="en-US"/>
        </w:rPr>
        <w:t>Submission to key review questions</w:t>
      </w:r>
      <w:r w:rsidR="000520B2">
        <w:t>.</w:t>
      </w:r>
    </w:p>
  </w:footnote>
  <w:footnote w:id="78">
    <w:p w14:paraId="3B897B0E" w14:textId="5CF28374" w:rsidR="009E38BC" w:rsidRPr="00E529C8" w:rsidRDefault="009E38BC" w:rsidP="009E38BC">
      <w:pPr>
        <w:pStyle w:val="FootnoteText"/>
        <w:rPr>
          <w:lang w:val="en-US"/>
        </w:rPr>
      </w:pPr>
      <w:r>
        <w:rPr>
          <w:rStyle w:val="FootnoteReference"/>
        </w:rPr>
        <w:footnoteRef/>
      </w:r>
      <w:r>
        <w:t xml:space="preserve"> </w:t>
      </w:r>
      <w:r w:rsidR="00BF4559" w:rsidRPr="00BF4559">
        <w:t xml:space="preserve">ORIMA Research, ‘Call recordings study report’, </w:t>
      </w:r>
      <w:r>
        <w:t>pp. 13-14.</w:t>
      </w:r>
    </w:p>
  </w:footnote>
  <w:footnote w:id="79">
    <w:p w14:paraId="1EC7660B" w14:textId="72C59B67" w:rsidR="00D02B45" w:rsidRPr="00D02B45" w:rsidRDefault="00D02B45">
      <w:pPr>
        <w:pStyle w:val="FootnoteText"/>
        <w:rPr>
          <w:lang w:val="en-US"/>
        </w:rPr>
      </w:pPr>
      <w:r>
        <w:rPr>
          <w:rStyle w:val="FootnoteReference"/>
        </w:rPr>
        <w:footnoteRef/>
      </w:r>
      <w:r w:rsidR="007F7E37" w:rsidRPr="007F7E37">
        <w:t xml:space="preserve"> </w:t>
      </w:r>
      <w:r w:rsidR="00BF4559" w:rsidRPr="00BF4559">
        <w:t>Dr Larissa Nicholls and Dr Kari Dahlgren, ‘Consumer experiences following energy market reforms in Victoria</w:t>
      </w:r>
      <w:r w:rsidR="00BF4559">
        <w:t>,</w:t>
      </w:r>
      <w:r w:rsidR="00BF4559" w:rsidRPr="00BF4559">
        <w:t xml:space="preserve">’ </w:t>
      </w:r>
      <w:r w:rsidR="007F7E37" w:rsidRPr="007F7E37">
        <w:t xml:space="preserve">p. </w:t>
      </w:r>
      <w:r w:rsidR="000547F4">
        <w:t>5</w:t>
      </w:r>
      <w:r w:rsidR="007F7E37" w:rsidRPr="007F7E37">
        <w:t>.</w:t>
      </w:r>
    </w:p>
  </w:footnote>
  <w:footnote w:id="80">
    <w:p w14:paraId="24D90FE7" w14:textId="28D28D22" w:rsidR="00C43F4C" w:rsidRPr="00867160" w:rsidRDefault="00C43F4C" w:rsidP="00C43F4C">
      <w:pPr>
        <w:pStyle w:val="FootnoteText"/>
        <w:rPr>
          <w:lang w:val="en-US"/>
        </w:rPr>
      </w:pPr>
      <w:r>
        <w:rPr>
          <w:rStyle w:val="FootnoteReference"/>
        </w:rPr>
        <w:footnoteRef/>
      </w:r>
      <w:r>
        <w:t xml:space="preserve"> </w:t>
      </w:r>
      <w:r w:rsidR="00BF4559">
        <w:rPr>
          <w:lang w:val="en-US"/>
        </w:rPr>
        <w:t xml:space="preserve">Essential Services Commission, </w:t>
      </w:r>
      <w:r w:rsidR="00637FBE">
        <w:t>‘</w:t>
      </w:r>
      <w:r>
        <w:rPr>
          <w:lang w:val="en-US"/>
        </w:rPr>
        <w:t xml:space="preserve">Guidance note 5 (2020): </w:t>
      </w:r>
      <w:r w:rsidRPr="004D12AA">
        <w:rPr>
          <w:lang w:val="en-US"/>
        </w:rPr>
        <w:t>Contacting customers receiving tailored assistance to discuss revising their plan, clause 81(6)</w:t>
      </w:r>
      <w:r w:rsidR="00637FBE">
        <w:rPr>
          <w:lang w:val="en-US"/>
        </w:rPr>
        <w:t xml:space="preserve">’, </w:t>
      </w:r>
      <w:r>
        <w:rPr>
          <w:lang w:val="en-US"/>
        </w:rPr>
        <w:t>published on 28 October 2020</w:t>
      </w:r>
      <w:r w:rsidR="00637FBE">
        <w:rPr>
          <w:lang w:val="en-US"/>
        </w:rPr>
        <w:t xml:space="preserve">, </w:t>
      </w:r>
      <w:r w:rsidR="00BA7032" w:rsidRPr="00BA7032">
        <w:rPr>
          <w:lang w:val="en-US"/>
        </w:rPr>
        <w:t>https://www.esc.vic.gov.au/electricity-and-gas/codes-guidelines-and-policies/energy-retail-code/guidance-note-5-2020-contacting-customers-receiving-tailored-assistance-discuss-revising-their-plan</w:t>
      </w:r>
    </w:p>
  </w:footnote>
  <w:footnote w:id="81">
    <w:p w14:paraId="3643E151" w14:textId="0B58620C" w:rsidR="00C43F4C" w:rsidRPr="007F02A7" w:rsidRDefault="00C43F4C" w:rsidP="00C43F4C">
      <w:pPr>
        <w:pStyle w:val="FootnoteText"/>
        <w:rPr>
          <w:lang w:val="en-US"/>
        </w:rPr>
      </w:pPr>
      <w:r>
        <w:rPr>
          <w:rStyle w:val="FootnoteReference"/>
        </w:rPr>
        <w:footnoteRef/>
      </w:r>
      <w:r>
        <w:t xml:space="preserve"> </w:t>
      </w:r>
      <w:r w:rsidR="00BF4559">
        <w:rPr>
          <w:lang w:val="en-US"/>
        </w:rPr>
        <w:t xml:space="preserve">Essential Services Commission, </w:t>
      </w:r>
      <w:r w:rsidR="00BA7032">
        <w:t>‘</w:t>
      </w:r>
      <w:r>
        <w:rPr>
          <w:lang w:val="en-US"/>
        </w:rPr>
        <w:t xml:space="preserve">Guidance note 6 (2020): </w:t>
      </w:r>
      <w:r w:rsidRPr="007F02A7">
        <w:rPr>
          <w:lang w:val="en-US"/>
        </w:rPr>
        <w:t>Considering customers’ circumstances when discontinuing their tailored assistance, clauses 83(1), 89(1)(aa) and (a)</w:t>
      </w:r>
      <w:r w:rsidR="00BA7032">
        <w:rPr>
          <w:lang w:val="en-US"/>
        </w:rPr>
        <w:t xml:space="preserve">’, </w:t>
      </w:r>
      <w:r>
        <w:rPr>
          <w:lang w:val="en-US"/>
        </w:rPr>
        <w:t>published on 28 October 2020</w:t>
      </w:r>
      <w:r w:rsidR="00BA7032">
        <w:rPr>
          <w:lang w:val="en-US"/>
        </w:rPr>
        <w:t xml:space="preserve">, </w:t>
      </w:r>
      <w:r w:rsidR="00230EE4" w:rsidRPr="00230EE4">
        <w:rPr>
          <w:lang w:val="en-US"/>
        </w:rPr>
        <w:t>https://www.esc.vic.gov.au/electricity-and-gas/codes-guidelines-and-policies/energy-retail-code/guidance-note-6-2020-considering-customers-circumstances-when-discontinuing-their-tailored</w:t>
      </w:r>
    </w:p>
  </w:footnote>
  <w:footnote w:id="82">
    <w:p w14:paraId="02083A99" w14:textId="1F09DF8E" w:rsidR="00DA0426" w:rsidRPr="00DA0426" w:rsidRDefault="00DA0426">
      <w:pPr>
        <w:pStyle w:val="FootnoteText"/>
        <w:rPr>
          <w:lang w:val="en-US"/>
        </w:rPr>
      </w:pPr>
      <w:r>
        <w:rPr>
          <w:rStyle w:val="FootnoteReference"/>
        </w:rPr>
        <w:footnoteRef/>
      </w:r>
      <w:r>
        <w:t xml:space="preserve"> </w:t>
      </w:r>
      <w:r w:rsidR="00C11741" w:rsidRPr="00C11741">
        <w:t>ORIMA Research, ‘Call recordings study</w:t>
      </w:r>
      <w:r w:rsidR="00BF4559">
        <w:t xml:space="preserve"> report</w:t>
      </w:r>
      <w:r w:rsidR="00C11741" w:rsidRPr="00C11741">
        <w:t xml:space="preserve">’, </w:t>
      </w:r>
      <w:r w:rsidR="00C11741">
        <w:t xml:space="preserve">p. </w:t>
      </w:r>
      <w:r w:rsidR="00777444">
        <w:t>29.</w:t>
      </w:r>
    </w:p>
  </w:footnote>
  <w:footnote w:id="83">
    <w:p w14:paraId="6527B671" w14:textId="69187DB7" w:rsidR="00C43F4C" w:rsidRPr="007D4AE7" w:rsidRDefault="00C43F4C" w:rsidP="00C43F4C">
      <w:pPr>
        <w:pStyle w:val="FootnoteText"/>
        <w:rPr>
          <w:lang w:val="en-US"/>
        </w:rPr>
      </w:pPr>
      <w:r>
        <w:rPr>
          <w:rStyle w:val="FootnoteReference"/>
        </w:rPr>
        <w:footnoteRef/>
      </w:r>
      <w:r>
        <w:t xml:space="preserve"> </w:t>
      </w:r>
      <w:r w:rsidR="00230EE4">
        <w:rPr>
          <w:lang w:val="en-US"/>
        </w:rPr>
        <w:t xml:space="preserve">Energy Retail Code of Practice, </w:t>
      </w:r>
      <w:r>
        <w:rPr>
          <w:lang w:val="en-US"/>
        </w:rPr>
        <w:t>Clause 128(1)(c)-(d)</w:t>
      </w:r>
      <w:r w:rsidR="00230EE4">
        <w:rPr>
          <w:lang w:val="en-US"/>
        </w:rPr>
        <w:t>.</w:t>
      </w:r>
    </w:p>
  </w:footnote>
  <w:footnote w:id="84">
    <w:p w14:paraId="375BDA88" w14:textId="60EAB8A6" w:rsidR="00E82A9A" w:rsidRPr="00E82A9A" w:rsidRDefault="00E82A9A">
      <w:pPr>
        <w:pStyle w:val="FootnoteText"/>
        <w:rPr>
          <w:lang w:val="en-US"/>
        </w:rPr>
      </w:pPr>
      <w:r>
        <w:rPr>
          <w:rStyle w:val="FootnoteReference"/>
        </w:rPr>
        <w:footnoteRef/>
      </w:r>
      <w:r>
        <w:t xml:space="preserve"> </w:t>
      </w:r>
      <w:r>
        <w:rPr>
          <w:lang w:val="en-US"/>
        </w:rPr>
        <w:t xml:space="preserve">Refer to </w:t>
      </w:r>
      <w:r>
        <w:rPr>
          <w:lang w:val="en-US"/>
        </w:rPr>
        <w:fldChar w:fldCharType="begin"/>
      </w:r>
      <w:r>
        <w:rPr>
          <w:lang w:val="en-US"/>
        </w:rPr>
        <w:instrText xml:space="preserve"> REF _Ref103770659 \h </w:instrText>
      </w:r>
      <w:r>
        <w:rPr>
          <w:lang w:val="en-US"/>
        </w:rPr>
      </w:r>
      <w:r>
        <w:rPr>
          <w:lang w:val="en-US"/>
        </w:rPr>
        <w:fldChar w:fldCharType="separate"/>
      </w:r>
      <w:r w:rsidR="00357DD7" w:rsidRPr="00445D9A">
        <w:t xml:space="preserve">Appendix 2: </w:t>
      </w:r>
      <w:r w:rsidR="00357DD7">
        <w:t>Additional c</w:t>
      </w:r>
      <w:r w:rsidR="00357DD7" w:rsidRPr="00445D9A">
        <w:t xml:space="preserve">ustomer outcomes </w:t>
      </w:r>
      <w:r w:rsidR="00357DD7">
        <w:t>analysis</w:t>
      </w:r>
      <w:r>
        <w:rPr>
          <w:lang w:val="en-US"/>
        </w:rPr>
        <w:fldChar w:fldCharType="end"/>
      </w:r>
      <w:r w:rsidR="00AD5175">
        <w:rPr>
          <w:lang w:val="en-US"/>
        </w:rPr>
        <w:t>.</w:t>
      </w:r>
    </w:p>
  </w:footnote>
  <w:footnote w:id="85">
    <w:p w14:paraId="14031142" w14:textId="18B064BC" w:rsidR="00DB406E" w:rsidRPr="00E3797D" w:rsidRDefault="00DB406E" w:rsidP="00DB406E">
      <w:pPr>
        <w:pStyle w:val="FootnoteText"/>
        <w:rPr>
          <w:lang w:val="en-US"/>
        </w:rPr>
      </w:pPr>
      <w:r w:rsidRPr="00E3797D">
        <w:rPr>
          <w:rStyle w:val="FootnoteReference"/>
        </w:rPr>
        <w:footnoteRef/>
      </w:r>
      <w:r w:rsidRPr="00E3797D">
        <w:t xml:space="preserve"> ORIMA Research, </w:t>
      </w:r>
      <w:r w:rsidR="00E3797D" w:rsidRPr="00E3797D">
        <w:t>‘</w:t>
      </w:r>
      <w:r w:rsidRPr="00E3797D">
        <w:t>Call recordings study</w:t>
      </w:r>
      <w:r w:rsidR="00A23D83">
        <w:t xml:space="preserve"> report</w:t>
      </w:r>
      <w:r w:rsidRPr="00E3797D">
        <w:t>’, p. 11.</w:t>
      </w:r>
    </w:p>
  </w:footnote>
  <w:footnote w:id="86">
    <w:p w14:paraId="454BD749" w14:textId="0805A1AA" w:rsidR="00DB406E" w:rsidRPr="00E3797D" w:rsidRDefault="00DB406E">
      <w:pPr>
        <w:pStyle w:val="FootnoteText"/>
        <w:rPr>
          <w:lang w:val="en-US"/>
        </w:rPr>
      </w:pPr>
      <w:r w:rsidRPr="00E3797D">
        <w:rPr>
          <w:rStyle w:val="FootnoteReference"/>
        </w:rPr>
        <w:footnoteRef/>
      </w:r>
      <w:r w:rsidRPr="00E3797D">
        <w:t xml:space="preserve"> </w:t>
      </w:r>
      <w:r w:rsidR="00E3797D" w:rsidRPr="00E3797D">
        <w:t>ORIMA Research, ‘Call recordings study</w:t>
      </w:r>
      <w:r w:rsidR="00A23D83">
        <w:t xml:space="preserve"> report</w:t>
      </w:r>
      <w:r w:rsidR="00E3797D" w:rsidRPr="00E3797D">
        <w:t xml:space="preserve">’, </w:t>
      </w:r>
      <w:r w:rsidRPr="00E3797D">
        <w:t>p. 19.</w:t>
      </w:r>
    </w:p>
  </w:footnote>
  <w:footnote w:id="87">
    <w:p w14:paraId="30ED8FBA" w14:textId="59E4C7C0" w:rsidR="00DA6258" w:rsidRPr="00553B35" w:rsidRDefault="00DA6258" w:rsidP="00DA6258">
      <w:pPr>
        <w:pStyle w:val="FootnoteText"/>
        <w:rPr>
          <w:highlight w:val="yellow"/>
          <w:lang w:val="en-US"/>
        </w:rPr>
      </w:pPr>
      <w:r w:rsidRPr="00E3797D">
        <w:rPr>
          <w:rStyle w:val="FootnoteReference"/>
        </w:rPr>
        <w:footnoteRef/>
      </w:r>
      <w:r w:rsidRPr="00E3797D">
        <w:t xml:space="preserve"> </w:t>
      </w:r>
      <w:r w:rsidR="00E3797D" w:rsidRPr="00E3797D">
        <w:t>ORIMA Research, ‘Call recordings study</w:t>
      </w:r>
      <w:r w:rsidR="00A23D83">
        <w:t xml:space="preserve"> report</w:t>
      </w:r>
      <w:r w:rsidR="00E3797D" w:rsidRPr="00E3797D">
        <w:t xml:space="preserve">’, </w:t>
      </w:r>
      <w:r w:rsidRPr="00E3797D">
        <w:t>p. 19.</w:t>
      </w:r>
    </w:p>
  </w:footnote>
  <w:footnote w:id="88">
    <w:p w14:paraId="797F9D3E" w14:textId="18D54F08" w:rsidR="00470588" w:rsidRPr="00470588" w:rsidRDefault="00470588">
      <w:pPr>
        <w:pStyle w:val="FootnoteText"/>
        <w:rPr>
          <w:lang w:val="en-US"/>
        </w:rPr>
      </w:pPr>
      <w:r>
        <w:rPr>
          <w:rStyle w:val="FootnoteReference"/>
        </w:rPr>
        <w:footnoteRef/>
      </w:r>
      <w:r>
        <w:t xml:space="preserve"> </w:t>
      </w:r>
      <w:r>
        <w:rPr>
          <w:lang w:val="en-US"/>
        </w:rPr>
        <w:t xml:space="preserve">Consumer Policy Research Centre, </w:t>
      </w:r>
      <w:r w:rsidR="003B52CA" w:rsidRPr="003B52CA">
        <w:rPr>
          <w:lang w:val="en-US"/>
        </w:rPr>
        <w:t>Submission to key review</w:t>
      </w:r>
      <w:r w:rsidR="003B52CA">
        <w:rPr>
          <w:lang w:val="en-US"/>
        </w:rPr>
        <w:t xml:space="preserve"> questions,</w:t>
      </w:r>
      <w:r w:rsidRPr="00B17B36">
        <w:t xml:space="preserve"> p. </w:t>
      </w:r>
      <w:r>
        <w:t>2.</w:t>
      </w:r>
    </w:p>
  </w:footnote>
  <w:footnote w:id="89">
    <w:p w14:paraId="60873EF7" w14:textId="3DB6234B" w:rsidR="009E6C1F" w:rsidRPr="009E6C1F" w:rsidRDefault="009E6C1F">
      <w:pPr>
        <w:pStyle w:val="FootnoteText"/>
        <w:rPr>
          <w:lang w:val="en-US"/>
        </w:rPr>
      </w:pPr>
      <w:r>
        <w:rPr>
          <w:rStyle w:val="FootnoteReference"/>
        </w:rPr>
        <w:footnoteRef/>
      </w:r>
      <w:r>
        <w:t xml:space="preserve"> </w:t>
      </w:r>
      <w:r>
        <w:rPr>
          <w:lang w:val="en-US"/>
        </w:rPr>
        <w:t xml:space="preserve">Consumer Policy Research Centre, </w:t>
      </w:r>
      <w:r w:rsidR="003B52CA" w:rsidRPr="003B52CA">
        <w:rPr>
          <w:lang w:val="en-US"/>
        </w:rPr>
        <w:t>Submission to key review</w:t>
      </w:r>
      <w:r w:rsidR="003B52CA">
        <w:rPr>
          <w:lang w:val="en-US"/>
        </w:rPr>
        <w:t xml:space="preserve"> questions,</w:t>
      </w:r>
      <w:r w:rsidR="003B52CA">
        <w:t xml:space="preserve"> </w:t>
      </w:r>
      <w:r w:rsidRPr="00B17B36">
        <w:t>p. 1</w:t>
      </w:r>
      <w:r w:rsidR="001A36B6">
        <w:t xml:space="preserve">; Consumer </w:t>
      </w:r>
      <w:r w:rsidR="00D60C61">
        <w:t xml:space="preserve">Information and Support Victoria, </w:t>
      </w:r>
      <w:r w:rsidR="003B52CA" w:rsidRPr="003B52CA">
        <w:rPr>
          <w:lang w:val="en-US"/>
        </w:rPr>
        <w:t>Submission to key review</w:t>
      </w:r>
      <w:r w:rsidR="003B52CA">
        <w:rPr>
          <w:lang w:val="en-US"/>
        </w:rPr>
        <w:t xml:space="preserve"> questions,</w:t>
      </w:r>
      <w:r w:rsidR="003B52CA">
        <w:t xml:space="preserve"> </w:t>
      </w:r>
      <w:r w:rsidR="00D60C61" w:rsidRPr="00B17B36">
        <w:t xml:space="preserve">p. </w:t>
      </w:r>
      <w:r w:rsidR="00B65245">
        <w:t>2</w:t>
      </w:r>
      <w:r w:rsidR="00D60C61">
        <w:t>.</w:t>
      </w:r>
    </w:p>
  </w:footnote>
  <w:footnote w:id="90">
    <w:p w14:paraId="3F8EFAF9" w14:textId="433CC93B" w:rsidR="00C43F4C" w:rsidRPr="00550317" w:rsidRDefault="00C43F4C" w:rsidP="00C43F4C">
      <w:pPr>
        <w:pStyle w:val="FootnoteText"/>
        <w:rPr>
          <w:lang w:val="en-US"/>
        </w:rPr>
      </w:pPr>
      <w:r>
        <w:rPr>
          <w:rStyle w:val="FootnoteReference"/>
        </w:rPr>
        <w:footnoteRef/>
      </w:r>
      <w:r>
        <w:t xml:space="preserve"> </w:t>
      </w:r>
      <w:r w:rsidR="00A23D83" w:rsidRPr="00A23D83">
        <w:t>Dr Larissa Nicholls and Dr Kari Dahlgren, ‘Consumer experiences following energy market reforms in Victoria’</w:t>
      </w:r>
      <w:r w:rsidR="00A23D83">
        <w:t xml:space="preserve">, </w:t>
      </w:r>
      <w:r>
        <w:t xml:space="preserve">p. </w:t>
      </w:r>
      <w:r w:rsidRPr="00550317">
        <w:t>7</w:t>
      </w:r>
      <w:r w:rsidR="00485CEB">
        <w:t>.</w:t>
      </w:r>
    </w:p>
  </w:footnote>
  <w:footnote w:id="91">
    <w:p w14:paraId="67510496" w14:textId="650CBE59" w:rsidR="00C43F4C" w:rsidRPr="00F20C6E" w:rsidRDefault="00C43F4C" w:rsidP="00C43F4C">
      <w:pPr>
        <w:pStyle w:val="FootnoteText"/>
        <w:rPr>
          <w:lang w:val="en-US"/>
        </w:rPr>
      </w:pPr>
      <w:r>
        <w:rPr>
          <w:rStyle w:val="FootnoteReference"/>
        </w:rPr>
        <w:footnoteRef/>
      </w:r>
      <w:r>
        <w:t xml:space="preserve"> </w:t>
      </w:r>
      <w:r w:rsidR="00C2379F" w:rsidRPr="00C2379F">
        <w:t xml:space="preserve">Consumer Action Law Centre, </w:t>
      </w:r>
      <w:r w:rsidR="003B52CA" w:rsidRPr="003B52CA">
        <w:rPr>
          <w:lang w:val="en-US"/>
        </w:rPr>
        <w:t>Submission to key review</w:t>
      </w:r>
      <w:r w:rsidR="003B52CA">
        <w:rPr>
          <w:lang w:val="en-US"/>
        </w:rPr>
        <w:t xml:space="preserve"> questions</w:t>
      </w:r>
      <w:r w:rsidR="00C2379F">
        <w:rPr>
          <w:lang w:val="en-US"/>
        </w:rPr>
        <w:t>;</w:t>
      </w:r>
      <w:r w:rsidR="00485E60">
        <w:rPr>
          <w:lang w:val="en-US"/>
        </w:rPr>
        <w:t xml:space="preserve"> </w:t>
      </w:r>
      <w:r w:rsidR="00CE61B5">
        <w:rPr>
          <w:lang w:val="en-US"/>
        </w:rPr>
        <w:t>Consumer Policy Research Centre</w:t>
      </w:r>
      <w:r w:rsidR="00CA0DC6">
        <w:rPr>
          <w:lang w:val="en-US"/>
        </w:rPr>
        <w:t xml:space="preserve">, </w:t>
      </w:r>
      <w:r w:rsidR="003B52CA" w:rsidRPr="003B52CA">
        <w:rPr>
          <w:lang w:val="en-US"/>
        </w:rPr>
        <w:t>Submission to key review</w:t>
      </w:r>
      <w:r w:rsidR="003B52CA">
        <w:rPr>
          <w:lang w:val="en-US"/>
        </w:rPr>
        <w:t xml:space="preserve"> questions</w:t>
      </w:r>
      <w:r w:rsidR="005F3263">
        <w:t>.</w:t>
      </w:r>
    </w:p>
  </w:footnote>
  <w:footnote w:id="92">
    <w:p w14:paraId="21C8E19A" w14:textId="77777777" w:rsidR="00C43F4C" w:rsidRPr="00AB2F36" w:rsidRDefault="00C43F4C" w:rsidP="00C43F4C">
      <w:pPr>
        <w:pStyle w:val="FootnoteText"/>
        <w:rPr>
          <w:lang w:val="en-US"/>
        </w:rPr>
      </w:pPr>
      <w:r>
        <w:rPr>
          <w:rStyle w:val="FootnoteReference"/>
        </w:rPr>
        <w:footnoteRef/>
      </w:r>
      <w:r>
        <w:t xml:space="preserve"> </w:t>
      </w:r>
      <w:r w:rsidRPr="00AB2F36">
        <w:t>This requirement was originally set out in the Guideline: supporting utility relief grant applications and took effect from 1 October 2020. The requirement in the guideline was subsequently superseded with the inclusion of a similar obligation in the Energy Retail Code of Practice that took effect on 1 March 2022.</w:t>
      </w:r>
    </w:p>
  </w:footnote>
  <w:footnote w:id="93">
    <w:p w14:paraId="32839AE7" w14:textId="3CE9B9AE" w:rsidR="00C43F4C" w:rsidRPr="007D4AE7" w:rsidRDefault="00C43F4C" w:rsidP="00C43F4C">
      <w:pPr>
        <w:pStyle w:val="FootnoteText"/>
        <w:rPr>
          <w:lang w:val="en-US"/>
        </w:rPr>
      </w:pPr>
      <w:r>
        <w:rPr>
          <w:rStyle w:val="FootnoteReference"/>
        </w:rPr>
        <w:footnoteRef/>
      </w:r>
      <w:r>
        <w:t xml:space="preserve"> </w:t>
      </w:r>
      <w:r w:rsidR="00705A97">
        <w:rPr>
          <w:lang w:val="en-US"/>
        </w:rPr>
        <w:t>Energy Retail Code of Practice, c</w:t>
      </w:r>
      <w:r>
        <w:rPr>
          <w:lang w:val="en-US"/>
        </w:rPr>
        <w:t>lause 128(1)(e)</w:t>
      </w:r>
      <w:r w:rsidR="00705A97">
        <w:rPr>
          <w:lang w:val="en-US"/>
        </w:rPr>
        <w:t>.</w:t>
      </w:r>
    </w:p>
  </w:footnote>
  <w:footnote w:id="94">
    <w:p w14:paraId="6FFA2170" w14:textId="676842AF" w:rsidR="00C43F4C" w:rsidRPr="0041745B" w:rsidRDefault="00C43F4C" w:rsidP="00C43F4C">
      <w:pPr>
        <w:pStyle w:val="FootnoteText"/>
        <w:rPr>
          <w:lang w:val="en-US"/>
        </w:rPr>
      </w:pPr>
      <w:r w:rsidRPr="00731ED2">
        <w:rPr>
          <w:rStyle w:val="FootnoteReference"/>
        </w:rPr>
        <w:footnoteRef/>
      </w:r>
      <w:r w:rsidRPr="00731ED2">
        <w:t xml:space="preserve"> </w:t>
      </w:r>
      <w:r w:rsidR="00257F8F" w:rsidRPr="00731ED2">
        <w:rPr>
          <w:lang w:val="en-US"/>
        </w:rPr>
        <w:t xml:space="preserve">Based on data provided by the </w:t>
      </w:r>
      <w:r w:rsidR="00731ED2" w:rsidRPr="00731ED2">
        <w:rPr>
          <w:lang w:val="en-US"/>
        </w:rPr>
        <w:t>Department of Families, Fairness and Housing Victoria</w:t>
      </w:r>
      <w:r w:rsidR="00FC0BF6">
        <w:rPr>
          <w:lang w:val="en-US"/>
        </w:rPr>
        <w:t>.</w:t>
      </w:r>
    </w:p>
  </w:footnote>
  <w:footnote w:id="95">
    <w:p w14:paraId="696A9CEA" w14:textId="4B044A85" w:rsidR="009E5E43" w:rsidRPr="00BA6C29" w:rsidRDefault="009E5E43" w:rsidP="009E5E43">
      <w:pPr>
        <w:pStyle w:val="FootnoteText"/>
        <w:rPr>
          <w:lang w:val="en-US"/>
        </w:rPr>
      </w:pPr>
      <w:r>
        <w:rPr>
          <w:rStyle w:val="FootnoteReference"/>
        </w:rPr>
        <w:footnoteRef/>
      </w:r>
      <w:r>
        <w:t xml:space="preserve"> </w:t>
      </w:r>
      <w:r w:rsidR="0048082F" w:rsidRPr="0048082F">
        <w:t>ORIMA Research, ‘Call recordings study</w:t>
      </w:r>
      <w:r w:rsidR="00FC0BF6">
        <w:t xml:space="preserve"> report</w:t>
      </w:r>
      <w:r w:rsidR="0048082F" w:rsidRPr="0048082F">
        <w:t xml:space="preserve">’, </w:t>
      </w:r>
      <w:r w:rsidRPr="003B06E1">
        <w:rPr>
          <w:lang w:val="en-US"/>
        </w:rPr>
        <w:t xml:space="preserve">p. </w:t>
      </w:r>
      <w:r>
        <w:rPr>
          <w:lang w:val="en-US"/>
        </w:rPr>
        <w:t>4.</w:t>
      </w:r>
    </w:p>
  </w:footnote>
  <w:footnote w:id="96">
    <w:p w14:paraId="69E1AECF" w14:textId="73513FED" w:rsidR="00C43F4C" w:rsidRPr="006B2EBB" w:rsidRDefault="00C43F4C" w:rsidP="00C43F4C">
      <w:pPr>
        <w:pStyle w:val="FootnoteText"/>
        <w:rPr>
          <w:lang w:val="en-US"/>
        </w:rPr>
      </w:pPr>
      <w:r>
        <w:rPr>
          <w:rStyle w:val="FootnoteReference"/>
        </w:rPr>
        <w:footnoteRef/>
      </w:r>
      <w:r>
        <w:t xml:space="preserve"> </w:t>
      </w:r>
      <w:r>
        <w:rPr>
          <w:lang w:val="en-US"/>
        </w:rPr>
        <w:t xml:space="preserve">The call recordings cover a period </w:t>
      </w:r>
      <w:r w:rsidRPr="00731ED2">
        <w:rPr>
          <w:lang w:val="en-US"/>
        </w:rPr>
        <w:t xml:space="preserve">between 1 January 2019 and </w:t>
      </w:r>
      <w:r w:rsidR="00B65D53" w:rsidRPr="00731ED2">
        <w:rPr>
          <w:lang w:val="en-US"/>
        </w:rPr>
        <w:t>17 December</w:t>
      </w:r>
      <w:r w:rsidRPr="00731ED2">
        <w:rPr>
          <w:lang w:val="en-US"/>
        </w:rPr>
        <w:t xml:space="preserve"> 2021</w:t>
      </w:r>
      <w:r>
        <w:rPr>
          <w:lang w:val="en-US"/>
        </w:rPr>
        <w:t xml:space="preserve">. However, the requirement to support customers to apply for a </w:t>
      </w:r>
      <w:r w:rsidR="002B7A72">
        <w:rPr>
          <w:lang w:val="en-US"/>
        </w:rPr>
        <w:t>u</w:t>
      </w:r>
      <w:r>
        <w:rPr>
          <w:lang w:val="en-US"/>
        </w:rPr>
        <w:t xml:space="preserve">tility </w:t>
      </w:r>
      <w:r w:rsidR="002B7A72">
        <w:rPr>
          <w:lang w:val="en-US"/>
        </w:rPr>
        <w:t>r</w:t>
      </w:r>
      <w:r>
        <w:rPr>
          <w:lang w:val="en-US"/>
        </w:rPr>
        <w:t xml:space="preserve">elief </w:t>
      </w:r>
      <w:r w:rsidR="002B7A72">
        <w:rPr>
          <w:lang w:val="en-US"/>
        </w:rPr>
        <w:t>g</w:t>
      </w:r>
      <w:r>
        <w:rPr>
          <w:lang w:val="en-US"/>
        </w:rPr>
        <w:t>rant had only commenced from 1 October 2020.</w:t>
      </w:r>
    </w:p>
  </w:footnote>
  <w:footnote w:id="97">
    <w:p w14:paraId="11FC3569" w14:textId="77777777" w:rsidR="00C43F4C" w:rsidRPr="00B5194F" w:rsidRDefault="00C43F4C" w:rsidP="00C43F4C">
      <w:pPr>
        <w:pStyle w:val="FootnoteText"/>
        <w:rPr>
          <w:lang w:val="en-US"/>
        </w:rPr>
      </w:pPr>
      <w:r>
        <w:rPr>
          <w:rStyle w:val="FootnoteReference"/>
        </w:rPr>
        <w:footnoteRef/>
      </w:r>
      <w:r>
        <w:t xml:space="preserve"> </w:t>
      </w:r>
      <w:r>
        <w:rPr>
          <w:lang w:val="en-US"/>
        </w:rPr>
        <w:t>We note that some retailers have &gt;100 per cent figures, but this may be due to the timing of submitted forms, and low number of customers submitting applications with smaller retailers.</w:t>
      </w:r>
    </w:p>
  </w:footnote>
  <w:footnote w:id="98">
    <w:p w14:paraId="1399BA70" w14:textId="139C9839" w:rsidR="00C43F4C" w:rsidRPr="00A874CC" w:rsidRDefault="00C43F4C" w:rsidP="00C43F4C">
      <w:pPr>
        <w:pStyle w:val="FootnoteText"/>
        <w:rPr>
          <w:lang w:val="en-US"/>
        </w:rPr>
      </w:pPr>
      <w:r>
        <w:rPr>
          <w:rStyle w:val="FootnoteReference"/>
        </w:rPr>
        <w:footnoteRef/>
      </w:r>
      <w:r>
        <w:t xml:space="preserve"> </w:t>
      </w:r>
      <w:r>
        <w:rPr>
          <w:lang w:val="en-US"/>
        </w:rPr>
        <w:t>Momentum</w:t>
      </w:r>
      <w:r w:rsidR="0015111F">
        <w:rPr>
          <w:lang w:val="en-US"/>
        </w:rPr>
        <w:t>,</w:t>
      </w:r>
      <w:r>
        <w:rPr>
          <w:lang w:val="en-US"/>
        </w:rPr>
        <w:t xml:space="preserve"> </w:t>
      </w:r>
      <w:r w:rsidR="00FC0BF6">
        <w:rPr>
          <w:lang w:val="en-US"/>
        </w:rPr>
        <w:t>S</w:t>
      </w:r>
      <w:r>
        <w:rPr>
          <w:lang w:val="en-US"/>
        </w:rPr>
        <w:t>ubmission to</w:t>
      </w:r>
      <w:r w:rsidR="00F615A7">
        <w:rPr>
          <w:lang w:val="en-US"/>
        </w:rPr>
        <w:t xml:space="preserve"> Essential Services Commission</w:t>
      </w:r>
      <w:r w:rsidR="00E43858">
        <w:rPr>
          <w:lang w:val="en-US"/>
        </w:rPr>
        <w:t xml:space="preserve"> consultation paper ‘</w:t>
      </w:r>
      <w:r w:rsidR="00E43858" w:rsidRPr="00E43858">
        <w:rPr>
          <w:lang w:val="en-US"/>
        </w:rPr>
        <w:t>Supporting energy customers through the coronavirus pandemic</w:t>
      </w:r>
      <w:r w:rsidR="00F61E90">
        <w:rPr>
          <w:lang w:val="en-US"/>
        </w:rPr>
        <w:t xml:space="preserve"> 2020’</w:t>
      </w:r>
      <w:r>
        <w:t>, p</w:t>
      </w:r>
      <w:r w:rsidR="00F61E90">
        <w:t xml:space="preserve">. </w:t>
      </w:r>
      <w:r>
        <w:t>2</w:t>
      </w:r>
      <w:r w:rsidR="00FC0BF6">
        <w:t>.</w:t>
      </w:r>
    </w:p>
  </w:footnote>
  <w:footnote w:id="99">
    <w:p w14:paraId="0B92247F" w14:textId="02F41D35" w:rsidR="00C43F4C" w:rsidRPr="00890323" w:rsidRDefault="00C43F4C" w:rsidP="00C43F4C">
      <w:pPr>
        <w:pStyle w:val="FootnoteText"/>
        <w:rPr>
          <w:lang w:val="en-US"/>
        </w:rPr>
      </w:pPr>
      <w:r>
        <w:rPr>
          <w:rStyle w:val="FootnoteReference"/>
        </w:rPr>
        <w:footnoteRef/>
      </w:r>
      <w:r>
        <w:t xml:space="preserve"> </w:t>
      </w:r>
      <w:r>
        <w:rPr>
          <w:lang w:val="en-US"/>
        </w:rPr>
        <w:t>AGL</w:t>
      </w:r>
      <w:r w:rsidR="00F61E90">
        <w:rPr>
          <w:lang w:val="en-US"/>
        </w:rPr>
        <w:t>,</w:t>
      </w:r>
      <w:r>
        <w:rPr>
          <w:lang w:val="en-US"/>
        </w:rPr>
        <w:t xml:space="preserve"> </w:t>
      </w:r>
      <w:r w:rsidR="00FC0BF6">
        <w:rPr>
          <w:lang w:val="en-US"/>
        </w:rPr>
        <w:t>S</w:t>
      </w:r>
      <w:r>
        <w:rPr>
          <w:lang w:val="en-US"/>
        </w:rPr>
        <w:t xml:space="preserve">ubmission to </w:t>
      </w:r>
      <w:r w:rsidR="00F61E90" w:rsidRPr="00F61E90">
        <w:rPr>
          <w:lang w:val="en-US"/>
        </w:rPr>
        <w:t>submission to Essential Services Commission consultation paper ‘Supporting energy customers through the coronavirus pandemic 2020</w:t>
      </w:r>
      <w:r>
        <w:rPr>
          <w:lang w:val="en-US"/>
        </w:rPr>
        <w:t>’, p</w:t>
      </w:r>
      <w:r w:rsidR="00F61E90">
        <w:rPr>
          <w:lang w:val="en-US"/>
        </w:rPr>
        <w:t xml:space="preserve">. </w:t>
      </w:r>
      <w:r>
        <w:rPr>
          <w:lang w:val="en-US"/>
        </w:rPr>
        <w:t>4.</w:t>
      </w:r>
    </w:p>
  </w:footnote>
  <w:footnote w:id="100">
    <w:p w14:paraId="008ECC65" w14:textId="3EC6966B" w:rsidR="00C43F4C" w:rsidRPr="00D020B7" w:rsidRDefault="00C43F4C" w:rsidP="00C43F4C">
      <w:pPr>
        <w:pStyle w:val="FootnoteText"/>
        <w:rPr>
          <w:lang w:val="en-US"/>
        </w:rPr>
      </w:pPr>
      <w:r>
        <w:rPr>
          <w:rStyle w:val="FootnoteReference"/>
        </w:rPr>
        <w:footnoteRef/>
      </w:r>
      <w:r>
        <w:t xml:space="preserve"> </w:t>
      </w:r>
      <w:r>
        <w:rPr>
          <w:lang w:val="en-US"/>
        </w:rPr>
        <w:t xml:space="preserve">Noted in video on supporting residential energy customers through the pandemic, </w:t>
      </w:r>
      <w:r w:rsidR="005072C5" w:rsidRPr="005072C5">
        <w:t>https://www.esc.vic.gov.au/electricity-and-gas/inquiries-studies-and-reviews/supporting-energy-customers-through-coronavirus-pandemic-2020#tabs-container2</w:t>
      </w:r>
      <w:r w:rsidR="00512980">
        <w:t>.</w:t>
      </w:r>
    </w:p>
  </w:footnote>
  <w:footnote w:id="101">
    <w:p w14:paraId="0143F146" w14:textId="649B7EF5" w:rsidR="00C43F4C" w:rsidRPr="007831ED" w:rsidRDefault="00C43F4C" w:rsidP="00C43F4C">
      <w:pPr>
        <w:pStyle w:val="FootnoteText"/>
        <w:rPr>
          <w:lang w:val="en-US"/>
        </w:rPr>
      </w:pPr>
      <w:r>
        <w:rPr>
          <w:rStyle w:val="FootnoteReference"/>
        </w:rPr>
        <w:footnoteRef/>
      </w:r>
      <w:r>
        <w:t xml:space="preserve"> </w:t>
      </w:r>
      <w:r w:rsidR="00C20DB6" w:rsidRPr="00C20DB6">
        <w:t xml:space="preserve">Consumer Action Law Centre, </w:t>
      </w:r>
      <w:r w:rsidR="00512980" w:rsidRPr="003B52CA">
        <w:rPr>
          <w:lang w:val="en-US"/>
        </w:rPr>
        <w:t>Submission to key review</w:t>
      </w:r>
      <w:r w:rsidR="00512980">
        <w:rPr>
          <w:lang w:val="en-US"/>
        </w:rPr>
        <w:t xml:space="preserve"> questions</w:t>
      </w:r>
      <w:r w:rsidR="00825E14">
        <w:t>.</w:t>
      </w:r>
    </w:p>
  </w:footnote>
  <w:footnote w:id="102">
    <w:p w14:paraId="268BAED9" w14:textId="255F5A7C" w:rsidR="00C43F4C" w:rsidRPr="007831ED" w:rsidRDefault="00C43F4C" w:rsidP="00C43F4C">
      <w:pPr>
        <w:pStyle w:val="FootnoteText"/>
        <w:rPr>
          <w:lang w:val="en-US"/>
        </w:rPr>
      </w:pPr>
      <w:r>
        <w:rPr>
          <w:rStyle w:val="FootnoteReference"/>
        </w:rPr>
        <w:footnoteRef/>
      </w:r>
      <w:r>
        <w:t xml:space="preserve"> </w:t>
      </w:r>
      <w:r>
        <w:rPr>
          <w:lang w:val="en-US"/>
        </w:rPr>
        <w:t>F</w:t>
      </w:r>
      <w:r w:rsidR="00825E14">
        <w:rPr>
          <w:lang w:val="en-US"/>
        </w:rPr>
        <w:t xml:space="preserve">inancial </w:t>
      </w:r>
      <w:r>
        <w:rPr>
          <w:lang w:val="en-US"/>
        </w:rPr>
        <w:t>C</w:t>
      </w:r>
      <w:r w:rsidR="00825E14">
        <w:rPr>
          <w:lang w:val="en-US"/>
        </w:rPr>
        <w:t xml:space="preserve">ounselling </w:t>
      </w:r>
      <w:r>
        <w:rPr>
          <w:lang w:val="en-US"/>
        </w:rPr>
        <w:t>Vic</w:t>
      </w:r>
      <w:r w:rsidR="00825E14">
        <w:rPr>
          <w:lang w:val="en-US"/>
        </w:rPr>
        <w:t>toria,</w:t>
      </w:r>
      <w:r>
        <w:rPr>
          <w:lang w:val="en-US"/>
        </w:rPr>
        <w:t xml:space="preserve"> </w:t>
      </w:r>
      <w:r w:rsidR="00512980" w:rsidRPr="003B52CA">
        <w:rPr>
          <w:lang w:val="en-US"/>
        </w:rPr>
        <w:t>Submission to key review</w:t>
      </w:r>
      <w:r w:rsidR="00512980">
        <w:rPr>
          <w:lang w:val="en-US"/>
        </w:rPr>
        <w:t xml:space="preserve"> questions</w:t>
      </w:r>
      <w:r w:rsidR="004A5050">
        <w:t>.</w:t>
      </w:r>
    </w:p>
  </w:footnote>
  <w:footnote w:id="103">
    <w:p w14:paraId="6948F126" w14:textId="6E100D66" w:rsidR="00C43F4C" w:rsidRPr="007D4AE7" w:rsidRDefault="00C43F4C" w:rsidP="00C43F4C">
      <w:pPr>
        <w:pStyle w:val="FootnoteText"/>
        <w:rPr>
          <w:lang w:val="en-US"/>
        </w:rPr>
      </w:pPr>
      <w:r>
        <w:rPr>
          <w:rStyle w:val="FootnoteReference"/>
        </w:rPr>
        <w:footnoteRef/>
      </w:r>
      <w:r>
        <w:t xml:space="preserve"> </w:t>
      </w:r>
      <w:r w:rsidR="004A5050">
        <w:rPr>
          <w:lang w:val="en-US"/>
        </w:rPr>
        <w:t xml:space="preserve">Energy Retail Code of Practice, </w:t>
      </w:r>
      <w:r>
        <w:rPr>
          <w:lang w:val="en-US"/>
        </w:rPr>
        <w:t>Clause 128(1)(f)(i)</w:t>
      </w:r>
      <w:r w:rsidR="004A5050">
        <w:rPr>
          <w:lang w:val="en-US"/>
        </w:rPr>
        <w:t>.</w:t>
      </w:r>
      <w:r>
        <w:rPr>
          <w:lang w:val="en-US"/>
        </w:rPr>
        <w:t xml:space="preserve"> </w:t>
      </w:r>
    </w:p>
  </w:footnote>
  <w:footnote w:id="104">
    <w:p w14:paraId="2E583E56" w14:textId="77777777" w:rsidR="00C43F4C" w:rsidRPr="004316B5" w:rsidRDefault="00C43F4C" w:rsidP="00C43F4C">
      <w:pPr>
        <w:pStyle w:val="FootnoteText"/>
        <w:rPr>
          <w:lang w:val="en-US"/>
        </w:rPr>
      </w:pPr>
      <w:r>
        <w:rPr>
          <w:rStyle w:val="FootnoteReference"/>
        </w:rPr>
        <w:footnoteRef/>
      </w:r>
      <w:r>
        <w:t xml:space="preserve"> Retailers are required to show the best offer message to customers </w:t>
      </w:r>
      <w:r w:rsidRPr="0062480B">
        <w:t>at least quarterly for electricity bills, and at least every four months for gas bills</w:t>
      </w:r>
      <w:r>
        <w:t>.</w:t>
      </w:r>
    </w:p>
  </w:footnote>
  <w:footnote w:id="105">
    <w:p w14:paraId="0A5C2291" w14:textId="77777777" w:rsidR="00C43F4C" w:rsidRPr="00FB296D" w:rsidRDefault="00C43F4C" w:rsidP="00C43F4C">
      <w:pPr>
        <w:pStyle w:val="FootnoteText"/>
        <w:rPr>
          <w:lang w:val="en-US"/>
        </w:rPr>
      </w:pPr>
      <w:r>
        <w:rPr>
          <w:rStyle w:val="FootnoteReference"/>
        </w:rPr>
        <w:footnoteRef/>
      </w:r>
      <w:r>
        <w:t xml:space="preserve"> Data obtained by the commission from retailers using information gathering powers under the </w:t>
      </w:r>
      <w:r>
        <w:rPr>
          <w:i/>
          <w:iCs/>
        </w:rPr>
        <w:t xml:space="preserve">Essential Services Commission Act 2001. </w:t>
      </w:r>
      <w:r>
        <w:t>The data is the same data provided to the Australian Competition and Consumer Commission’s project on electricity marketing monitoring between 2018 and 2025.</w:t>
      </w:r>
    </w:p>
  </w:footnote>
  <w:footnote w:id="106">
    <w:p w14:paraId="0BA6C66F" w14:textId="77777777" w:rsidR="00C43F4C" w:rsidRPr="00E74C5E" w:rsidRDefault="00C43F4C" w:rsidP="00C43F4C">
      <w:pPr>
        <w:pStyle w:val="FootnoteText"/>
        <w:rPr>
          <w:lang w:val="en-US"/>
        </w:rPr>
      </w:pPr>
      <w:r>
        <w:rPr>
          <w:rStyle w:val="FootnoteReference"/>
        </w:rPr>
        <w:footnoteRef/>
      </w:r>
      <w:r>
        <w:t xml:space="preserve"> </w:t>
      </w:r>
      <w:r>
        <w:rPr>
          <w:lang w:val="en-US"/>
        </w:rPr>
        <w:t xml:space="preserve">It should be noted that the </w:t>
      </w:r>
      <w:r>
        <w:t>Australian Competition and Consumer Commission</w:t>
      </w:r>
      <w:r>
        <w:rPr>
          <w:lang w:val="en-US"/>
        </w:rPr>
        <w:t xml:space="preserve"> collected data from retailers applicable to states other than Victoria, where the payment difficulty framework does not apply. For Victorian data, ‘hardship customers’ have been considered as customers receiving tailored assistance under the payment difficulty framework.</w:t>
      </w:r>
    </w:p>
  </w:footnote>
  <w:footnote w:id="107">
    <w:p w14:paraId="181734D1" w14:textId="77777777" w:rsidR="00C43F4C" w:rsidRPr="00622414" w:rsidRDefault="00C43F4C" w:rsidP="00C43F4C">
      <w:pPr>
        <w:pStyle w:val="FootnoteText"/>
        <w:rPr>
          <w:lang w:val="en-US"/>
        </w:rPr>
      </w:pPr>
      <w:r>
        <w:rPr>
          <w:rStyle w:val="FootnoteReference"/>
        </w:rPr>
        <w:footnoteRef/>
      </w:r>
      <w:r>
        <w:t xml:space="preserve"> Data obtained by the commission from nine retailers using s36 and s37 powers under the </w:t>
      </w:r>
      <w:r>
        <w:rPr>
          <w:i/>
          <w:iCs/>
        </w:rPr>
        <w:t xml:space="preserve">Essential Services Commission Act 2001. </w:t>
      </w:r>
      <w:r>
        <w:t>The data is the same data provided to the ACCC’s project on electricity marketing monitoring between 2018 and 2025.</w:t>
      </w:r>
    </w:p>
  </w:footnote>
  <w:footnote w:id="108">
    <w:p w14:paraId="4D51FB02" w14:textId="65CF502C" w:rsidR="00C43F4C" w:rsidRPr="00186DBA" w:rsidRDefault="00C43F4C" w:rsidP="00C43F4C">
      <w:pPr>
        <w:pStyle w:val="FootnoteText"/>
        <w:rPr>
          <w:lang w:val="en-US"/>
        </w:rPr>
      </w:pPr>
      <w:r>
        <w:rPr>
          <w:rStyle w:val="FootnoteReference"/>
        </w:rPr>
        <w:footnoteRef/>
      </w:r>
      <w:r>
        <w:t xml:space="preserve"> </w:t>
      </w:r>
      <w:r w:rsidR="00FD7A24" w:rsidRPr="00FD7A24">
        <w:t>Dr Larissa Nicholls and Dr Kari Dahlgren, ‘Consumer experiences following energy market reforms in Victoria’</w:t>
      </w:r>
      <w:r w:rsidR="00FD7A24">
        <w:t>,</w:t>
      </w:r>
      <w:r w:rsidR="00FD7A24" w:rsidRPr="00FD7A24">
        <w:t xml:space="preserve"> </w:t>
      </w:r>
      <w:r w:rsidR="009033C2" w:rsidRPr="00847657">
        <w:rPr>
          <w:lang w:val="en-US"/>
        </w:rPr>
        <w:t xml:space="preserve">p. </w:t>
      </w:r>
      <w:r w:rsidR="009033C2">
        <w:rPr>
          <w:lang w:val="en-US"/>
        </w:rPr>
        <w:t>5</w:t>
      </w:r>
      <w:r w:rsidR="009A7DFE">
        <w:rPr>
          <w:lang w:val="en-US"/>
        </w:rPr>
        <w:t>.</w:t>
      </w:r>
    </w:p>
  </w:footnote>
  <w:footnote w:id="109">
    <w:p w14:paraId="526B5933" w14:textId="71870957" w:rsidR="00183D1C" w:rsidRPr="00183D1C" w:rsidRDefault="00183D1C">
      <w:pPr>
        <w:pStyle w:val="FootnoteText"/>
        <w:rPr>
          <w:lang w:val="en-US"/>
        </w:rPr>
      </w:pPr>
      <w:r>
        <w:rPr>
          <w:rStyle w:val="FootnoteReference"/>
        </w:rPr>
        <w:footnoteRef/>
      </w:r>
      <w:r>
        <w:t xml:space="preserve"> </w:t>
      </w:r>
      <w:r w:rsidR="009A7DFE">
        <w:t>Energy and Water Ombudsman, ‘</w:t>
      </w:r>
      <w:r w:rsidR="009A7DFE">
        <w:rPr>
          <w:lang w:val="en-US"/>
        </w:rPr>
        <w:t>Missing the Mark’, p</w:t>
      </w:r>
      <w:r w:rsidR="00A32115">
        <w:rPr>
          <w:lang w:val="en-US"/>
        </w:rPr>
        <w:t>p</w:t>
      </w:r>
      <w:r w:rsidR="009A7DFE">
        <w:rPr>
          <w:lang w:val="en-US"/>
        </w:rPr>
        <w:t xml:space="preserve">. </w:t>
      </w:r>
      <w:r w:rsidR="00102DB0">
        <w:rPr>
          <w:lang w:val="en-US"/>
        </w:rPr>
        <w:t>16-18.</w:t>
      </w:r>
    </w:p>
  </w:footnote>
  <w:footnote w:id="110">
    <w:p w14:paraId="5D1767B2" w14:textId="7171B5EB" w:rsidR="00C43F4C" w:rsidRPr="002C34D3" w:rsidRDefault="00C43F4C" w:rsidP="00C43F4C">
      <w:pPr>
        <w:pStyle w:val="FootnoteText"/>
        <w:rPr>
          <w:lang w:val="en-US"/>
        </w:rPr>
      </w:pPr>
      <w:r>
        <w:rPr>
          <w:rStyle w:val="FootnoteReference"/>
        </w:rPr>
        <w:footnoteRef/>
      </w:r>
      <w:r>
        <w:t xml:space="preserve"> </w:t>
      </w:r>
      <w:r w:rsidR="00FD7A24" w:rsidRPr="00014D10">
        <w:t xml:space="preserve">Consumer Action Law Centre, </w:t>
      </w:r>
      <w:r w:rsidR="00014D10" w:rsidRPr="00014D10">
        <w:t>‘Bills here bill there’, December 2020</w:t>
      </w:r>
      <w:r>
        <w:rPr>
          <w:lang w:val="en-US"/>
        </w:rPr>
        <w:t>, p</w:t>
      </w:r>
      <w:r w:rsidR="005072C5">
        <w:rPr>
          <w:lang w:val="en-US"/>
        </w:rPr>
        <w:t xml:space="preserve">. </w:t>
      </w:r>
      <w:r>
        <w:rPr>
          <w:lang w:val="en-US"/>
        </w:rPr>
        <w:t>20</w:t>
      </w:r>
    </w:p>
  </w:footnote>
  <w:footnote w:id="111">
    <w:p w14:paraId="65F20E0C" w14:textId="400CD7F9" w:rsidR="00C43F4C" w:rsidRPr="002C34D3" w:rsidRDefault="00C43F4C" w:rsidP="00C43F4C">
      <w:pPr>
        <w:pStyle w:val="FootnoteText"/>
        <w:rPr>
          <w:lang w:val="en-US"/>
        </w:rPr>
      </w:pPr>
      <w:r>
        <w:rPr>
          <w:rStyle w:val="FootnoteReference"/>
        </w:rPr>
        <w:footnoteRef/>
      </w:r>
      <w:r>
        <w:t xml:space="preserve"> </w:t>
      </w:r>
      <w:r w:rsidRPr="00DE5D09">
        <w:rPr>
          <w:lang w:val="en-US"/>
        </w:rPr>
        <w:t>Community Information and Support Victoria</w:t>
      </w:r>
      <w:r>
        <w:rPr>
          <w:lang w:val="en-US"/>
        </w:rPr>
        <w:t xml:space="preserve">, </w:t>
      </w:r>
      <w:r w:rsidR="00C769F5" w:rsidRPr="00C769F5">
        <w:rPr>
          <w:lang w:val="en-US"/>
        </w:rPr>
        <w:t>Submission to key review questions</w:t>
      </w:r>
      <w:r w:rsidR="00C769F5">
        <w:rPr>
          <w:lang w:val="en-US"/>
        </w:rPr>
        <w:t xml:space="preserve">; </w:t>
      </w:r>
      <w:r w:rsidRPr="00DE5D09">
        <w:rPr>
          <w:lang w:val="en-US"/>
        </w:rPr>
        <w:t>Council on the Ageing Victoria</w:t>
      </w:r>
      <w:r>
        <w:rPr>
          <w:lang w:val="en-US"/>
        </w:rPr>
        <w:t xml:space="preserve">, </w:t>
      </w:r>
      <w:r w:rsidR="00F82DA8">
        <w:rPr>
          <w:lang w:val="en-US"/>
        </w:rPr>
        <w:t>S</w:t>
      </w:r>
      <w:r>
        <w:rPr>
          <w:lang w:val="en-US"/>
        </w:rPr>
        <w:t xml:space="preserve">ubmission to </w:t>
      </w:r>
      <w:r w:rsidR="00AC3F2D" w:rsidRPr="00AC3F2D">
        <w:rPr>
          <w:lang w:val="en-US"/>
        </w:rPr>
        <w:t xml:space="preserve">the </w:t>
      </w:r>
      <w:r w:rsidR="00014D10">
        <w:rPr>
          <w:lang w:val="en-US"/>
        </w:rPr>
        <w:t xml:space="preserve">Essential Services Commission </w:t>
      </w:r>
      <w:r w:rsidR="00613E74">
        <w:rPr>
          <w:lang w:val="en-US"/>
        </w:rPr>
        <w:t>key review questions</w:t>
      </w:r>
      <w:r w:rsidR="00AC3F2D" w:rsidRPr="00AC3F2D">
        <w:rPr>
          <w:lang w:val="en-US"/>
        </w:rPr>
        <w:t>, November 2021</w:t>
      </w:r>
      <w:r w:rsidR="00014D10">
        <w:rPr>
          <w:lang w:val="en-US"/>
        </w:rPr>
        <w:t>.</w:t>
      </w:r>
    </w:p>
  </w:footnote>
  <w:footnote w:id="112">
    <w:p w14:paraId="06F0F08F" w14:textId="377DB6E1" w:rsidR="00CD7E5F" w:rsidRPr="00CD7E5F" w:rsidRDefault="00CD7E5F">
      <w:pPr>
        <w:pStyle w:val="FootnoteText"/>
        <w:rPr>
          <w:lang w:val="en-US"/>
        </w:rPr>
      </w:pPr>
      <w:r w:rsidRPr="00115B37">
        <w:rPr>
          <w:rStyle w:val="FootnoteReference"/>
        </w:rPr>
        <w:footnoteRef/>
      </w:r>
      <w:r w:rsidRPr="00115B37">
        <w:t xml:space="preserve"> </w:t>
      </w:r>
      <w:r w:rsidR="00C769F5" w:rsidRPr="00C769F5">
        <w:t xml:space="preserve">ORIMA Research, ‘Call recordings study report’, </w:t>
      </w:r>
      <w:r w:rsidRPr="00115B37">
        <w:rPr>
          <w:lang w:val="en-US"/>
        </w:rPr>
        <w:t>p. 19.</w:t>
      </w:r>
    </w:p>
  </w:footnote>
  <w:footnote w:id="113">
    <w:p w14:paraId="1211E244" w14:textId="6CDDAC47" w:rsidR="00C43F4C" w:rsidRPr="006D0D95" w:rsidRDefault="00C43F4C" w:rsidP="00C43F4C">
      <w:pPr>
        <w:pStyle w:val="FootnoteText"/>
        <w:rPr>
          <w:lang w:val="en-US"/>
        </w:rPr>
      </w:pPr>
      <w:r>
        <w:rPr>
          <w:rStyle w:val="FootnoteReference"/>
        </w:rPr>
        <w:footnoteRef/>
      </w:r>
      <w:r>
        <w:t xml:space="preserve"> </w:t>
      </w:r>
      <w:r w:rsidR="00B24683">
        <w:t>Energy and Water Ombudsman, ‘</w:t>
      </w:r>
      <w:r>
        <w:rPr>
          <w:lang w:val="en-US"/>
        </w:rPr>
        <w:t>Missing the Mark</w:t>
      </w:r>
      <w:r w:rsidR="00B24683">
        <w:rPr>
          <w:lang w:val="en-US"/>
        </w:rPr>
        <w:t>’,</w:t>
      </w:r>
      <w:r>
        <w:rPr>
          <w:lang w:val="en-US"/>
        </w:rPr>
        <w:t xml:space="preserve"> p.</w:t>
      </w:r>
      <w:r w:rsidR="00B24683">
        <w:rPr>
          <w:lang w:val="en-US"/>
        </w:rPr>
        <w:t xml:space="preserve"> </w:t>
      </w:r>
      <w:r>
        <w:rPr>
          <w:lang w:val="en-US"/>
        </w:rPr>
        <w:t>4</w:t>
      </w:r>
      <w:r w:rsidR="00C769F5">
        <w:rPr>
          <w:lang w:val="en-US"/>
        </w:rPr>
        <w:t>.</w:t>
      </w:r>
    </w:p>
  </w:footnote>
  <w:footnote w:id="114">
    <w:p w14:paraId="53220080" w14:textId="341F282C" w:rsidR="00C43F4C" w:rsidRPr="007D4AE7" w:rsidRDefault="00C43F4C" w:rsidP="00C43F4C">
      <w:pPr>
        <w:pStyle w:val="FootnoteText"/>
        <w:rPr>
          <w:lang w:val="en-US"/>
        </w:rPr>
      </w:pPr>
      <w:r>
        <w:rPr>
          <w:rStyle w:val="FootnoteReference"/>
        </w:rPr>
        <w:footnoteRef/>
      </w:r>
      <w:r>
        <w:t xml:space="preserve"> </w:t>
      </w:r>
      <w:r>
        <w:rPr>
          <w:lang w:val="en-US"/>
        </w:rPr>
        <w:t>Energy Retail Code of Practice</w:t>
      </w:r>
      <w:r w:rsidR="00771D4C">
        <w:rPr>
          <w:lang w:val="en-US"/>
        </w:rPr>
        <w:t xml:space="preserve">, </w:t>
      </w:r>
      <w:r w:rsidR="001431FA">
        <w:rPr>
          <w:lang w:val="en-US"/>
        </w:rPr>
        <w:t>c</w:t>
      </w:r>
      <w:r>
        <w:rPr>
          <w:lang w:val="en-US"/>
        </w:rPr>
        <w:t>lause 128(1)(f)(ii)-(iii)</w:t>
      </w:r>
      <w:r w:rsidR="00771D4C">
        <w:rPr>
          <w:lang w:val="en-US"/>
        </w:rPr>
        <w:t>.</w:t>
      </w:r>
    </w:p>
  </w:footnote>
  <w:footnote w:id="115">
    <w:p w14:paraId="312C2811" w14:textId="3D914050" w:rsidR="009239CE" w:rsidRPr="009239CE" w:rsidRDefault="009239CE">
      <w:pPr>
        <w:pStyle w:val="FootnoteText"/>
        <w:rPr>
          <w:lang w:val="en-US"/>
        </w:rPr>
      </w:pPr>
      <w:r w:rsidRPr="006B0DA2">
        <w:rPr>
          <w:rStyle w:val="FootnoteReference"/>
        </w:rPr>
        <w:footnoteRef/>
      </w:r>
      <w:r w:rsidRPr="006B0DA2">
        <w:t xml:space="preserve"> </w:t>
      </w:r>
      <w:r w:rsidR="000F1662" w:rsidRPr="004A480B">
        <w:t>AGL</w:t>
      </w:r>
      <w:r w:rsidR="00C769F5">
        <w:t>,</w:t>
      </w:r>
      <w:r w:rsidR="000F1662" w:rsidRPr="004A480B">
        <w:t xml:space="preserve"> </w:t>
      </w:r>
      <w:r w:rsidR="00C769F5">
        <w:t>S</w:t>
      </w:r>
      <w:r w:rsidR="000F1662" w:rsidRPr="004A480B">
        <w:t xml:space="preserve">ubmission to the Essential Services Commission approach, September </w:t>
      </w:r>
      <w:r w:rsidR="000F1662" w:rsidRPr="000F1662">
        <w:t>2021</w:t>
      </w:r>
      <w:r w:rsidR="000F1662">
        <w:t>,</w:t>
      </w:r>
      <w:r w:rsidR="000F1662" w:rsidRPr="000F1662">
        <w:t xml:space="preserve"> </w:t>
      </w:r>
      <w:r w:rsidR="00762C84" w:rsidRPr="000F1662">
        <w:rPr>
          <w:lang w:val="en-US"/>
        </w:rPr>
        <w:t>p. 2.</w:t>
      </w:r>
      <w:r w:rsidR="00762C84">
        <w:rPr>
          <w:lang w:val="en-US"/>
        </w:rPr>
        <w:t xml:space="preserve"> </w:t>
      </w:r>
    </w:p>
  </w:footnote>
  <w:footnote w:id="116">
    <w:p w14:paraId="5A7A185F" w14:textId="287ECA71" w:rsidR="00C43F4C" w:rsidRPr="00F87EFF" w:rsidRDefault="00C43F4C" w:rsidP="00C43F4C">
      <w:pPr>
        <w:pStyle w:val="FootnoteText"/>
        <w:rPr>
          <w:lang w:val="en-US"/>
        </w:rPr>
      </w:pPr>
      <w:r>
        <w:rPr>
          <w:rStyle w:val="FootnoteReference"/>
        </w:rPr>
        <w:footnoteRef/>
      </w:r>
      <w:r>
        <w:t xml:space="preserve"> </w:t>
      </w:r>
      <w:r w:rsidR="001E5A1D">
        <w:rPr>
          <w:lang w:val="en-US"/>
        </w:rPr>
        <w:t>Based on retailer data submitted as per the Compliance and Performance Reporting Guideline.</w:t>
      </w:r>
    </w:p>
  </w:footnote>
  <w:footnote w:id="117">
    <w:p w14:paraId="1905E79B" w14:textId="7835FC46" w:rsidR="00C43F4C" w:rsidRPr="00C017FB" w:rsidRDefault="00C43F4C" w:rsidP="00C43F4C">
      <w:pPr>
        <w:pStyle w:val="FootnoteText"/>
        <w:rPr>
          <w:lang w:val="en-US"/>
        </w:rPr>
      </w:pPr>
      <w:r>
        <w:rPr>
          <w:rStyle w:val="FootnoteReference"/>
        </w:rPr>
        <w:footnoteRef/>
      </w:r>
      <w:r>
        <w:t xml:space="preserve"> </w:t>
      </w:r>
      <w:r w:rsidR="00D52B5D" w:rsidRPr="00D52B5D">
        <w:t xml:space="preserve">ORIMA Research, ‘Call recordings study report’, </w:t>
      </w:r>
      <w:r>
        <w:rPr>
          <w:lang w:val="en-US"/>
        </w:rPr>
        <w:t>p</w:t>
      </w:r>
      <w:r w:rsidR="00943F3F">
        <w:rPr>
          <w:lang w:val="en-US"/>
        </w:rPr>
        <w:t xml:space="preserve">. </w:t>
      </w:r>
      <w:r w:rsidR="004C13E0">
        <w:rPr>
          <w:lang w:val="en-US"/>
        </w:rPr>
        <w:t>19</w:t>
      </w:r>
      <w:r>
        <w:rPr>
          <w:lang w:val="en-US"/>
        </w:rPr>
        <w:t>.</w:t>
      </w:r>
    </w:p>
  </w:footnote>
  <w:footnote w:id="118">
    <w:p w14:paraId="1292D8CA" w14:textId="241BBE3D" w:rsidR="00C43F4C" w:rsidRPr="00436EF9" w:rsidRDefault="00C43F4C" w:rsidP="00C43F4C">
      <w:pPr>
        <w:pStyle w:val="FootnoteText"/>
        <w:rPr>
          <w:lang w:val="en-US"/>
        </w:rPr>
      </w:pPr>
      <w:r>
        <w:rPr>
          <w:rStyle w:val="FootnoteReference"/>
        </w:rPr>
        <w:footnoteRef/>
      </w:r>
      <w:r>
        <w:t xml:space="preserve"> </w:t>
      </w:r>
      <w:r w:rsidR="00125CF6" w:rsidRPr="00125CF6">
        <w:rPr>
          <w:lang w:val="en-US"/>
        </w:rPr>
        <w:t xml:space="preserve">Origin Energy, </w:t>
      </w:r>
      <w:r w:rsidR="00D52B5D">
        <w:rPr>
          <w:lang w:val="en-US"/>
        </w:rPr>
        <w:t>S</w:t>
      </w:r>
      <w:r w:rsidR="00125CF6" w:rsidRPr="00125CF6">
        <w:rPr>
          <w:lang w:val="en-US"/>
        </w:rPr>
        <w:t xml:space="preserve">ubmission to </w:t>
      </w:r>
      <w:r w:rsidR="00613E74">
        <w:rPr>
          <w:lang w:val="en-US"/>
        </w:rPr>
        <w:t>key review questions</w:t>
      </w:r>
      <w:r w:rsidR="00125CF6" w:rsidRPr="00125CF6">
        <w:rPr>
          <w:lang w:val="en-US"/>
        </w:rPr>
        <w:t xml:space="preserve">, </w:t>
      </w:r>
      <w:r w:rsidR="001178AE">
        <w:rPr>
          <w:lang w:val="en-US"/>
        </w:rPr>
        <w:t>p</w:t>
      </w:r>
      <w:r w:rsidR="00D52B5D">
        <w:rPr>
          <w:lang w:val="en-US"/>
        </w:rPr>
        <w:t>p.</w:t>
      </w:r>
      <w:r w:rsidR="001178AE">
        <w:rPr>
          <w:lang w:val="en-US"/>
        </w:rPr>
        <w:t xml:space="preserve"> 5-6</w:t>
      </w:r>
      <w:r w:rsidR="00125CF6">
        <w:rPr>
          <w:lang w:val="en-US"/>
        </w:rPr>
        <w:t>;</w:t>
      </w:r>
      <w:r w:rsidR="00322E3A">
        <w:rPr>
          <w:lang w:val="en-US"/>
        </w:rPr>
        <w:t xml:space="preserve"> </w:t>
      </w:r>
      <w:r w:rsidR="00D52B5D" w:rsidRPr="00D52B5D">
        <w:t>Dr Larissa Nicholls and Dr Kari Dahlgren, ‘Consumer experiences following energy market reforms in Victoria’</w:t>
      </w:r>
      <w:r w:rsidR="00D52B5D">
        <w:t xml:space="preserve">, </w:t>
      </w:r>
      <w:r w:rsidR="001B0C77" w:rsidRPr="009D78AB">
        <w:t xml:space="preserve">p. </w:t>
      </w:r>
      <w:r w:rsidR="001B0C77">
        <w:t>36.</w:t>
      </w:r>
    </w:p>
  </w:footnote>
  <w:footnote w:id="119">
    <w:p w14:paraId="269368B1" w14:textId="3FB7F7A4" w:rsidR="00C43F4C" w:rsidRPr="00DA6357" w:rsidRDefault="00C43F4C" w:rsidP="00C43F4C">
      <w:pPr>
        <w:pStyle w:val="FootnoteText"/>
        <w:rPr>
          <w:lang w:val="en-US"/>
        </w:rPr>
      </w:pPr>
      <w:r>
        <w:rPr>
          <w:rStyle w:val="FootnoteReference"/>
        </w:rPr>
        <w:footnoteRef/>
      </w:r>
      <w:r>
        <w:t xml:space="preserve"> </w:t>
      </w:r>
      <w:r>
        <w:rPr>
          <w:lang w:val="en-US"/>
        </w:rPr>
        <w:t>Origin Energy</w:t>
      </w:r>
      <w:r w:rsidR="00125CF6" w:rsidRPr="00125CF6">
        <w:rPr>
          <w:lang w:val="en-US"/>
        </w:rPr>
        <w:t>,</w:t>
      </w:r>
      <w:r>
        <w:rPr>
          <w:lang w:val="en-US"/>
        </w:rPr>
        <w:t xml:space="preserve"> </w:t>
      </w:r>
      <w:r w:rsidR="00D52B5D">
        <w:rPr>
          <w:lang w:val="en-US"/>
        </w:rPr>
        <w:t>S</w:t>
      </w:r>
      <w:r>
        <w:rPr>
          <w:lang w:val="en-US"/>
        </w:rPr>
        <w:t>ubmission</w:t>
      </w:r>
      <w:r w:rsidR="00125CF6" w:rsidRPr="00125CF6">
        <w:rPr>
          <w:lang w:val="en-US"/>
        </w:rPr>
        <w:t xml:space="preserve"> to </w:t>
      </w:r>
      <w:r w:rsidR="00613E74">
        <w:rPr>
          <w:lang w:val="en-US"/>
        </w:rPr>
        <w:t>key review questions</w:t>
      </w:r>
      <w:r w:rsidR="00125CF6" w:rsidRPr="00125CF6">
        <w:rPr>
          <w:lang w:val="en-US"/>
        </w:rPr>
        <w:t xml:space="preserve">, </w:t>
      </w:r>
      <w:r w:rsidR="003D2CD1">
        <w:rPr>
          <w:lang w:val="en-US"/>
        </w:rPr>
        <w:t>p</w:t>
      </w:r>
      <w:r w:rsidR="00D52B5D">
        <w:rPr>
          <w:lang w:val="en-US"/>
        </w:rPr>
        <w:t>.</w:t>
      </w:r>
      <w:r w:rsidR="003D2CD1">
        <w:rPr>
          <w:lang w:val="en-US"/>
        </w:rPr>
        <w:t xml:space="preserve"> </w:t>
      </w:r>
      <w:r w:rsidR="001178AE">
        <w:rPr>
          <w:lang w:val="en-US"/>
        </w:rPr>
        <w:t>6</w:t>
      </w:r>
      <w:r w:rsidR="0010666C">
        <w:rPr>
          <w:lang w:val="en-US"/>
        </w:rPr>
        <w:t>;</w:t>
      </w:r>
      <w:r w:rsidR="009909FF" w:rsidRPr="009909FF">
        <w:t xml:space="preserve"> </w:t>
      </w:r>
      <w:r w:rsidR="009909FF">
        <w:t>AGL</w:t>
      </w:r>
      <w:r w:rsidR="00D52B5D">
        <w:t>,</w:t>
      </w:r>
      <w:r w:rsidR="009909FF">
        <w:t xml:space="preserve"> </w:t>
      </w:r>
      <w:r w:rsidR="00D52B5D">
        <w:t>S</w:t>
      </w:r>
      <w:r w:rsidR="009909FF" w:rsidRPr="00282183">
        <w:t xml:space="preserve">ubmission to </w:t>
      </w:r>
      <w:r w:rsidR="00613E74">
        <w:t>key review questions</w:t>
      </w:r>
      <w:r w:rsidR="00D52B5D">
        <w:t>,</w:t>
      </w:r>
      <w:r w:rsidR="009909FF" w:rsidRPr="0031531A">
        <w:t xml:space="preserve"> p. </w:t>
      </w:r>
      <w:r w:rsidR="0010666C" w:rsidRPr="0031531A">
        <w:rPr>
          <w:lang w:val="en-US"/>
        </w:rPr>
        <w:t>10.</w:t>
      </w:r>
    </w:p>
  </w:footnote>
  <w:footnote w:id="120">
    <w:p w14:paraId="36706C2C" w14:textId="1A639F82" w:rsidR="000B0809" w:rsidRPr="0023280E" w:rsidRDefault="000B0809" w:rsidP="000B0809">
      <w:pPr>
        <w:pStyle w:val="FootnoteText"/>
        <w:rPr>
          <w:lang w:val="en-US"/>
        </w:rPr>
      </w:pPr>
      <w:r w:rsidRPr="004A480B">
        <w:rPr>
          <w:rStyle w:val="FootnoteReference"/>
        </w:rPr>
        <w:footnoteRef/>
      </w:r>
      <w:r w:rsidRPr="004A480B">
        <w:t xml:space="preserve"> </w:t>
      </w:r>
      <w:r w:rsidR="00122C4A" w:rsidRPr="004A480B">
        <w:t>AGL</w:t>
      </w:r>
      <w:r w:rsidR="00CE649F">
        <w:t>,</w:t>
      </w:r>
      <w:r w:rsidR="00122C4A" w:rsidRPr="004A480B">
        <w:t xml:space="preserve"> </w:t>
      </w:r>
      <w:r w:rsidR="00CE649F">
        <w:t>S</w:t>
      </w:r>
      <w:r w:rsidR="00122C4A" w:rsidRPr="004A480B">
        <w:t xml:space="preserve">ubmission to </w:t>
      </w:r>
      <w:r w:rsidR="004A480B" w:rsidRPr="004A480B">
        <w:t>approach</w:t>
      </w:r>
      <w:r w:rsidR="00122C4A" w:rsidRPr="004A480B">
        <w:t>,</w:t>
      </w:r>
      <w:r w:rsidR="004A480B" w:rsidRPr="004A480B">
        <w:t xml:space="preserve"> p. 2</w:t>
      </w:r>
      <w:r w:rsidRPr="004A480B">
        <w:rPr>
          <w:lang w:val="en-US"/>
        </w:rPr>
        <w:t>.</w:t>
      </w:r>
      <w:r>
        <w:rPr>
          <w:lang w:val="en-US"/>
        </w:rPr>
        <w:t xml:space="preserve"> </w:t>
      </w:r>
    </w:p>
  </w:footnote>
  <w:footnote w:id="121">
    <w:p w14:paraId="1DF7CC23" w14:textId="04643545" w:rsidR="00B454AB" w:rsidRPr="00B454AB" w:rsidRDefault="00B454AB">
      <w:pPr>
        <w:pStyle w:val="FootnoteText"/>
        <w:rPr>
          <w:lang w:val="en-US"/>
        </w:rPr>
      </w:pPr>
      <w:r>
        <w:rPr>
          <w:rStyle w:val="FootnoteReference"/>
        </w:rPr>
        <w:footnoteRef/>
      </w:r>
      <w:r>
        <w:t xml:space="preserve"> </w:t>
      </w:r>
      <w:r w:rsidR="008D334C">
        <w:t>AGL</w:t>
      </w:r>
      <w:r w:rsidR="00CE649F">
        <w:t xml:space="preserve">, </w:t>
      </w:r>
      <w:r w:rsidR="00CE649F" w:rsidRPr="00CE649F">
        <w:t>Submission to key review questions</w:t>
      </w:r>
      <w:r w:rsidR="00CE649F">
        <w:t xml:space="preserve">, </w:t>
      </w:r>
      <w:r w:rsidR="008D334C" w:rsidRPr="008D334C">
        <w:t>p. 9</w:t>
      </w:r>
      <w:r w:rsidRPr="008D334C">
        <w:rPr>
          <w:lang w:val="en-US"/>
        </w:rPr>
        <w:t>.</w:t>
      </w:r>
    </w:p>
  </w:footnote>
  <w:footnote w:id="122">
    <w:p w14:paraId="002427B2" w14:textId="1BC0A5C5" w:rsidR="00C43F4C" w:rsidRPr="007D4AE7" w:rsidRDefault="00C43F4C" w:rsidP="00C43F4C">
      <w:pPr>
        <w:pStyle w:val="FootnoteText"/>
        <w:rPr>
          <w:lang w:val="en-US"/>
        </w:rPr>
      </w:pPr>
      <w:r>
        <w:rPr>
          <w:rStyle w:val="FootnoteReference"/>
        </w:rPr>
        <w:footnoteRef/>
      </w:r>
      <w:r>
        <w:t xml:space="preserve"> </w:t>
      </w:r>
      <w:r>
        <w:rPr>
          <w:lang w:val="en-US"/>
        </w:rPr>
        <w:t>Energy Retail Code of Practice</w:t>
      </w:r>
      <w:r w:rsidR="00943F3F">
        <w:rPr>
          <w:lang w:val="en-US"/>
        </w:rPr>
        <w:t xml:space="preserve">, </w:t>
      </w:r>
      <w:r>
        <w:rPr>
          <w:lang w:val="en-US"/>
        </w:rPr>
        <w:t>Clause 128(1)(f)(i)</w:t>
      </w:r>
      <w:r w:rsidR="00943F3F">
        <w:rPr>
          <w:lang w:val="en-US"/>
        </w:rPr>
        <w:t>.</w:t>
      </w:r>
      <w:r>
        <w:rPr>
          <w:lang w:val="en-US"/>
        </w:rPr>
        <w:t xml:space="preserve"> </w:t>
      </w:r>
    </w:p>
  </w:footnote>
  <w:footnote w:id="123">
    <w:p w14:paraId="06137F88" w14:textId="386CDF8F" w:rsidR="00C43F4C" w:rsidRPr="00A05D76" w:rsidRDefault="00C43F4C" w:rsidP="00C43F4C">
      <w:pPr>
        <w:pStyle w:val="FootnoteText"/>
        <w:rPr>
          <w:lang w:val="en-US"/>
        </w:rPr>
      </w:pPr>
      <w:r>
        <w:rPr>
          <w:rStyle w:val="FootnoteReference"/>
        </w:rPr>
        <w:footnoteRef/>
      </w:r>
      <w:r>
        <w:t xml:space="preserve"> </w:t>
      </w:r>
      <w:r w:rsidR="00D247BE" w:rsidRPr="00D247BE">
        <w:t>Origin Energy, Submission to key review questions</w:t>
      </w:r>
      <w:r w:rsidR="00D247BE">
        <w:t>,</w:t>
      </w:r>
      <w:r>
        <w:t xml:space="preserve"> p</w:t>
      </w:r>
      <w:r w:rsidR="00943F3F">
        <w:t>.</w:t>
      </w:r>
      <w:r w:rsidR="00D247BE">
        <w:t xml:space="preserve"> </w:t>
      </w:r>
      <w:r>
        <w:t>18.</w:t>
      </w:r>
    </w:p>
  </w:footnote>
  <w:footnote w:id="124">
    <w:p w14:paraId="351029CC" w14:textId="2CA8B451" w:rsidR="00C43F4C" w:rsidRPr="00300945" w:rsidRDefault="00C43F4C" w:rsidP="00C43F4C">
      <w:pPr>
        <w:pStyle w:val="FootnoteText"/>
        <w:rPr>
          <w:lang w:val="en-US"/>
        </w:rPr>
      </w:pPr>
      <w:r>
        <w:rPr>
          <w:rStyle w:val="FootnoteReference"/>
        </w:rPr>
        <w:footnoteRef/>
      </w:r>
      <w:r>
        <w:t xml:space="preserve"> </w:t>
      </w:r>
      <w:r>
        <w:rPr>
          <w:lang w:val="en-US"/>
        </w:rPr>
        <w:t xml:space="preserve">Origin </w:t>
      </w:r>
      <w:r w:rsidR="00943F3F" w:rsidRPr="00943F3F">
        <w:rPr>
          <w:lang w:val="en-US"/>
        </w:rPr>
        <w:t xml:space="preserve">Energy, </w:t>
      </w:r>
      <w:r w:rsidR="00D247BE" w:rsidRPr="00D247BE">
        <w:t>Submission to key review questions</w:t>
      </w:r>
      <w:r w:rsidR="00943F3F">
        <w:rPr>
          <w:lang w:val="en-US"/>
        </w:rPr>
        <w:t>.</w:t>
      </w:r>
    </w:p>
  </w:footnote>
  <w:footnote w:id="125">
    <w:p w14:paraId="186A9DC0" w14:textId="6D714B8C" w:rsidR="006B3105" w:rsidRPr="006B3105" w:rsidRDefault="006B3105">
      <w:pPr>
        <w:pStyle w:val="FootnoteText"/>
        <w:rPr>
          <w:lang w:val="en-US"/>
        </w:rPr>
      </w:pPr>
      <w:r w:rsidRPr="008B6399">
        <w:rPr>
          <w:rStyle w:val="FootnoteReference"/>
        </w:rPr>
        <w:footnoteRef/>
      </w:r>
      <w:r w:rsidRPr="008B6399">
        <w:t xml:space="preserve"> </w:t>
      </w:r>
      <w:r w:rsidRPr="008B6399">
        <w:rPr>
          <w:lang w:val="en-US"/>
        </w:rPr>
        <w:t>E</w:t>
      </w:r>
      <w:r w:rsidR="008B6399" w:rsidRPr="008B6399">
        <w:rPr>
          <w:lang w:val="en-US"/>
        </w:rPr>
        <w:t xml:space="preserve">nergy and </w:t>
      </w:r>
      <w:r w:rsidRPr="008B6399">
        <w:rPr>
          <w:lang w:val="en-US"/>
        </w:rPr>
        <w:t>W</w:t>
      </w:r>
      <w:r w:rsidR="008B6399" w:rsidRPr="008B6399">
        <w:rPr>
          <w:lang w:val="en-US"/>
        </w:rPr>
        <w:t xml:space="preserve">ater </w:t>
      </w:r>
      <w:r w:rsidRPr="008B6399">
        <w:rPr>
          <w:lang w:val="en-US"/>
        </w:rPr>
        <w:t>O</w:t>
      </w:r>
      <w:r w:rsidR="008B6399" w:rsidRPr="008B6399">
        <w:rPr>
          <w:lang w:val="en-US"/>
        </w:rPr>
        <w:t>mbudsman Victoria</w:t>
      </w:r>
      <w:r w:rsidRPr="008B6399">
        <w:rPr>
          <w:lang w:val="en-US"/>
        </w:rPr>
        <w:t xml:space="preserve">, </w:t>
      </w:r>
      <w:r w:rsidR="008B6399" w:rsidRPr="008B6399">
        <w:rPr>
          <w:lang w:val="en-US"/>
        </w:rPr>
        <w:t>‘</w:t>
      </w:r>
      <w:r w:rsidRPr="008B6399">
        <w:rPr>
          <w:lang w:val="en-US"/>
        </w:rPr>
        <w:t>Missing the Mark</w:t>
      </w:r>
      <w:r w:rsidR="008B6399" w:rsidRPr="008B6399">
        <w:rPr>
          <w:lang w:val="en-US"/>
        </w:rPr>
        <w:t>’</w:t>
      </w:r>
      <w:r w:rsidRPr="008B6399">
        <w:rPr>
          <w:lang w:val="en-US"/>
        </w:rPr>
        <w:t>, p</w:t>
      </w:r>
      <w:r w:rsidR="008B6399" w:rsidRPr="008B6399">
        <w:rPr>
          <w:lang w:val="en-US"/>
        </w:rPr>
        <w:t xml:space="preserve">. </w:t>
      </w:r>
      <w:r w:rsidRPr="008B6399">
        <w:rPr>
          <w:lang w:val="en-US"/>
        </w:rPr>
        <w:t>22.</w:t>
      </w:r>
    </w:p>
  </w:footnote>
  <w:footnote w:id="126">
    <w:p w14:paraId="48205175" w14:textId="7C1DE4C1" w:rsidR="00C43F4C" w:rsidRPr="008B4426" w:rsidRDefault="00C43F4C" w:rsidP="00C43F4C">
      <w:pPr>
        <w:pStyle w:val="FootnoteText"/>
        <w:rPr>
          <w:lang w:val="en-US"/>
        </w:rPr>
      </w:pPr>
      <w:r>
        <w:rPr>
          <w:rStyle w:val="FootnoteReference"/>
        </w:rPr>
        <w:footnoteRef/>
      </w:r>
      <w:r>
        <w:t xml:space="preserve"> </w:t>
      </w:r>
      <w:r w:rsidRPr="008B4426">
        <w:t>Alinta,</w:t>
      </w:r>
      <w:r w:rsidR="008C6D80" w:rsidRPr="008C6D80">
        <w:rPr>
          <w:lang w:val="en-US"/>
        </w:rPr>
        <w:t xml:space="preserve"> </w:t>
      </w:r>
      <w:r w:rsidR="00D247BE" w:rsidRPr="00D247BE">
        <w:t>Submission to key review questions</w:t>
      </w:r>
      <w:r w:rsidR="00D247BE">
        <w:t xml:space="preserve">, </w:t>
      </w:r>
      <w:r w:rsidRPr="008B4426">
        <w:t>p. 3</w:t>
      </w:r>
      <w:r w:rsidR="008C6D80">
        <w:t>.</w:t>
      </w:r>
    </w:p>
  </w:footnote>
  <w:footnote w:id="127">
    <w:p w14:paraId="1AE1E111" w14:textId="4DD56A63" w:rsidR="00C43F4C" w:rsidRPr="00921C9C" w:rsidRDefault="00C43F4C" w:rsidP="00C43F4C">
      <w:pPr>
        <w:pStyle w:val="FootnoteText"/>
        <w:rPr>
          <w:lang w:val="en-US"/>
        </w:rPr>
      </w:pPr>
      <w:r>
        <w:rPr>
          <w:rStyle w:val="FootnoteReference"/>
        </w:rPr>
        <w:footnoteRef/>
      </w:r>
      <w:r>
        <w:t xml:space="preserve"> </w:t>
      </w:r>
      <w:r>
        <w:rPr>
          <w:lang w:val="en-US"/>
        </w:rPr>
        <w:t xml:space="preserve">Origin, </w:t>
      </w:r>
      <w:r w:rsidR="00D247BE" w:rsidRPr="00D247BE">
        <w:t>Submission to key review questions</w:t>
      </w:r>
      <w:r w:rsidR="00D247BE">
        <w:t xml:space="preserve">; </w:t>
      </w:r>
      <w:r>
        <w:rPr>
          <w:lang w:val="en-US"/>
        </w:rPr>
        <w:t>Alinta</w:t>
      </w:r>
      <w:r w:rsidR="008C6D80">
        <w:rPr>
          <w:lang w:val="en-US"/>
        </w:rPr>
        <w:t>,</w:t>
      </w:r>
      <w:r>
        <w:rPr>
          <w:lang w:val="en-US"/>
        </w:rPr>
        <w:t xml:space="preserve"> </w:t>
      </w:r>
      <w:r w:rsidR="00D247BE" w:rsidRPr="00D247BE">
        <w:t>Submission to key review questions</w:t>
      </w:r>
      <w:r w:rsidR="00D247BE">
        <w:rPr>
          <w:lang w:val="en-US"/>
        </w:rPr>
        <w:t xml:space="preserve">; </w:t>
      </w:r>
      <w:r w:rsidR="009F48AE">
        <w:rPr>
          <w:lang w:val="en-US"/>
        </w:rPr>
        <w:t>EnergyAustralia</w:t>
      </w:r>
      <w:r w:rsidR="009F48AE" w:rsidRPr="00A63136">
        <w:rPr>
          <w:lang w:val="en-US"/>
        </w:rPr>
        <w:t>,</w:t>
      </w:r>
      <w:r w:rsidR="009F48AE">
        <w:rPr>
          <w:lang w:val="en-US"/>
        </w:rPr>
        <w:t xml:space="preserve"> submission to </w:t>
      </w:r>
      <w:r w:rsidR="009F48AE" w:rsidRPr="00A63136">
        <w:rPr>
          <w:lang w:val="en-US"/>
        </w:rPr>
        <w:t>Essential Services Commission</w:t>
      </w:r>
      <w:r w:rsidR="009F48AE">
        <w:rPr>
          <w:lang w:val="en-US"/>
        </w:rPr>
        <w:t xml:space="preserve"> key review questions</w:t>
      </w:r>
      <w:r w:rsidR="009F48AE" w:rsidRPr="00A63136">
        <w:rPr>
          <w:lang w:val="en-US"/>
        </w:rPr>
        <w:t>, November 2021</w:t>
      </w:r>
      <w:r w:rsidR="009F48AE">
        <w:rPr>
          <w:lang w:val="en-US"/>
        </w:rPr>
        <w:t>, p. 6.</w:t>
      </w:r>
    </w:p>
  </w:footnote>
  <w:footnote w:id="128">
    <w:p w14:paraId="66840604" w14:textId="41561AD9" w:rsidR="00C43F4C" w:rsidRPr="00555BE7" w:rsidRDefault="00C43F4C" w:rsidP="00C43F4C">
      <w:pPr>
        <w:pStyle w:val="FootnoteText"/>
        <w:rPr>
          <w:lang w:val="en-US"/>
        </w:rPr>
      </w:pPr>
      <w:r>
        <w:rPr>
          <w:rStyle w:val="FootnoteReference"/>
        </w:rPr>
        <w:footnoteRef/>
      </w:r>
      <w:r>
        <w:t xml:space="preserve"> </w:t>
      </w:r>
      <w:r>
        <w:rPr>
          <w:lang w:val="en-US"/>
        </w:rPr>
        <w:t>EnergyAustralia</w:t>
      </w:r>
      <w:r w:rsidR="00A63136" w:rsidRPr="00A63136">
        <w:rPr>
          <w:lang w:val="en-US"/>
        </w:rPr>
        <w:t>,</w:t>
      </w:r>
      <w:r>
        <w:rPr>
          <w:lang w:val="en-US"/>
        </w:rPr>
        <w:t xml:space="preserve"> </w:t>
      </w:r>
      <w:r w:rsidR="009F48AE" w:rsidRPr="00D247BE">
        <w:t>Submission to key review questions</w:t>
      </w:r>
      <w:r w:rsidR="009F48AE">
        <w:rPr>
          <w:lang w:val="en-US"/>
        </w:rPr>
        <w:t xml:space="preserve">, </w:t>
      </w:r>
      <w:r w:rsidR="00A83ABB">
        <w:rPr>
          <w:lang w:val="en-US"/>
        </w:rPr>
        <w:t>p. 6</w:t>
      </w:r>
      <w:r w:rsidR="00A63136">
        <w:rPr>
          <w:lang w:val="en-US"/>
        </w:rPr>
        <w:t>.</w:t>
      </w:r>
    </w:p>
  </w:footnote>
  <w:footnote w:id="129">
    <w:p w14:paraId="71E7B42C" w14:textId="5EA1B96B" w:rsidR="00C43F4C" w:rsidRPr="007A53C9" w:rsidRDefault="00C43F4C" w:rsidP="00C43F4C">
      <w:pPr>
        <w:pStyle w:val="FootnoteText"/>
        <w:rPr>
          <w:lang w:val="en-US"/>
        </w:rPr>
      </w:pPr>
      <w:r>
        <w:rPr>
          <w:rStyle w:val="FootnoteReference"/>
        </w:rPr>
        <w:footnoteRef/>
      </w:r>
      <w:r>
        <w:t xml:space="preserve"> </w:t>
      </w:r>
      <w:r>
        <w:rPr>
          <w:lang w:val="en-US"/>
        </w:rPr>
        <w:t xml:space="preserve">EnergyAustralia, </w:t>
      </w:r>
      <w:r w:rsidR="009F48AE" w:rsidRPr="00D247BE">
        <w:t>Submission to key review questions</w:t>
      </w:r>
      <w:r w:rsidR="009F48AE">
        <w:t>,</w:t>
      </w:r>
      <w:r w:rsidR="009F48AE" w:rsidRPr="00A63136">
        <w:rPr>
          <w:lang w:val="en-US"/>
        </w:rPr>
        <w:t xml:space="preserve"> </w:t>
      </w:r>
      <w:r>
        <w:rPr>
          <w:lang w:val="en-US"/>
        </w:rPr>
        <w:t>p. 6.</w:t>
      </w:r>
    </w:p>
  </w:footnote>
  <w:footnote w:id="130">
    <w:p w14:paraId="60F7EB53" w14:textId="5154F65A" w:rsidR="00C43F4C" w:rsidRPr="00AF7E1B" w:rsidRDefault="00C43F4C" w:rsidP="00C43F4C">
      <w:pPr>
        <w:pStyle w:val="FootnoteText"/>
        <w:rPr>
          <w:lang w:val="en-US"/>
        </w:rPr>
      </w:pPr>
      <w:r>
        <w:rPr>
          <w:rStyle w:val="FootnoteReference"/>
        </w:rPr>
        <w:footnoteRef/>
      </w:r>
      <w:r>
        <w:t xml:space="preserve"> </w:t>
      </w:r>
      <w:r>
        <w:rPr>
          <w:lang w:val="en-US"/>
        </w:rPr>
        <w:t>Origin</w:t>
      </w:r>
      <w:r w:rsidR="005B0F1A">
        <w:rPr>
          <w:lang w:val="en-US"/>
        </w:rPr>
        <w:t xml:space="preserve"> Energy</w:t>
      </w:r>
      <w:r w:rsidR="00A63136">
        <w:rPr>
          <w:lang w:val="en-US"/>
        </w:rPr>
        <w:t>,</w:t>
      </w:r>
      <w:r>
        <w:rPr>
          <w:lang w:val="en-US"/>
        </w:rPr>
        <w:t xml:space="preserve"> </w:t>
      </w:r>
      <w:r w:rsidR="009F48AE" w:rsidRPr="00D247BE">
        <w:t>Submission to key review questions</w:t>
      </w:r>
      <w:r w:rsidR="00A63136">
        <w:rPr>
          <w:lang w:val="en-US"/>
        </w:rPr>
        <w:t>.</w:t>
      </w:r>
    </w:p>
  </w:footnote>
  <w:footnote w:id="131">
    <w:p w14:paraId="220BCC5C" w14:textId="34E4D21B" w:rsidR="00C43F4C" w:rsidRPr="00F33B79" w:rsidRDefault="00C43F4C" w:rsidP="00C43F4C">
      <w:pPr>
        <w:pStyle w:val="FootnoteText"/>
        <w:rPr>
          <w:lang w:val="en-US"/>
        </w:rPr>
      </w:pPr>
      <w:r>
        <w:rPr>
          <w:rStyle w:val="FootnoteReference"/>
        </w:rPr>
        <w:footnoteRef/>
      </w:r>
      <w:r w:rsidR="00963CD6">
        <w:t xml:space="preserve"> Essential Services Commission,</w:t>
      </w:r>
      <w:r>
        <w:t xml:space="preserve"> </w:t>
      </w:r>
      <w:r w:rsidR="005C48D8">
        <w:rPr>
          <w:lang w:val="en-US"/>
        </w:rPr>
        <w:t>‘Payment difficulty framework: Final decision’</w:t>
      </w:r>
      <w:r w:rsidR="005C48D8" w:rsidDel="00963CD6">
        <w:rPr>
          <w:lang w:val="en-US"/>
        </w:rPr>
        <w:t>,</w:t>
      </w:r>
      <w:r w:rsidDel="00963CD6">
        <w:rPr>
          <w:lang w:val="en-US"/>
        </w:rPr>
        <w:t xml:space="preserve"> </w:t>
      </w:r>
      <w:r w:rsidR="005C48D8">
        <w:rPr>
          <w:lang w:val="en-US"/>
        </w:rPr>
        <w:t>October 2017</w:t>
      </w:r>
      <w:r>
        <w:rPr>
          <w:lang w:val="en-US"/>
        </w:rPr>
        <w:t>, p xii-xiii</w:t>
      </w:r>
      <w:r w:rsidR="005C48D8">
        <w:rPr>
          <w:lang w:val="en-US"/>
        </w:rPr>
        <w:t>.</w:t>
      </w:r>
    </w:p>
  </w:footnote>
  <w:footnote w:id="132">
    <w:p w14:paraId="39ABACE7" w14:textId="7B8B0561" w:rsidR="00C43F4C" w:rsidRPr="000E592B" w:rsidRDefault="00C43F4C" w:rsidP="00C43F4C">
      <w:pPr>
        <w:pStyle w:val="FootnoteText"/>
        <w:rPr>
          <w:lang w:val="en-US"/>
        </w:rPr>
      </w:pPr>
      <w:r>
        <w:rPr>
          <w:rStyle w:val="FootnoteReference"/>
        </w:rPr>
        <w:footnoteRef/>
      </w:r>
      <w:r>
        <w:t xml:space="preserve"> </w:t>
      </w:r>
      <w:r w:rsidR="005C48D8">
        <w:rPr>
          <w:lang w:val="en-US"/>
        </w:rPr>
        <w:t>Energy and Water Ombudsman,</w:t>
      </w:r>
      <w:r>
        <w:rPr>
          <w:lang w:val="en-US"/>
        </w:rPr>
        <w:t xml:space="preserve"> </w:t>
      </w:r>
      <w:r w:rsidR="005C48D8">
        <w:rPr>
          <w:lang w:val="en-US"/>
        </w:rPr>
        <w:t>‘</w:t>
      </w:r>
      <w:r>
        <w:t>Missing the Mark</w:t>
      </w:r>
      <w:r w:rsidR="005C48D8">
        <w:t>’</w:t>
      </w:r>
      <w:r>
        <w:rPr>
          <w:lang w:val="en-US"/>
        </w:rPr>
        <w:t>, p.</w:t>
      </w:r>
      <w:r w:rsidR="005C48D8">
        <w:rPr>
          <w:lang w:val="en-US"/>
        </w:rPr>
        <w:t xml:space="preserve"> </w:t>
      </w:r>
      <w:r>
        <w:rPr>
          <w:lang w:val="en-US"/>
        </w:rPr>
        <w:t>7</w:t>
      </w:r>
    </w:p>
  </w:footnote>
  <w:footnote w:id="133">
    <w:p w14:paraId="0A14FEB3" w14:textId="619547C0" w:rsidR="00C43F4C" w:rsidRPr="00D041D2" w:rsidRDefault="00C43F4C" w:rsidP="00C43F4C">
      <w:pPr>
        <w:pStyle w:val="FootnoteText"/>
        <w:rPr>
          <w:lang w:val="en-US"/>
        </w:rPr>
      </w:pPr>
      <w:r w:rsidRPr="00B949EC">
        <w:rPr>
          <w:rStyle w:val="FootnoteReference"/>
        </w:rPr>
        <w:footnoteRef/>
      </w:r>
      <w:r w:rsidR="006279F6" w:rsidRPr="00B949EC">
        <w:t xml:space="preserve"> </w:t>
      </w:r>
      <w:r w:rsidR="006279F6">
        <w:rPr>
          <w:lang w:val="en-US"/>
        </w:rPr>
        <w:t>C</w:t>
      </w:r>
      <w:r w:rsidR="00B949EC">
        <w:rPr>
          <w:lang w:val="en-US"/>
        </w:rPr>
        <w:t>ommunity Information and Support Victoria,</w:t>
      </w:r>
      <w:r w:rsidR="00B949EC" w:rsidRPr="00B949EC">
        <w:t xml:space="preserve"> </w:t>
      </w:r>
      <w:r w:rsidR="00B949EC" w:rsidRPr="0033522A">
        <w:t xml:space="preserve">Submission </w:t>
      </w:r>
      <w:r w:rsidR="00613E74">
        <w:t>key review questions</w:t>
      </w:r>
      <w:r w:rsidR="00BB74A5">
        <w:t>;</w:t>
      </w:r>
      <w:r w:rsidR="006279F6">
        <w:rPr>
          <w:lang w:val="en-US"/>
        </w:rPr>
        <w:t xml:space="preserve"> </w:t>
      </w:r>
      <w:r w:rsidR="00B949EC">
        <w:rPr>
          <w:lang w:val="en-US"/>
        </w:rPr>
        <w:t xml:space="preserve">Consumer Action Law Centre, </w:t>
      </w:r>
      <w:r w:rsidR="00BB74A5" w:rsidRPr="00D247BE">
        <w:t>Submission to key review questions</w:t>
      </w:r>
      <w:r w:rsidR="00525EB3">
        <w:t>.</w:t>
      </w:r>
    </w:p>
  </w:footnote>
  <w:footnote w:id="134">
    <w:p w14:paraId="70B8F9B5" w14:textId="46ACD923" w:rsidR="00EF7691" w:rsidRPr="00EF7691" w:rsidRDefault="00EF7691">
      <w:pPr>
        <w:pStyle w:val="FootnoteText"/>
        <w:rPr>
          <w:lang w:val="en-US"/>
        </w:rPr>
      </w:pPr>
      <w:r>
        <w:rPr>
          <w:rStyle w:val="FootnoteReference"/>
        </w:rPr>
        <w:footnoteRef/>
      </w:r>
      <w:r>
        <w:t xml:space="preserve"> T</w:t>
      </w:r>
      <w:r w:rsidRPr="00EF7691">
        <w:t>his does</w:t>
      </w:r>
      <w:r>
        <w:t xml:space="preserve"> </w:t>
      </w:r>
      <w:r w:rsidRPr="00EF7691">
        <w:t>n</w:t>
      </w:r>
      <w:r>
        <w:t>o</w:t>
      </w:r>
      <w:r w:rsidRPr="00EF7691">
        <w:t>t account for some customer</w:t>
      </w:r>
      <w:r>
        <w:t>s</w:t>
      </w:r>
      <w:r w:rsidRPr="00EF7691">
        <w:t xml:space="preserve"> that </w:t>
      </w:r>
      <w:r>
        <w:t>may have been</w:t>
      </w:r>
      <w:r w:rsidRPr="00EF7691">
        <w:t xml:space="preserve"> disconnected multiple times over this period</w:t>
      </w:r>
      <w:r>
        <w:t>.</w:t>
      </w:r>
    </w:p>
  </w:footnote>
  <w:footnote w:id="135">
    <w:p w14:paraId="627BD844" w14:textId="2710A3FB" w:rsidR="00C43F4C" w:rsidRPr="00D57716" w:rsidRDefault="00C43F4C" w:rsidP="00C43F4C">
      <w:pPr>
        <w:pStyle w:val="FootnoteText"/>
        <w:rPr>
          <w:lang w:val="en-GB"/>
        </w:rPr>
      </w:pPr>
      <w:r>
        <w:rPr>
          <w:rStyle w:val="FootnoteReference"/>
        </w:rPr>
        <w:footnoteRef/>
      </w:r>
      <w:r>
        <w:t xml:space="preserve"> </w:t>
      </w:r>
      <w:r w:rsidR="00E05B12">
        <w:rPr>
          <w:lang w:val="en-GB"/>
        </w:rPr>
        <w:t>Energy Retail Code of Practice,</w:t>
      </w:r>
      <w:r w:rsidR="00E05B12" w:rsidRPr="00E05B12">
        <w:rPr>
          <w:lang w:val="en-GB"/>
        </w:rPr>
        <w:t xml:space="preserve"> </w:t>
      </w:r>
      <w:r w:rsidR="00E05B12">
        <w:rPr>
          <w:lang w:val="en-GB"/>
        </w:rPr>
        <w:t xml:space="preserve">clause </w:t>
      </w:r>
      <w:r>
        <w:rPr>
          <w:lang w:val="en-GB"/>
        </w:rPr>
        <w:t>185(1)(d</w:t>
      </w:r>
      <w:r w:rsidR="00E05B12">
        <w:rPr>
          <w:lang w:val="en-GB"/>
        </w:rPr>
        <w:t>)</w:t>
      </w:r>
      <w:r>
        <w:rPr>
          <w:lang w:val="en-GB"/>
        </w:rPr>
        <w:t xml:space="preserve">; also see definition of “disconnection warning period” in </w:t>
      </w:r>
      <w:r w:rsidR="00240A95">
        <w:rPr>
          <w:lang w:val="en-GB"/>
        </w:rPr>
        <w:t xml:space="preserve">the </w:t>
      </w:r>
      <w:r w:rsidR="00E05B12">
        <w:rPr>
          <w:lang w:val="en-GB"/>
        </w:rPr>
        <w:t>Energy Retail Code of Practice</w:t>
      </w:r>
      <w:r>
        <w:rPr>
          <w:lang w:val="en-GB"/>
        </w:rPr>
        <w:t xml:space="preserve"> clause 181.</w:t>
      </w:r>
    </w:p>
  </w:footnote>
  <w:footnote w:id="136">
    <w:p w14:paraId="44248E3B" w14:textId="4361E1B4" w:rsidR="00C43F4C" w:rsidRPr="00B14B79" w:rsidRDefault="00C43F4C" w:rsidP="00C43F4C">
      <w:pPr>
        <w:pStyle w:val="FootnoteText"/>
        <w:rPr>
          <w:lang w:val="en-US"/>
        </w:rPr>
      </w:pPr>
      <w:r>
        <w:rPr>
          <w:rStyle w:val="FootnoteReference"/>
        </w:rPr>
        <w:footnoteRef/>
      </w:r>
      <w:r>
        <w:t xml:space="preserve"> </w:t>
      </w:r>
      <w:r w:rsidR="00E05B12">
        <w:rPr>
          <w:lang w:val="en-GB"/>
        </w:rPr>
        <w:t>Energy Retail Code of Practice,</w:t>
      </w:r>
      <w:r w:rsidR="00E05B12">
        <w:rPr>
          <w:lang w:val="en-US"/>
        </w:rPr>
        <w:t xml:space="preserve"> c</w:t>
      </w:r>
      <w:r>
        <w:rPr>
          <w:lang w:val="en-US"/>
        </w:rPr>
        <w:t>lause 185(1)(c)</w:t>
      </w:r>
      <w:r w:rsidR="00E05B12">
        <w:rPr>
          <w:lang w:val="en-US"/>
        </w:rPr>
        <w:t>.</w:t>
      </w:r>
    </w:p>
  </w:footnote>
  <w:footnote w:id="137">
    <w:p w14:paraId="49714BFE" w14:textId="32F788A6" w:rsidR="00C43F4C" w:rsidRPr="00F1375D" w:rsidRDefault="00C43F4C" w:rsidP="00C43F4C">
      <w:pPr>
        <w:pStyle w:val="FootnoteText"/>
        <w:rPr>
          <w:lang w:val="en-US"/>
        </w:rPr>
      </w:pPr>
      <w:r>
        <w:rPr>
          <w:rStyle w:val="FootnoteReference"/>
        </w:rPr>
        <w:footnoteRef/>
      </w:r>
      <w:r>
        <w:t xml:space="preserve"> </w:t>
      </w:r>
      <w:r w:rsidR="00902528" w:rsidRPr="00902528">
        <w:t>ORIMA Research, ‘Essential Services Commission Payment Difficulty Framework: Call recordings study’, May 2022,</w:t>
      </w:r>
      <w:r>
        <w:rPr>
          <w:lang w:val="en-US"/>
        </w:rPr>
        <w:t xml:space="preserve"> p</w:t>
      </w:r>
      <w:r w:rsidR="00282183">
        <w:rPr>
          <w:lang w:val="en-US"/>
        </w:rPr>
        <w:t xml:space="preserve">. </w:t>
      </w:r>
      <w:r>
        <w:rPr>
          <w:lang w:val="en-US"/>
        </w:rPr>
        <w:t>16.</w:t>
      </w:r>
    </w:p>
  </w:footnote>
  <w:footnote w:id="138">
    <w:p w14:paraId="1A7D31F5" w14:textId="79729F75" w:rsidR="00C43F4C" w:rsidRPr="008364EB" w:rsidRDefault="00C43F4C" w:rsidP="00C43F4C">
      <w:pPr>
        <w:pStyle w:val="FootnoteText"/>
        <w:rPr>
          <w:lang w:val="en-US"/>
        </w:rPr>
      </w:pPr>
      <w:r>
        <w:rPr>
          <w:rStyle w:val="FootnoteReference"/>
        </w:rPr>
        <w:footnoteRef/>
      </w:r>
      <w:r>
        <w:t xml:space="preserve"> Origin </w:t>
      </w:r>
      <w:r w:rsidR="00282183" w:rsidRPr="00282183">
        <w:t xml:space="preserve">Energy, </w:t>
      </w:r>
      <w:r w:rsidR="00BB74A5" w:rsidRPr="00D247BE">
        <w:t>Submission to key review questions</w:t>
      </w:r>
      <w:r w:rsidR="00BB74A5">
        <w:t xml:space="preserve">, </w:t>
      </w:r>
      <w:r>
        <w:t>p</w:t>
      </w:r>
      <w:r w:rsidR="00282183">
        <w:t xml:space="preserve">. </w:t>
      </w:r>
      <w:r>
        <w:t>6</w:t>
      </w:r>
      <w:r w:rsidR="00282183">
        <w:t>;</w:t>
      </w:r>
      <w:r>
        <w:t xml:space="preserve"> AGL</w:t>
      </w:r>
      <w:r w:rsidR="00BB74A5">
        <w:t xml:space="preserve">, </w:t>
      </w:r>
      <w:r w:rsidR="00BB74A5" w:rsidRPr="00D247BE">
        <w:t>Submission to key review questions</w:t>
      </w:r>
      <w:r w:rsidR="0050476E">
        <w:t xml:space="preserve">, </w:t>
      </w:r>
      <w:r>
        <w:t>p</w:t>
      </w:r>
      <w:r w:rsidR="00282183">
        <w:t xml:space="preserve">. </w:t>
      </w:r>
      <w:r>
        <w:t>12</w:t>
      </w:r>
      <w:r w:rsidR="0050476E">
        <w:t xml:space="preserve">. </w:t>
      </w:r>
      <w:r w:rsidR="00282183">
        <w:t>AGL</w:t>
      </w:r>
      <w:r>
        <w:t xml:space="preserve"> particularly noted a 40 per cent reduction in customers contacting </w:t>
      </w:r>
      <w:r w:rsidR="00282183">
        <w:t>them</w:t>
      </w:r>
      <w:r>
        <w:t xml:space="preserve"> to make a payment on their bill</w:t>
      </w:r>
      <w:r w:rsidR="00E05B12">
        <w:t>.</w:t>
      </w:r>
    </w:p>
  </w:footnote>
  <w:footnote w:id="139">
    <w:p w14:paraId="4FF23FF2" w14:textId="463AAAE1" w:rsidR="00C43F4C" w:rsidRPr="00251D25" w:rsidRDefault="00C43F4C" w:rsidP="00C43F4C">
      <w:pPr>
        <w:pStyle w:val="FootnoteText"/>
        <w:rPr>
          <w:lang w:val="en-US"/>
        </w:rPr>
      </w:pPr>
      <w:r>
        <w:rPr>
          <w:rStyle w:val="FootnoteReference"/>
        </w:rPr>
        <w:footnoteRef/>
      </w:r>
      <w:r>
        <w:t xml:space="preserve"> </w:t>
      </w:r>
      <w:r>
        <w:rPr>
          <w:lang w:val="en-US"/>
        </w:rPr>
        <w:t xml:space="preserve">Guidance note 7 (2020): </w:t>
      </w:r>
      <w:r w:rsidRPr="00AC27DE">
        <w:rPr>
          <w:lang w:val="en-US"/>
        </w:rPr>
        <w:t>Preventing disconnections of customers receiving assistance under Part 3: clause 116(1)(d)</w:t>
      </w:r>
      <w:r>
        <w:rPr>
          <w:lang w:val="en-US"/>
        </w:rPr>
        <w:t>, published on 28 October 2020</w:t>
      </w:r>
      <w:r w:rsidR="00623A0E">
        <w:rPr>
          <w:lang w:val="en-US"/>
        </w:rPr>
        <w:t xml:space="preserve">, </w:t>
      </w:r>
      <w:r w:rsidR="00623A0E" w:rsidRPr="00623A0E">
        <w:rPr>
          <w:lang w:val="en-US"/>
        </w:rPr>
        <w:t>https://www.esc.vic.gov.au/electricity-and-gas/codes-guidelines-and-policies/energy-retail-code/guidance-note-7-2020-preventing-disconnections-customers-receiving-assistance-under-part-3-clause</w:t>
      </w:r>
    </w:p>
  </w:footnote>
  <w:footnote w:id="140">
    <w:p w14:paraId="1B8C0CBF" w14:textId="77777777" w:rsidR="00C43F4C" w:rsidRPr="0057564E" w:rsidRDefault="00C43F4C" w:rsidP="00C43F4C">
      <w:pPr>
        <w:pStyle w:val="FootnoteText"/>
        <w:rPr>
          <w:lang w:val="en-US"/>
        </w:rPr>
      </w:pPr>
      <w:r>
        <w:rPr>
          <w:rStyle w:val="FootnoteReference"/>
        </w:rPr>
        <w:footnoteRef/>
      </w:r>
      <w:r>
        <w:t xml:space="preserve"> </w:t>
      </w:r>
      <w:r>
        <w:rPr>
          <w:lang w:val="en-US"/>
        </w:rPr>
        <w:t>This result was particularly apparent during 2019 prior to the pandemic. After the lifting of movement restrictions in Victoria, retailers resumed disconnections, retailers noted an initial focus on customers who had not engaged for some time. This proportion rose to 76 per cent of customers from 2020-21 and 2021-22.</w:t>
      </w:r>
    </w:p>
  </w:footnote>
  <w:footnote w:id="141">
    <w:p w14:paraId="66D1A917" w14:textId="2391A61F" w:rsidR="00C43F4C" w:rsidRPr="002F4F48" w:rsidRDefault="00C43F4C" w:rsidP="00C43F4C">
      <w:pPr>
        <w:pStyle w:val="FootnoteText"/>
        <w:rPr>
          <w:lang w:val="en-US"/>
        </w:rPr>
      </w:pPr>
      <w:r>
        <w:rPr>
          <w:rStyle w:val="FootnoteReference"/>
        </w:rPr>
        <w:footnoteRef/>
      </w:r>
      <w:r w:rsidR="0050476E">
        <w:t xml:space="preserve"> </w:t>
      </w:r>
      <w:r w:rsidR="003856E1">
        <w:fldChar w:fldCharType="begin"/>
      </w:r>
      <w:r w:rsidR="003856E1">
        <w:instrText xml:space="preserve"> REF _Ref103956397 \h </w:instrText>
      </w:r>
      <w:r w:rsidR="003856E1">
        <w:fldChar w:fldCharType="separate"/>
      </w:r>
      <w:r w:rsidR="00357DD7">
        <w:t>Appendix 3: Early observations workshop report</w:t>
      </w:r>
      <w:r w:rsidR="003856E1">
        <w:fldChar w:fldCharType="end"/>
      </w:r>
      <w:r w:rsidR="00480722">
        <w:t>.</w:t>
      </w:r>
    </w:p>
  </w:footnote>
  <w:footnote w:id="142">
    <w:p w14:paraId="1450CFEB" w14:textId="2762397C" w:rsidR="00C43F4C" w:rsidRPr="00AA1A90" w:rsidRDefault="00C43F4C" w:rsidP="00C43F4C">
      <w:pPr>
        <w:pStyle w:val="FootnoteText"/>
        <w:rPr>
          <w:lang w:val="en-US"/>
        </w:rPr>
      </w:pPr>
      <w:r>
        <w:rPr>
          <w:rStyle w:val="FootnoteReference"/>
        </w:rPr>
        <w:footnoteRef/>
      </w:r>
      <w:r>
        <w:t xml:space="preserve"> </w:t>
      </w:r>
      <w:r w:rsidR="0050476E" w:rsidRPr="00623A0E">
        <w:rPr>
          <w:lang w:val="en-US"/>
        </w:rPr>
        <w:t xml:space="preserve">Essential Services Commission, </w:t>
      </w:r>
      <w:r w:rsidR="00623A0E" w:rsidRPr="00623A0E">
        <w:rPr>
          <w:lang w:val="en-US"/>
        </w:rPr>
        <w:t>‘Payment difficulty framework: Final decision’, October 2017</w:t>
      </w:r>
      <w:r>
        <w:rPr>
          <w:lang w:val="en-US"/>
        </w:rPr>
        <w:t>, p</w:t>
      </w:r>
      <w:r w:rsidR="00623A0E">
        <w:rPr>
          <w:lang w:val="en-US"/>
        </w:rPr>
        <w:t xml:space="preserve">. </w:t>
      </w:r>
      <w:r>
        <w:rPr>
          <w:lang w:val="en-US"/>
        </w:rPr>
        <w:t>80.</w:t>
      </w:r>
    </w:p>
  </w:footnote>
  <w:footnote w:id="143">
    <w:p w14:paraId="7B4527CF" w14:textId="493EC7C9" w:rsidR="00C43F4C" w:rsidRPr="007A31EC" w:rsidRDefault="00C43F4C" w:rsidP="00C43F4C">
      <w:pPr>
        <w:pStyle w:val="FootnoteText"/>
        <w:rPr>
          <w:lang w:val="en-US"/>
        </w:rPr>
      </w:pPr>
      <w:r>
        <w:rPr>
          <w:rStyle w:val="FootnoteReference"/>
        </w:rPr>
        <w:footnoteRef/>
      </w:r>
      <w:r>
        <w:t xml:space="preserve"> </w:t>
      </w:r>
      <w:r w:rsidR="009D78AB" w:rsidRPr="009D78AB">
        <w:t>Dr Larissa Nicholls and Dr Kari Dahlgren, ‘Consumer experiences following energy market reforms in Victoria</w:t>
      </w:r>
      <w:r w:rsidR="00864F63">
        <w:t>’,</w:t>
      </w:r>
      <w:r w:rsidR="009D78AB" w:rsidRPr="009D78AB">
        <w:t xml:space="preserve"> p. 4</w:t>
      </w:r>
      <w:r w:rsidR="009D78AB">
        <w:t>3</w:t>
      </w:r>
      <w:r w:rsidR="009D78AB" w:rsidRPr="009D78AB">
        <w:t>.</w:t>
      </w:r>
    </w:p>
  </w:footnote>
  <w:footnote w:id="144">
    <w:p w14:paraId="2BD5BD7B" w14:textId="05900C59" w:rsidR="008573E7" w:rsidRPr="00A6678C" w:rsidRDefault="008573E7" w:rsidP="008573E7">
      <w:pPr>
        <w:pStyle w:val="FootnoteText"/>
        <w:rPr>
          <w:lang w:val="en-US"/>
        </w:rPr>
      </w:pPr>
      <w:r>
        <w:rPr>
          <w:rStyle w:val="FootnoteReference"/>
        </w:rPr>
        <w:footnoteRef/>
      </w:r>
      <w:r>
        <w:t xml:space="preserve"> Essential Services Commission,</w:t>
      </w:r>
      <w:r>
        <w:rPr>
          <w:lang w:val="en-US"/>
        </w:rPr>
        <w:t xml:space="preserve"> </w:t>
      </w:r>
      <w:hyperlink r:id="rId2" w:history="1">
        <w:r w:rsidRPr="00AA6657">
          <w:rPr>
            <w:rStyle w:val="Hyperlink"/>
            <w:lang w:val="en-US"/>
          </w:rPr>
          <w:t>Preliminary findings webinar slides and poll results</w:t>
        </w:r>
      </w:hyperlink>
      <w:r>
        <w:rPr>
          <w:lang w:val="en-US"/>
        </w:rPr>
        <w:t>, 7 April 2022</w:t>
      </w:r>
      <w:r w:rsidR="00AA6657">
        <w:rPr>
          <w:lang w:val="en-US"/>
        </w:rPr>
        <w:t>.</w:t>
      </w:r>
      <w:r>
        <w:rPr>
          <w:lang w:val="en-US"/>
        </w:rPr>
        <w:t xml:space="preserve"> </w:t>
      </w:r>
    </w:p>
  </w:footnote>
  <w:footnote w:id="145">
    <w:p w14:paraId="422EE5EA" w14:textId="77777777" w:rsidR="00B03388" w:rsidRPr="004D7BC2" w:rsidRDefault="00B03388" w:rsidP="00B03388">
      <w:pPr>
        <w:pStyle w:val="FootnoteText"/>
        <w:rPr>
          <w:lang w:val="en-US"/>
        </w:rPr>
      </w:pPr>
      <w:r>
        <w:rPr>
          <w:rStyle w:val="FootnoteReference"/>
        </w:rPr>
        <w:footnoteRef/>
      </w:r>
      <w:r>
        <w:t xml:space="preserve"> </w:t>
      </w:r>
      <w:r>
        <w:rPr>
          <w:lang w:val="en-US"/>
        </w:rPr>
        <w:t xml:space="preserve">With regards to key finding 1, </w:t>
      </w:r>
      <w:r w:rsidRPr="004D7BC2">
        <w:rPr>
          <w:lang w:val="en-US"/>
        </w:rPr>
        <w:t xml:space="preserve">we consider that the </w:t>
      </w:r>
      <w:r>
        <w:rPr>
          <w:lang w:val="en-US"/>
        </w:rPr>
        <w:t xml:space="preserve">identified </w:t>
      </w:r>
      <w:r w:rsidRPr="004D7BC2">
        <w:rPr>
          <w:lang w:val="en-US"/>
        </w:rPr>
        <w:t xml:space="preserve">areas for improvement would </w:t>
      </w:r>
      <w:r>
        <w:rPr>
          <w:lang w:val="en-US"/>
        </w:rPr>
        <w:t>help the i</w:t>
      </w:r>
      <w:r w:rsidRPr="004D7BC2">
        <w:rPr>
          <w:lang w:val="en-US"/>
        </w:rPr>
        <w:t xml:space="preserve">mplementation of the framework </w:t>
      </w:r>
      <w:r>
        <w:rPr>
          <w:lang w:val="en-US"/>
        </w:rPr>
        <w:t xml:space="preserve">in further </w:t>
      </w:r>
      <w:r w:rsidRPr="004D7BC2">
        <w:rPr>
          <w:lang w:val="en-US"/>
        </w:rPr>
        <w:t>meeting its objectives</w:t>
      </w:r>
      <w:r>
        <w:rPr>
          <w:lang w:val="en-US"/>
        </w:rPr>
        <w:t>.</w:t>
      </w:r>
    </w:p>
  </w:footnote>
  <w:footnote w:id="146">
    <w:p w14:paraId="1C370D77" w14:textId="77777777" w:rsidR="00B03388" w:rsidRPr="00ED315D" w:rsidRDefault="00B03388" w:rsidP="00B03388">
      <w:pPr>
        <w:pStyle w:val="FootnoteText"/>
        <w:rPr>
          <w:lang w:val="en-US"/>
        </w:rPr>
      </w:pPr>
      <w:r>
        <w:rPr>
          <w:rStyle w:val="FootnoteReference"/>
        </w:rPr>
        <w:footnoteRef/>
      </w:r>
      <w:r>
        <w:t xml:space="preserve"> </w:t>
      </w:r>
      <w:r w:rsidRPr="00F86415">
        <w:t>The examples provided include those advocated by stakeholders through our engagement on this review. We do not necessarily advocate the use of the examples given but seek to use these as a starting point for discussion in our engagement with stakeholders in the next phase of the review.</w:t>
      </w:r>
    </w:p>
  </w:footnote>
  <w:footnote w:id="147">
    <w:p w14:paraId="38DCE968" w14:textId="761451C4" w:rsidR="000D4F18" w:rsidRPr="00746B01" w:rsidRDefault="000D4F18">
      <w:pPr>
        <w:pStyle w:val="FootnoteText"/>
        <w:rPr>
          <w:lang w:val="en-US"/>
        </w:rPr>
      </w:pPr>
      <w:r>
        <w:rPr>
          <w:rStyle w:val="FootnoteReference"/>
        </w:rPr>
        <w:footnoteRef/>
      </w:r>
      <w:r>
        <w:t xml:space="preserve"> </w:t>
      </w:r>
      <w:r w:rsidR="00746B01">
        <w:t xml:space="preserve">Guidance notes and </w:t>
      </w:r>
      <w:r w:rsidR="00746B01">
        <w:rPr>
          <w:lang w:val="en-US"/>
        </w:rPr>
        <w:t xml:space="preserve">guidelines are </w:t>
      </w:r>
      <w:r w:rsidR="00460AC8">
        <w:rPr>
          <w:lang w:val="en-US"/>
        </w:rPr>
        <w:t xml:space="preserve">available on our website at: </w:t>
      </w:r>
      <w:hyperlink r:id="rId3" w:anchor="tabs-container4" w:history="1">
        <w:r w:rsidR="00746B01" w:rsidRPr="009148E8">
          <w:rPr>
            <w:rStyle w:val="Hyperlink"/>
            <w:lang w:val="en-US"/>
          </w:rPr>
          <w:t>https://www.esc.vic.gov.au/electricity-and-gas/codes-guidelines-and-policies/energy-retail-code-practice#tabs-container4</w:t>
        </w:r>
      </w:hyperlink>
      <w:r w:rsidR="00746B01">
        <w:rPr>
          <w:lang w:val="en-US"/>
        </w:rPr>
        <w:t xml:space="preserve"> </w:t>
      </w:r>
    </w:p>
  </w:footnote>
  <w:footnote w:id="148">
    <w:p w14:paraId="0C653C38" w14:textId="12BB8513" w:rsidR="002F542B" w:rsidRPr="000D4F18" w:rsidRDefault="002F542B">
      <w:pPr>
        <w:pStyle w:val="FootnoteText"/>
        <w:rPr>
          <w:lang w:val="en-US"/>
        </w:rPr>
      </w:pPr>
      <w:r>
        <w:rPr>
          <w:rStyle w:val="FootnoteReference"/>
        </w:rPr>
        <w:footnoteRef/>
      </w:r>
      <w:r>
        <w:t xml:space="preserve"> </w:t>
      </w:r>
      <w:r>
        <w:rPr>
          <w:lang w:val="en-US"/>
        </w:rPr>
        <w:t xml:space="preserve">Essential Services Commission, </w:t>
      </w:r>
      <w:r w:rsidR="000D4F18">
        <w:rPr>
          <w:lang w:val="en-US"/>
        </w:rPr>
        <w:t xml:space="preserve">‘Compliance and enforcement policy’, April 2022, </w:t>
      </w:r>
      <w:hyperlink r:id="rId4" w:history="1">
        <w:r w:rsidR="00460AC8" w:rsidRPr="00F70C89">
          <w:rPr>
            <w:rStyle w:val="Hyperlink"/>
            <w:lang w:val="en-US"/>
          </w:rPr>
          <w:t>https://www.esc.vic.gov.au/electricity-and-gas/codes-guidelines-and-policies/compliance-and-enforcement-policy</w:t>
        </w:r>
      </w:hyperlink>
      <w:r w:rsidR="00460AC8">
        <w:rPr>
          <w:lang w:val="en-US"/>
        </w:rPr>
        <w:t xml:space="preserve"> </w:t>
      </w:r>
      <w:r w:rsidR="000D4F18">
        <w:rPr>
          <w:lang w:val="en-US"/>
        </w:rPr>
        <w:t xml:space="preserve"> </w:t>
      </w:r>
    </w:p>
  </w:footnote>
  <w:footnote w:id="149">
    <w:p w14:paraId="4E1B8DA5" w14:textId="1B973586" w:rsidR="002A3C51" w:rsidRPr="006D2C40" w:rsidRDefault="002A3C51" w:rsidP="0057340F">
      <w:pPr>
        <w:pStyle w:val="FootnoteText"/>
        <w:rPr>
          <w:lang w:val="en-US"/>
        </w:rPr>
      </w:pPr>
      <w:r w:rsidRPr="004C67D7">
        <w:rPr>
          <w:rStyle w:val="FootnoteReference"/>
        </w:rPr>
        <w:footnoteRef/>
      </w:r>
      <w:r w:rsidRPr="004C67D7">
        <w:t xml:space="preserve"> </w:t>
      </w:r>
      <w:r w:rsidR="0057340F" w:rsidRPr="004C67D7">
        <w:rPr>
          <w:lang w:val="en-US"/>
        </w:rPr>
        <w:t xml:space="preserve">Essential Services Commission, </w:t>
      </w:r>
      <w:r w:rsidR="004449F9">
        <w:rPr>
          <w:lang w:val="en-US"/>
        </w:rPr>
        <w:t>‘</w:t>
      </w:r>
      <w:r w:rsidR="0057340F" w:rsidRPr="004449F9">
        <w:rPr>
          <w:lang w:val="en-US"/>
        </w:rPr>
        <w:t>Compliance and Performance Reporting Guideline – Version 7</w:t>
      </w:r>
      <w:r w:rsidR="004449F9">
        <w:rPr>
          <w:lang w:val="en-US"/>
        </w:rPr>
        <w:t>’</w:t>
      </w:r>
      <w:r w:rsidR="0057340F" w:rsidRPr="004C67D7">
        <w:rPr>
          <w:lang w:val="en-US"/>
        </w:rPr>
        <w:t>, 16 February 2022 (corrigendum 27 April 2022)</w:t>
      </w:r>
      <w:r w:rsidR="004503CB">
        <w:rPr>
          <w:lang w:val="en-US"/>
        </w:rPr>
        <w:t>.</w:t>
      </w:r>
      <w:r w:rsidR="0016231F">
        <w:rPr>
          <w:lang w:val="en-US"/>
        </w:rPr>
        <w:t xml:space="preserve"> </w:t>
      </w:r>
    </w:p>
  </w:footnote>
  <w:footnote w:id="150">
    <w:p w14:paraId="1215DE77" w14:textId="62B5A2B0" w:rsidR="002A3C51" w:rsidRPr="006D2C40" w:rsidRDefault="002A3C51" w:rsidP="002A3C51">
      <w:pPr>
        <w:pStyle w:val="FootnoteText"/>
        <w:rPr>
          <w:lang w:val="en-US"/>
        </w:rPr>
      </w:pPr>
      <w:r>
        <w:rPr>
          <w:rStyle w:val="FootnoteReference"/>
        </w:rPr>
        <w:footnoteRef/>
      </w:r>
      <w:r>
        <w:t xml:space="preserve"> </w:t>
      </w:r>
      <w:r w:rsidR="003254F1">
        <w:t>‘</w:t>
      </w:r>
      <w:r w:rsidR="003254F1" w:rsidRPr="004449F9">
        <w:t>Electricity market monitoring 2018-2025</w:t>
      </w:r>
      <w:r w:rsidR="003254F1">
        <w:t xml:space="preserve">’, </w:t>
      </w:r>
      <w:r w:rsidR="004503CB">
        <w:t>Australian Competition and Consumer Commission</w:t>
      </w:r>
      <w:r w:rsidR="004449F9">
        <w:t xml:space="preserve">, </w:t>
      </w:r>
      <w:r w:rsidR="003254F1">
        <w:t xml:space="preserve">accessed 31 May 2022, </w:t>
      </w:r>
      <w:hyperlink r:id="rId5" w:history="1">
        <w:r w:rsidR="005B0F1A" w:rsidRPr="00F70C89">
          <w:rPr>
            <w:rStyle w:val="Hyperlink"/>
          </w:rPr>
          <w:t>https://www.accc.gov.au/regulated-infrastructure/energy/electricity-market-monitoring-2018-2025</w:t>
        </w:r>
      </w:hyperlink>
      <w:r w:rsidR="003254F1">
        <w:t xml:space="preserve">. </w:t>
      </w:r>
      <w:r w:rsidR="004449F9">
        <w:rPr>
          <w:rStyle w:val="Hyperlink"/>
        </w:rPr>
        <w:t xml:space="preserve"> </w:t>
      </w:r>
    </w:p>
  </w:footnote>
  <w:footnote w:id="151">
    <w:p w14:paraId="18125FFB" w14:textId="77777777" w:rsidR="003A5D6C" w:rsidRPr="0073246B" w:rsidRDefault="003A5D6C" w:rsidP="003A5D6C">
      <w:pPr>
        <w:pStyle w:val="FootnoteText"/>
        <w:rPr>
          <w:lang w:val="en-US"/>
        </w:rPr>
      </w:pPr>
      <w:r>
        <w:rPr>
          <w:rStyle w:val="FootnoteReference"/>
        </w:rPr>
        <w:footnoteRef/>
      </w:r>
      <w:r>
        <w:t xml:space="preserve"> Eligible customers are those with a valid Pensioner Concession Card, Health Care Card or Veterans’ Affairs Gold Card, and low-income households. The main energy concessions include an annual electricity concession for 17.5 per cent off a bill (applied all year), and a winter gas concession of 17.5 per cent (applied between 1 May to 31 October).</w:t>
      </w:r>
      <w:r>
        <w:tab/>
        <w:t xml:space="preserve"> Data from the Department of Families, Fairness and Housing.</w:t>
      </w:r>
    </w:p>
  </w:footnote>
  <w:footnote w:id="152">
    <w:p w14:paraId="1378DE7E" w14:textId="77777777" w:rsidR="00E21638" w:rsidRPr="00F67A39" w:rsidRDefault="00E21638" w:rsidP="00E21638">
      <w:pPr>
        <w:pStyle w:val="FootnoteText"/>
        <w:rPr>
          <w:lang w:val="en-US"/>
        </w:rPr>
      </w:pPr>
      <w:r>
        <w:rPr>
          <w:rStyle w:val="FootnoteReference"/>
        </w:rPr>
        <w:footnoteRef/>
      </w:r>
      <w:r>
        <w:t xml:space="preserve"> </w:t>
      </w:r>
      <w:r>
        <w:rPr>
          <w:lang w:val="en-US"/>
        </w:rPr>
        <w:t>There are three local area retailers, who are the default retailer for certain geographical locations in Victoria – these are AGL, EnergyAustralia, and Origin Energy.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048CE" w14:textId="77777777" w:rsidR="00357DD7" w:rsidRDefault="00357D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447CE" w14:textId="77777777" w:rsidR="002A3C51" w:rsidRDefault="002A3C5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86B6F" w14:textId="205B57DC" w:rsidR="002A3C51" w:rsidRDefault="002A3C5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A5724" w14:textId="77777777" w:rsidR="002A3C51" w:rsidRDefault="002A3C5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60B0" w14:textId="05772128" w:rsidR="003A30F3" w:rsidRPr="00633068" w:rsidRDefault="00357DD7" w:rsidP="00633068">
    <w:pPr>
      <w:pStyle w:val="Header"/>
      <w:tabs>
        <w:tab w:val="clear" w:pos="4680"/>
        <w:tab w:val="clear" w:pos="9360"/>
        <w:tab w:val="left" w:pos="2236"/>
      </w:tabs>
    </w:pPr>
    <w:r>
      <w:rPr>
        <w:noProof/>
      </w:rPr>
      <mc:AlternateContent>
        <mc:Choice Requires="wps">
          <w:drawing>
            <wp:anchor distT="0" distB="0" distL="114300" distR="114300" simplePos="0" relativeHeight="251659268" behindDoc="0" locked="1" layoutInCell="0" allowOverlap="1" wp14:anchorId="463FB381" wp14:editId="02DC760F">
              <wp:simplePos x="0" y="0"/>
              <wp:positionH relativeFrom="margin">
                <wp:align>center</wp:align>
              </wp:positionH>
              <wp:positionV relativeFrom="topMargin">
                <wp:align>center</wp:align>
              </wp:positionV>
              <wp:extent cx="892175" cy="546100"/>
              <wp:effectExtent l="0" t="0" r="0" b="6350"/>
              <wp:wrapNone/>
              <wp:docPr id="76" name="janusSEAL SC Header_S_16"/>
              <wp:cNvGraphicFramePr/>
              <a:graphic xmlns:a="http://schemas.openxmlformats.org/drawingml/2006/main">
                <a:graphicData uri="http://schemas.microsoft.com/office/word/2010/wordprocessingShape">
                  <wps:wsp>
                    <wps:cNvSpPr txBox="1"/>
                    <wps:spPr>
                      <a:xfrm>
                        <a:off x="0" y="0"/>
                        <a:ext cx="892175" cy="5461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23C8B6" w14:textId="327094E7" w:rsidR="00357DD7" w:rsidRPr="00357DD7" w:rsidRDefault="00357DD7" w:rsidP="00357DD7">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63FB381" id="_x0000_t202" coordsize="21600,21600" o:spt="202" path="m,l,21600r21600,l21600,xe">
              <v:stroke joinstyle="miter"/>
              <v:path gradientshapeok="t" o:connecttype="rect"/>
            </v:shapetype>
            <v:shape id="janusSEAL SC Header_S_16" o:spid="_x0000_s1043" type="#_x0000_t202" style="position:absolute;margin-left:0;margin-top:0;width:70.25pt;height:43pt;z-index:251659268;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" o:allowincell="f" filled="f" stroked="f" strokeweight=".5pt">
              <v:fill o:detectmouseclick="t"/>
              <v:textbox style="mso-fit-shape-to-text:t">
                <w:txbxContent>
                  <w:p w14:paraId="2323C8B6" w14:textId="327094E7" w:rsidR="00357DD7" w:rsidRPr="00357DD7" w:rsidRDefault="00357DD7" w:rsidP="00357DD7">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5A0C" w14:textId="77777777" w:rsidR="003A30F3" w:rsidRPr="00633068" w:rsidRDefault="00C43F4C" w:rsidP="00633068">
    <w:pPr>
      <w:pStyle w:val="Header"/>
      <w:tabs>
        <w:tab w:val="clear" w:pos="4680"/>
        <w:tab w:val="clear" w:pos="9360"/>
        <w:tab w:val="left" w:pos="2236"/>
      </w:tabs>
    </w:pPr>
    <w:r>
      <w:rPr>
        <w:noProof/>
        <w:lang w:eastAsia="en-AU"/>
      </w:rPr>
      <mc:AlternateContent>
        <mc:Choice Requires="wps">
          <w:drawing>
            <wp:anchor distT="0" distB="0" distL="114300" distR="114300" simplePos="0" relativeHeight="251658241" behindDoc="0" locked="1" layoutInCell="0" allowOverlap="1" wp14:anchorId="5D068C4E" wp14:editId="5C0F9523">
              <wp:simplePos x="0" y="0"/>
              <wp:positionH relativeFrom="margin">
                <wp:align>center</wp:align>
              </wp:positionH>
              <wp:positionV relativeFrom="topMargin">
                <wp:align>center</wp:align>
              </wp:positionV>
              <wp:extent cx="892175" cy="546100"/>
              <wp:effectExtent l="0" t="0" r="0" b="6350"/>
              <wp:wrapNone/>
              <wp:docPr id="5" name="janusSEAL SC Head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92175" cy="5461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0FED1D" w14:textId="16BB030A" w:rsidR="00C43F4C" w:rsidRPr="00357DD7" w:rsidRDefault="00357DD7" w:rsidP="00C43F4C">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D068C4E" id="_x0000_t202" coordsize="21600,21600" o:spt="202" path="m,l,21600r21600,l21600,xe">
              <v:stroke joinstyle="miter"/>
              <v:path gradientshapeok="t" o:connecttype="rect"/>
            </v:shapetype>
            <v:shape id="janusSEAL SC Header" o:spid="_x0000_s1042" type="#_x0000_t202" alt="&quot;&quot;" style="position:absolute;margin-left:0;margin-top:0;width:70.25pt;height:43pt;z-index:251658241;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" o:allowincell="f" filled="f" stroked="f" strokeweight=".5pt">
              <v:textbox style="mso-fit-shape-to-text:t">
                <w:txbxContent>
                  <w:p w14:paraId="540FED1D" w14:textId="16BB030A" w:rsidR="00C43F4C" w:rsidRPr="00357DD7" w:rsidRDefault="00357DD7" w:rsidP="00C43F4C">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r w:rsidR="003A30F3">
      <w:rPr>
        <w:noProof/>
        <w:lang w:eastAsia="en-AU"/>
      </w:rPr>
      <mc:AlternateContent>
        <mc:Choice Requires="wpg">
          <w:drawing>
            <wp:anchor distT="0" distB="0" distL="114300" distR="114300" simplePos="0" relativeHeight="251658242" behindDoc="0" locked="1" layoutInCell="1" allowOverlap="1" wp14:anchorId="6BEB1327" wp14:editId="598B95E3">
              <wp:simplePos x="0" y="0"/>
              <wp:positionH relativeFrom="page">
                <wp:align>right</wp:align>
              </wp:positionH>
              <wp:positionV relativeFrom="page">
                <wp:align>bottom</wp:align>
              </wp:positionV>
              <wp:extent cx="7282800" cy="6199200"/>
              <wp:effectExtent l="0" t="0" r="0" b="0"/>
              <wp:wrapNone/>
              <wp:docPr id="100608" name="Group 100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100609" name="Group 4"/>
                      <wpg:cNvGrpSpPr/>
                      <wpg:grpSpPr bwMode="auto">
                        <a:xfrm>
                          <a:off x="0" y="0"/>
                          <a:ext cx="7121457" cy="6026668"/>
                          <a:chOff x="0" y="0"/>
                          <a:chExt cx="4278" cy="3620"/>
                        </a:xfrm>
                      </wpg:grpSpPr>
                      <wps:wsp>
                        <wps:cNvPr id="100610"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611"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612"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00613"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900A91" id="Group 100608" o:spid="_x0000_s1026" alt="&quot;&quot;" style="position:absolute;margin-left:522.25pt;margin-top:0;width:573.45pt;height:488.15pt;z-index:251658242;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" path="m1315,v-1,,-1,,-1,c1122,,938,39,770,108,596,181,440,286,309,417,178,548,72,705,,878v159,66,159,66,159,66c223,792,315,654,431,539,546,424,683,331,836,268v148,-62,309,-96,478,-96c1315,172,1315,172,1315,172v16,,32,1,48,1c1363,,1363,,1363,v-16,,-32,,-48,xe" fillcolor="#ce0058 [3205]"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" filled="f" stroked="f" strokeweight="1pt"/>
              <w10:wrap anchorx="page" anchory="page"/>
              <w10:anchorlock/>
            </v:group>
          </w:pict>
        </mc:Fallback>
      </mc:AlternateContent>
    </w:r>
    <w:r w:rsidR="003A30F3" w:rsidRPr="00EA47A3">
      <w:rPr>
        <w:noProof/>
        <w:lang w:eastAsia="en-AU"/>
      </w:rPr>
      <w:drawing>
        <wp:anchor distT="0" distB="431800" distL="114300" distR="114300" simplePos="0" relativeHeight="251658244" behindDoc="1" locked="1" layoutInCell="1" allowOverlap="1" wp14:anchorId="3268B396" wp14:editId="40769341">
          <wp:simplePos x="0" y="0"/>
          <wp:positionH relativeFrom="page">
            <wp:posOffset>720090</wp:posOffset>
          </wp:positionH>
          <wp:positionV relativeFrom="page">
            <wp:posOffset>720090</wp:posOffset>
          </wp:positionV>
          <wp:extent cx="2656800" cy="828000"/>
          <wp:effectExtent l="0" t="0" r="0" b="0"/>
          <wp:wrapTopAndBottom/>
          <wp:docPr id="100651" name="Picture 100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E293" w14:textId="77777777" w:rsidR="003A30F3" w:rsidRDefault="003A30F3" w:rsidP="007C7E2D">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0" behindDoc="0" locked="1" layoutInCell="1" allowOverlap="1" wp14:anchorId="235AF6B3" wp14:editId="5FD89E6A">
              <wp:simplePos x="0" y="0"/>
              <wp:positionH relativeFrom="page">
                <wp:align>right</wp:align>
              </wp:positionH>
              <wp:positionV relativeFrom="page">
                <wp:align>bottom</wp:align>
              </wp:positionV>
              <wp:extent cx="7282800" cy="6199200"/>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30" name="Group 4"/>
                      <wpg:cNvGrpSpPr/>
                      <wpg:grpSpPr bwMode="auto">
                        <a:xfrm>
                          <a:off x="0" y="0"/>
                          <a:ext cx="7121457" cy="6026668"/>
                          <a:chOff x="0" y="0"/>
                          <a:chExt cx="4278" cy="3620"/>
                        </a:xfrm>
                      </wpg:grpSpPr>
                      <wps:wsp>
                        <wps:cNvPr id="31"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4"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970067" id="Group 29" o:spid="_x0000_s1026" alt="&quot;&quot;" style="position:absolute;margin-left:522.25pt;margin-top:0;width:573.45pt;height:488.15pt;z-index:251658240;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NLBDeE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" path="m1315,v-1,,-1,,-1,c1122,,938,39,770,108,596,181,440,286,309,417,178,548,72,705,,878v159,66,159,66,159,66c223,792,315,654,431,539,546,424,683,331,836,268v148,-62,309,-96,478,-96c1315,172,1315,172,1315,172v16,,32,1,48,1c1363,,1363,,1363,v-16,,-32,,-48,xe" fillcolor="#ed8b00 [3207]"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3" behindDoc="1" locked="1" layoutInCell="1" allowOverlap="1" wp14:anchorId="4C1DE6E1" wp14:editId="144240D8">
          <wp:simplePos x="0" y="0"/>
          <wp:positionH relativeFrom="page">
            <wp:posOffset>720090</wp:posOffset>
          </wp:positionH>
          <wp:positionV relativeFrom="page">
            <wp:posOffset>720090</wp:posOffset>
          </wp:positionV>
          <wp:extent cx="2656800" cy="828000"/>
          <wp:effectExtent l="0" t="0" r="0" b="0"/>
          <wp:wrapTopAndBottom/>
          <wp:docPr id="100652" name="Picture 100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BE134" w14:textId="5570A7CA" w:rsidR="003A30F3" w:rsidRPr="00633068" w:rsidRDefault="003A30F3" w:rsidP="00633068">
    <w:pPr>
      <w:pStyle w:val="Header"/>
      <w:tabs>
        <w:tab w:val="clear" w:pos="4680"/>
        <w:tab w:val="clear" w:pos="9360"/>
        <w:tab w:val="left" w:pos="223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8181" w14:textId="77777777" w:rsidR="00C43F4C" w:rsidRDefault="00C43F4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020C" w14:textId="63D667DB" w:rsidR="00C43F4C" w:rsidRDefault="00C43F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025B" w14:textId="77777777" w:rsidR="00C43F4C" w:rsidRDefault="00C43F4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966CB" w14:textId="77777777" w:rsidR="00C43F4C" w:rsidRDefault="00C43F4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C0B2" w14:textId="77777777" w:rsidR="00C43F4C" w:rsidRDefault="00C43F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314542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E0F49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F10B8"/>
    <w:multiLevelType w:val="hybridMultilevel"/>
    <w:tmpl w:val="FFFFFFFF"/>
    <w:lvl w:ilvl="0" w:tplc="34224868">
      <w:start w:val="1"/>
      <w:numFmt w:val="bullet"/>
      <w:lvlText w:val=""/>
      <w:lvlJc w:val="left"/>
      <w:pPr>
        <w:ind w:left="720" w:hanging="360"/>
      </w:pPr>
      <w:rPr>
        <w:rFonts w:ascii="Symbol" w:hAnsi="Symbol" w:hint="default"/>
      </w:rPr>
    </w:lvl>
    <w:lvl w:ilvl="1" w:tplc="505EB170">
      <w:start w:val="1"/>
      <w:numFmt w:val="bullet"/>
      <w:lvlText w:val="o"/>
      <w:lvlJc w:val="left"/>
      <w:pPr>
        <w:ind w:left="1440" w:hanging="360"/>
      </w:pPr>
      <w:rPr>
        <w:rFonts w:ascii="Courier New" w:hAnsi="Courier New" w:hint="default"/>
      </w:rPr>
    </w:lvl>
    <w:lvl w:ilvl="2" w:tplc="A13E3BF6">
      <w:start w:val="1"/>
      <w:numFmt w:val="bullet"/>
      <w:lvlText w:val=""/>
      <w:lvlJc w:val="left"/>
      <w:pPr>
        <w:ind w:left="2160" w:hanging="360"/>
      </w:pPr>
      <w:rPr>
        <w:rFonts w:ascii="Wingdings" w:hAnsi="Wingdings" w:hint="default"/>
      </w:rPr>
    </w:lvl>
    <w:lvl w:ilvl="3" w:tplc="BDD2D8BA">
      <w:start w:val="1"/>
      <w:numFmt w:val="bullet"/>
      <w:lvlText w:val=""/>
      <w:lvlJc w:val="left"/>
      <w:pPr>
        <w:ind w:left="2880" w:hanging="360"/>
      </w:pPr>
      <w:rPr>
        <w:rFonts w:ascii="Symbol" w:hAnsi="Symbol" w:hint="default"/>
      </w:rPr>
    </w:lvl>
    <w:lvl w:ilvl="4" w:tplc="05E0DFEA">
      <w:start w:val="1"/>
      <w:numFmt w:val="bullet"/>
      <w:lvlText w:val="o"/>
      <w:lvlJc w:val="left"/>
      <w:pPr>
        <w:ind w:left="3600" w:hanging="360"/>
      </w:pPr>
      <w:rPr>
        <w:rFonts w:ascii="Courier New" w:hAnsi="Courier New" w:hint="default"/>
      </w:rPr>
    </w:lvl>
    <w:lvl w:ilvl="5" w:tplc="D76CEE3E">
      <w:start w:val="1"/>
      <w:numFmt w:val="bullet"/>
      <w:lvlText w:val=""/>
      <w:lvlJc w:val="left"/>
      <w:pPr>
        <w:ind w:left="4320" w:hanging="360"/>
      </w:pPr>
      <w:rPr>
        <w:rFonts w:ascii="Wingdings" w:hAnsi="Wingdings" w:hint="default"/>
      </w:rPr>
    </w:lvl>
    <w:lvl w:ilvl="6" w:tplc="6DB43288">
      <w:start w:val="1"/>
      <w:numFmt w:val="bullet"/>
      <w:lvlText w:val=""/>
      <w:lvlJc w:val="left"/>
      <w:pPr>
        <w:ind w:left="5040" w:hanging="360"/>
      </w:pPr>
      <w:rPr>
        <w:rFonts w:ascii="Symbol" w:hAnsi="Symbol" w:hint="default"/>
      </w:rPr>
    </w:lvl>
    <w:lvl w:ilvl="7" w:tplc="034279E6">
      <w:start w:val="1"/>
      <w:numFmt w:val="bullet"/>
      <w:lvlText w:val="o"/>
      <w:lvlJc w:val="left"/>
      <w:pPr>
        <w:ind w:left="5760" w:hanging="360"/>
      </w:pPr>
      <w:rPr>
        <w:rFonts w:ascii="Courier New" w:hAnsi="Courier New" w:hint="default"/>
      </w:rPr>
    </w:lvl>
    <w:lvl w:ilvl="8" w:tplc="0BFE7E36">
      <w:start w:val="1"/>
      <w:numFmt w:val="bullet"/>
      <w:lvlText w:val=""/>
      <w:lvlJc w:val="left"/>
      <w:pPr>
        <w:ind w:left="6480" w:hanging="360"/>
      </w:pPr>
      <w:rPr>
        <w:rFonts w:ascii="Wingdings" w:hAnsi="Wingdings" w:hint="default"/>
      </w:rPr>
    </w:lvl>
  </w:abstractNum>
  <w:abstractNum w:abstractNumId="3" w15:restartNumberingAfterBreak="0">
    <w:nsid w:val="0CE90296"/>
    <w:multiLevelType w:val="multilevel"/>
    <w:tmpl w:val="510EE69C"/>
    <w:styleLink w:val="ListLetters"/>
    <w:lvl w:ilvl="0">
      <w:start w:val="1"/>
      <w:numFmt w:val="lowerLetter"/>
      <w:pStyle w:val="ListLetters0"/>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32E75E5"/>
    <w:multiLevelType w:val="hybridMultilevel"/>
    <w:tmpl w:val="440CE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851983"/>
    <w:multiLevelType w:val="hybridMultilevel"/>
    <w:tmpl w:val="B51C7078"/>
    <w:lvl w:ilvl="0" w:tplc="0C090001">
      <w:start w:val="1"/>
      <w:numFmt w:val="bullet"/>
      <w:lvlText w:val=""/>
      <w:lvlJc w:val="left"/>
      <w:pPr>
        <w:ind w:left="558" w:hanging="360"/>
      </w:pPr>
      <w:rPr>
        <w:rFonts w:ascii="Symbol" w:hAnsi="Symbol" w:hint="default"/>
      </w:rPr>
    </w:lvl>
    <w:lvl w:ilvl="1" w:tplc="0C090003" w:tentative="1">
      <w:start w:val="1"/>
      <w:numFmt w:val="bullet"/>
      <w:lvlText w:val="o"/>
      <w:lvlJc w:val="left"/>
      <w:pPr>
        <w:ind w:left="1278" w:hanging="360"/>
      </w:pPr>
      <w:rPr>
        <w:rFonts w:ascii="Courier New" w:hAnsi="Courier New" w:cs="Courier New" w:hint="default"/>
      </w:rPr>
    </w:lvl>
    <w:lvl w:ilvl="2" w:tplc="0C090005" w:tentative="1">
      <w:start w:val="1"/>
      <w:numFmt w:val="bullet"/>
      <w:lvlText w:val=""/>
      <w:lvlJc w:val="left"/>
      <w:pPr>
        <w:ind w:left="1998" w:hanging="360"/>
      </w:pPr>
      <w:rPr>
        <w:rFonts w:ascii="Wingdings" w:hAnsi="Wingdings" w:hint="default"/>
      </w:rPr>
    </w:lvl>
    <w:lvl w:ilvl="3" w:tplc="0C090001" w:tentative="1">
      <w:start w:val="1"/>
      <w:numFmt w:val="bullet"/>
      <w:lvlText w:val=""/>
      <w:lvlJc w:val="left"/>
      <w:pPr>
        <w:ind w:left="2718" w:hanging="360"/>
      </w:pPr>
      <w:rPr>
        <w:rFonts w:ascii="Symbol" w:hAnsi="Symbol" w:hint="default"/>
      </w:rPr>
    </w:lvl>
    <w:lvl w:ilvl="4" w:tplc="0C090003" w:tentative="1">
      <w:start w:val="1"/>
      <w:numFmt w:val="bullet"/>
      <w:lvlText w:val="o"/>
      <w:lvlJc w:val="left"/>
      <w:pPr>
        <w:ind w:left="3438" w:hanging="360"/>
      </w:pPr>
      <w:rPr>
        <w:rFonts w:ascii="Courier New" w:hAnsi="Courier New" w:cs="Courier New" w:hint="default"/>
      </w:rPr>
    </w:lvl>
    <w:lvl w:ilvl="5" w:tplc="0C090005" w:tentative="1">
      <w:start w:val="1"/>
      <w:numFmt w:val="bullet"/>
      <w:lvlText w:val=""/>
      <w:lvlJc w:val="left"/>
      <w:pPr>
        <w:ind w:left="4158" w:hanging="360"/>
      </w:pPr>
      <w:rPr>
        <w:rFonts w:ascii="Wingdings" w:hAnsi="Wingdings" w:hint="default"/>
      </w:rPr>
    </w:lvl>
    <w:lvl w:ilvl="6" w:tplc="0C090001" w:tentative="1">
      <w:start w:val="1"/>
      <w:numFmt w:val="bullet"/>
      <w:lvlText w:val=""/>
      <w:lvlJc w:val="left"/>
      <w:pPr>
        <w:ind w:left="4878" w:hanging="360"/>
      </w:pPr>
      <w:rPr>
        <w:rFonts w:ascii="Symbol" w:hAnsi="Symbol" w:hint="default"/>
      </w:rPr>
    </w:lvl>
    <w:lvl w:ilvl="7" w:tplc="0C090003" w:tentative="1">
      <w:start w:val="1"/>
      <w:numFmt w:val="bullet"/>
      <w:lvlText w:val="o"/>
      <w:lvlJc w:val="left"/>
      <w:pPr>
        <w:ind w:left="5598" w:hanging="360"/>
      </w:pPr>
      <w:rPr>
        <w:rFonts w:ascii="Courier New" w:hAnsi="Courier New" w:cs="Courier New" w:hint="default"/>
      </w:rPr>
    </w:lvl>
    <w:lvl w:ilvl="8" w:tplc="0C090005" w:tentative="1">
      <w:start w:val="1"/>
      <w:numFmt w:val="bullet"/>
      <w:lvlText w:val=""/>
      <w:lvlJc w:val="left"/>
      <w:pPr>
        <w:ind w:left="6318" w:hanging="360"/>
      </w:pPr>
      <w:rPr>
        <w:rFonts w:ascii="Wingdings" w:hAnsi="Wingdings" w:hint="default"/>
      </w:rPr>
    </w:lvl>
  </w:abstractNum>
  <w:abstractNum w:abstractNumId="6" w15:restartNumberingAfterBreak="0">
    <w:nsid w:val="1B3C049B"/>
    <w:multiLevelType w:val="multilevel"/>
    <w:tmpl w:val="6D9A2BC2"/>
    <w:numStyleLink w:val="NumberedHeadings"/>
  </w:abstractNum>
  <w:abstractNum w:abstractNumId="7" w15:restartNumberingAfterBreak="0">
    <w:nsid w:val="1E8052EF"/>
    <w:multiLevelType w:val="multilevel"/>
    <w:tmpl w:val="DF4A9966"/>
    <w:numStyleLink w:val="TableBullets"/>
  </w:abstractNum>
  <w:abstractNum w:abstractNumId="8" w15:restartNumberingAfterBreak="0">
    <w:nsid w:val="1FCF7766"/>
    <w:multiLevelType w:val="multilevel"/>
    <w:tmpl w:val="6D9A2BC2"/>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Figure-Table-BoxHeading"/>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1502753"/>
    <w:multiLevelType w:val="hybridMultilevel"/>
    <w:tmpl w:val="89BA0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4328AE"/>
    <w:multiLevelType w:val="hybridMultilevel"/>
    <w:tmpl w:val="9B660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215E09"/>
    <w:multiLevelType w:val="hybridMultilevel"/>
    <w:tmpl w:val="782459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27034D6"/>
    <w:multiLevelType w:val="hybridMultilevel"/>
    <w:tmpl w:val="4896F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C20E77"/>
    <w:multiLevelType w:val="multilevel"/>
    <w:tmpl w:val="6D9A2BC2"/>
    <w:numStyleLink w:val="NumberedHeadings"/>
  </w:abstractNum>
  <w:abstractNum w:abstractNumId="14" w15:restartNumberingAfterBreak="0">
    <w:nsid w:val="39EE1E57"/>
    <w:multiLevelType w:val="multilevel"/>
    <w:tmpl w:val="0518DED4"/>
    <w:lvl w:ilvl="0">
      <w:start w:val="1"/>
      <w:numFmt w:val="bullet"/>
      <w:lvlText w:val=""/>
      <w:lvlJc w:val="left"/>
      <w:pPr>
        <w:ind w:left="567" w:hanging="567"/>
      </w:pPr>
      <w:rPr>
        <w:rFonts w:ascii="Symbol" w:hAnsi="Symbol"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1F7C0F"/>
    <w:multiLevelType w:val="hybridMultilevel"/>
    <w:tmpl w:val="59A23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73066D"/>
    <w:multiLevelType w:val="hybridMultilevel"/>
    <w:tmpl w:val="8B2A5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6B2D13"/>
    <w:multiLevelType w:val="hybridMultilevel"/>
    <w:tmpl w:val="A7141532"/>
    <w:lvl w:ilvl="0" w:tplc="0CE07396">
      <w:start w:val="1"/>
      <w:numFmt w:val="bullet"/>
      <w:lvlText w:val=""/>
      <w:lvlJc w:val="left"/>
      <w:pPr>
        <w:ind w:left="1454" w:hanging="360"/>
      </w:pPr>
      <w:rPr>
        <w:rFonts w:ascii="Symbol" w:eastAsiaTheme="minorHAnsi" w:hAnsi="Symbol" w:cs="Aria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8" w15:restartNumberingAfterBreak="0">
    <w:nsid w:val="3F9735C7"/>
    <w:multiLevelType w:val="multilevel"/>
    <w:tmpl w:val="2FAC61F8"/>
    <w:styleLink w:val="Bullet"/>
    <w:lvl w:ilvl="0">
      <w:start w:val="1"/>
      <w:numFmt w:val="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Arial" w:hAnsi="Arial" w:hint="default"/>
        <w:color w:val="auto"/>
      </w:rPr>
    </w:lvl>
    <w:lvl w:ilvl="2">
      <w:start w:val="1"/>
      <w:numFmt w:val="none"/>
      <w:pStyle w:val="ListParagraph"/>
      <w:lvlText w:val=""/>
      <w:lvlJc w:val="left"/>
      <w:pPr>
        <w:ind w:left="284" w:firstLine="0"/>
      </w:pPr>
      <w:rPr>
        <w:rFonts w:hint="default"/>
      </w:rPr>
    </w:lvl>
    <w:lvl w:ilvl="3">
      <w:start w:val="1"/>
      <w:numFmt w:val="bullet"/>
      <w:pStyle w:val="ListBullet3"/>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3636E32"/>
    <w:multiLevelType w:val="hybridMultilevel"/>
    <w:tmpl w:val="997CA0B2"/>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58244BF"/>
    <w:multiLevelType w:val="hybridMultilevel"/>
    <w:tmpl w:val="14C89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F47E20"/>
    <w:multiLevelType w:val="multilevel"/>
    <w:tmpl w:val="3D66CBA2"/>
    <w:styleLink w:val="CustomNumberlist"/>
    <w:lvl w:ilvl="0">
      <w:start w:val="1"/>
      <w:numFmt w:val="decimal"/>
      <w:pStyle w:val="ListNumber"/>
      <w:lvlText w:val="%1."/>
      <w:lvlJc w:val="left"/>
      <w:pPr>
        <w:ind w:left="567" w:hanging="567"/>
      </w:pPr>
      <w:rPr>
        <w:rFonts w:hint="default"/>
      </w:rPr>
    </w:lvl>
    <w:lvl w:ilvl="1">
      <w:start w:val="1"/>
      <w:numFmt w:val="decimal"/>
      <w:pStyle w:val="ListNumber2"/>
      <w:lvlText w:val="%1.%2."/>
      <w:lvlJc w:val="left"/>
      <w:pPr>
        <w:ind w:left="851" w:hanging="851"/>
      </w:pPr>
      <w:rPr>
        <w:rFonts w:hint="default"/>
      </w:rPr>
    </w:lvl>
    <w:lvl w:ilvl="2">
      <w:start w:val="1"/>
      <w:numFmt w:val="decimal"/>
      <w:pStyle w:val="ListNumber3"/>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A8B0109"/>
    <w:multiLevelType w:val="multilevel"/>
    <w:tmpl w:val="3D66CBA2"/>
    <w:numStyleLink w:val="CustomNumberlist"/>
  </w:abstractNum>
  <w:abstractNum w:abstractNumId="23" w15:restartNumberingAfterBreak="0">
    <w:nsid w:val="4F8A2362"/>
    <w:multiLevelType w:val="hybridMultilevel"/>
    <w:tmpl w:val="5A90CF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24569A0"/>
    <w:multiLevelType w:val="hybridMultilevel"/>
    <w:tmpl w:val="D7E2A4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8D3285"/>
    <w:multiLevelType w:val="hybridMultilevel"/>
    <w:tmpl w:val="9F6A2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C0B6385"/>
    <w:multiLevelType w:val="hybridMultilevel"/>
    <w:tmpl w:val="6B647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38258A"/>
    <w:multiLevelType w:val="hybridMultilevel"/>
    <w:tmpl w:val="C2781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031981"/>
    <w:multiLevelType w:val="multilevel"/>
    <w:tmpl w:val="DF4A9966"/>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CF659FB"/>
    <w:multiLevelType w:val="hybridMultilevel"/>
    <w:tmpl w:val="730C1BEA"/>
    <w:lvl w:ilvl="0" w:tplc="0DBE8936">
      <w:numFmt w:val="bullet"/>
      <w:lvlText w:val="•"/>
      <w:lvlJc w:val="left"/>
      <w:pPr>
        <w:ind w:left="1080" w:hanging="72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DB1691C"/>
    <w:multiLevelType w:val="hybridMultilevel"/>
    <w:tmpl w:val="292CD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04721E4"/>
    <w:multiLevelType w:val="hybridMultilevel"/>
    <w:tmpl w:val="C1C8B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0732D36"/>
    <w:multiLevelType w:val="multilevel"/>
    <w:tmpl w:val="ABC89444"/>
    <w:styleLink w:val="Pull-outlists"/>
    <w:lvl w:ilvl="0">
      <w:start w:val="1"/>
      <w:numFmt w:val="bullet"/>
      <w:pStyle w:val="Pull-outBullet1"/>
      <w:lvlText w:val=""/>
      <w:lvlJc w:val="left"/>
      <w:pPr>
        <w:ind w:left="482" w:hanging="284"/>
      </w:pPr>
      <w:rPr>
        <w:rFonts w:ascii="Symbol" w:hAnsi="Symbol" w:cs="Times New Roman" w:hint="default"/>
      </w:rPr>
    </w:lvl>
    <w:lvl w:ilvl="1">
      <w:start w:val="1"/>
      <w:numFmt w:val="bullet"/>
      <w:pStyle w:val="Pull-outBullet2"/>
      <w:lvlText w:val="–"/>
      <w:lvlJc w:val="left"/>
      <w:pPr>
        <w:ind w:left="765" w:hanging="283"/>
      </w:pPr>
      <w:rPr>
        <w:rFonts w:ascii="Times New Roman" w:hAnsi="Times New Roman" w:cs="Times New Roman" w:hint="default"/>
      </w:rPr>
    </w:lvl>
    <w:lvl w:ilvl="2">
      <w:start w:val="1"/>
      <w:numFmt w:val="decimal"/>
      <w:pStyle w:val="Pull-outListNumber1"/>
      <w:lvlText w:val="%3."/>
      <w:lvlJc w:val="left"/>
      <w:pPr>
        <w:ind w:left="482" w:hanging="284"/>
      </w:pPr>
      <w:rPr>
        <w:rFonts w:hint="default"/>
      </w:rPr>
    </w:lvl>
    <w:lvl w:ilvl="3">
      <w:start w:val="1"/>
      <w:numFmt w:val="decimal"/>
      <w:pStyle w:val="Pull-outListNumber2"/>
      <w:lvlText w:val="%3.%4."/>
      <w:lvlJc w:val="left"/>
      <w:pPr>
        <w:ind w:left="765" w:hanging="567"/>
      </w:pPr>
      <w:rPr>
        <w:rFonts w:hint="default"/>
      </w:rPr>
    </w:lvl>
    <w:lvl w:ilvl="4">
      <w:start w:val="1"/>
      <w:numFmt w:val="lowerLetter"/>
      <w:lvlText w:val="(%5)"/>
      <w:lvlJc w:val="left"/>
      <w:pPr>
        <w:ind w:left="1998" w:hanging="360"/>
      </w:pPr>
      <w:rPr>
        <w:rFonts w:hint="default"/>
      </w:rPr>
    </w:lvl>
    <w:lvl w:ilvl="5">
      <w:start w:val="1"/>
      <w:numFmt w:val="lowerRoman"/>
      <w:lvlText w:val="(%6)"/>
      <w:lvlJc w:val="left"/>
      <w:pPr>
        <w:ind w:left="2358" w:hanging="360"/>
      </w:pPr>
      <w:rPr>
        <w:rFonts w:hint="default"/>
      </w:rPr>
    </w:lvl>
    <w:lvl w:ilvl="6">
      <w:start w:val="1"/>
      <w:numFmt w:val="decimal"/>
      <w:lvlText w:val="%7."/>
      <w:lvlJc w:val="left"/>
      <w:pPr>
        <w:ind w:left="2718" w:hanging="360"/>
      </w:pPr>
      <w:rPr>
        <w:rFonts w:hint="default"/>
      </w:rPr>
    </w:lvl>
    <w:lvl w:ilvl="7">
      <w:start w:val="1"/>
      <w:numFmt w:val="lowerLetter"/>
      <w:lvlText w:val="%8."/>
      <w:lvlJc w:val="left"/>
      <w:pPr>
        <w:ind w:left="3078" w:hanging="360"/>
      </w:pPr>
      <w:rPr>
        <w:rFonts w:hint="default"/>
      </w:rPr>
    </w:lvl>
    <w:lvl w:ilvl="8">
      <w:start w:val="1"/>
      <w:numFmt w:val="lowerRoman"/>
      <w:lvlText w:val="%9."/>
      <w:lvlJc w:val="left"/>
      <w:pPr>
        <w:ind w:left="3438" w:hanging="360"/>
      </w:pPr>
      <w:rPr>
        <w:rFonts w:hint="default"/>
      </w:rPr>
    </w:lvl>
  </w:abstractNum>
  <w:abstractNum w:abstractNumId="33" w15:restartNumberingAfterBreak="0">
    <w:nsid w:val="71337FD4"/>
    <w:multiLevelType w:val="hybridMultilevel"/>
    <w:tmpl w:val="28F0C2F8"/>
    <w:lvl w:ilvl="0" w:tplc="3A040B26">
      <w:start w:val="1"/>
      <w:numFmt w:val="decimal"/>
      <w:lvlText w:val="%1."/>
      <w:lvlJc w:val="left"/>
      <w:pPr>
        <w:ind w:left="502" w:hanging="360"/>
      </w:pPr>
      <w:rPr>
        <w:rFonts w:hint="default"/>
        <w:sz w:val="24"/>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4" w15:restartNumberingAfterBreak="0">
    <w:nsid w:val="713C4D75"/>
    <w:multiLevelType w:val="hybridMultilevel"/>
    <w:tmpl w:val="A6849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7770FE"/>
    <w:multiLevelType w:val="hybridMultilevel"/>
    <w:tmpl w:val="054A6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452F32"/>
    <w:multiLevelType w:val="hybridMultilevel"/>
    <w:tmpl w:val="38D827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DA27BAE"/>
    <w:multiLevelType w:val="hybridMultilevel"/>
    <w:tmpl w:val="2CE0D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2774226">
    <w:abstractNumId w:val="1"/>
  </w:num>
  <w:num w:numId="2" w16cid:durableId="1467815185">
    <w:abstractNumId w:val="18"/>
  </w:num>
  <w:num w:numId="3" w16cid:durableId="1396972235">
    <w:abstractNumId w:val="8"/>
  </w:num>
  <w:num w:numId="4" w16cid:durableId="296640932">
    <w:abstractNumId w:val="21"/>
  </w:num>
  <w:num w:numId="5" w16cid:durableId="292559311">
    <w:abstractNumId w:val="28"/>
  </w:num>
  <w:num w:numId="6" w16cid:durableId="1267736197">
    <w:abstractNumId w:val="22"/>
  </w:num>
  <w:num w:numId="7" w16cid:durableId="2091534803">
    <w:abstractNumId w:val="3"/>
  </w:num>
  <w:num w:numId="8" w16cid:durableId="1521357131">
    <w:abstractNumId w:val="32"/>
  </w:num>
  <w:num w:numId="9" w16cid:durableId="621963612">
    <w:abstractNumId w:val="29"/>
  </w:num>
  <w:num w:numId="10" w16cid:durableId="926425348">
    <w:abstractNumId w:val="30"/>
  </w:num>
  <w:num w:numId="11" w16cid:durableId="893127558">
    <w:abstractNumId w:val="14"/>
  </w:num>
  <w:num w:numId="12" w16cid:durableId="1076900273">
    <w:abstractNumId w:val="19"/>
  </w:num>
  <w:num w:numId="13" w16cid:durableId="1108358137">
    <w:abstractNumId w:val="2"/>
  </w:num>
  <w:num w:numId="14" w16cid:durableId="610672901">
    <w:abstractNumId w:val="5"/>
  </w:num>
  <w:num w:numId="15" w16cid:durableId="1947039144">
    <w:abstractNumId w:val="33"/>
  </w:num>
  <w:num w:numId="16" w16cid:durableId="125975662">
    <w:abstractNumId w:val="36"/>
  </w:num>
  <w:num w:numId="17" w16cid:durableId="723214384">
    <w:abstractNumId w:val="26"/>
  </w:num>
  <w:num w:numId="18" w16cid:durableId="1078794025">
    <w:abstractNumId w:val="28"/>
    <w:lvlOverride w:ilvl="0">
      <w:lvl w:ilvl="0">
        <w:start w:val="1"/>
        <w:numFmt w:val="bullet"/>
        <w:pStyle w:val="TableBullet"/>
        <w:lvlText w:val=""/>
        <w:lvlJc w:val="left"/>
        <w:pPr>
          <w:ind w:left="284" w:hanging="284"/>
        </w:pPr>
        <w:rPr>
          <w:rFonts w:ascii="Symbol" w:hAnsi="Symbol" w:hint="default"/>
          <w:color w:val="auto"/>
          <w:sz w:val="18"/>
          <w:szCs w:val="18"/>
        </w:rPr>
      </w:lvl>
    </w:lvlOverride>
  </w:num>
  <w:num w:numId="19" w16cid:durableId="1424304008">
    <w:abstractNumId w:val="7"/>
  </w:num>
  <w:num w:numId="20" w16cid:durableId="1527979758">
    <w:abstractNumId w:val="17"/>
  </w:num>
  <w:num w:numId="21" w16cid:durableId="1217276237">
    <w:abstractNumId w:val="23"/>
  </w:num>
  <w:num w:numId="22" w16cid:durableId="736634279">
    <w:abstractNumId w:val="25"/>
  </w:num>
  <w:num w:numId="23" w16cid:durableId="1076829615">
    <w:abstractNumId w:val="24"/>
  </w:num>
  <w:num w:numId="24" w16cid:durableId="1975327899">
    <w:abstractNumId w:val="13"/>
  </w:num>
  <w:num w:numId="25" w16cid:durableId="2078673861">
    <w:abstractNumId w:val="12"/>
  </w:num>
  <w:num w:numId="26" w16cid:durableId="245040494">
    <w:abstractNumId w:val="9"/>
  </w:num>
  <w:num w:numId="27" w16cid:durableId="2012830301">
    <w:abstractNumId w:val="16"/>
  </w:num>
  <w:num w:numId="28" w16cid:durableId="1817259970">
    <w:abstractNumId w:val="4"/>
  </w:num>
  <w:num w:numId="29" w16cid:durableId="1560438206">
    <w:abstractNumId w:val="37"/>
  </w:num>
  <w:num w:numId="30" w16cid:durableId="341783551">
    <w:abstractNumId w:val="34"/>
  </w:num>
  <w:num w:numId="31" w16cid:durableId="1276257096">
    <w:abstractNumId w:val="11"/>
  </w:num>
  <w:num w:numId="32" w16cid:durableId="177042486">
    <w:abstractNumId w:val="27"/>
  </w:num>
  <w:num w:numId="33" w16cid:durableId="67463806">
    <w:abstractNumId w:val="11"/>
  </w:num>
  <w:num w:numId="34" w16cid:durableId="501706169">
    <w:abstractNumId w:val="10"/>
  </w:num>
  <w:num w:numId="35" w16cid:durableId="570432328">
    <w:abstractNumId w:val="20"/>
  </w:num>
  <w:num w:numId="36" w16cid:durableId="1824421986">
    <w:abstractNumId w:val="13"/>
  </w:num>
  <w:num w:numId="37" w16cid:durableId="2069841711">
    <w:abstractNumId w:val="13"/>
  </w:num>
  <w:num w:numId="38" w16cid:durableId="1266964449">
    <w:abstractNumId w:val="13"/>
  </w:num>
  <w:num w:numId="39" w16cid:durableId="168570098">
    <w:abstractNumId w:val="13"/>
  </w:num>
  <w:num w:numId="40" w16cid:durableId="1498111592">
    <w:abstractNumId w:val="1"/>
  </w:num>
  <w:num w:numId="41" w16cid:durableId="1061100791">
    <w:abstractNumId w:val="35"/>
  </w:num>
  <w:num w:numId="42" w16cid:durableId="106242415">
    <w:abstractNumId w:val="6"/>
  </w:num>
  <w:num w:numId="43" w16cid:durableId="549614346">
    <w:abstractNumId w:val="11"/>
  </w:num>
  <w:num w:numId="44" w16cid:durableId="1714619234">
    <w:abstractNumId w:val="0"/>
  </w:num>
  <w:num w:numId="45" w16cid:durableId="121076131">
    <w:abstractNumId w:val="31"/>
  </w:num>
  <w:num w:numId="46" w16cid:durableId="1033073819">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F4C"/>
    <w:rsid w:val="00000B4E"/>
    <w:rsid w:val="0000103B"/>
    <w:rsid w:val="000012CA"/>
    <w:rsid w:val="00001AE5"/>
    <w:rsid w:val="00002199"/>
    <w:rsid w:val="00002DA1"/>
    <w:rsid w:val="00002DFC"/>
    <w:rsid w:val="000034CD"/>
    <w:rsid w:val="0000361A"/>
    <w:rsid w:val="0000391E"/>
    <w:rsid w:val="0000411E"/>
    <w:rsid w:val="000045F3"/>
    <w:rsid w:val="000046BD"/>
    <w:rsid w:val="00004C6B"/>
    <w:rsid w:val="000052C6"/>
    <w:rsid w:val="0000587F"/>
    <w:rsid w:val="000062CC"/>
    <w:rsid w:val="00006C0D"/>
    <w:rsid w:val="00006E2B"/>
    <w:rsid w:val="00006FDB"/>
    <w:rsid w:val="00007030"/>
    <w:rsid w:val="000070F7"/>
    <w:rsid w:val="00007844"/>
    <w:rsid w:val="00007DE1"/>
    <w:rsid w:val="000100A1"/>
    <w:rsid w:val="000100D2"/>
    <w:rsid w:val="000101E7"/>
    <w:rsid w:val="0001151A"/>
    <w:rsid w:val="0001162E"/>
    <w:rsid w:val="0001198B"/>
    <w:rsid w:val="000122DE"/>
    <w:rsid w:val="00012434"/>
    <w:rsid w:val="00012963"/>
    <w:rsid w:val="00012A64"/>
    <w:rsid w:val="0001378E"/>
    <w:rsid w:val="00013887"/>
    <w:rsid w:val="0001423D"/>
    <w:rsid w:val="00014BF6"/>
    <w:rsid w:val="00014D10"/>
    <w:rsid w:val="00014DCC"/>
    <w:rsid w:val="00014E3A"/>
    <w:rsid w:val="00015125"/>
    <w:rsid w:val="00015588"/>
    <w:rsid w:val="00015925"/>
    <w:rsid w:val="00015A87"/>
    <w:rsid w:val="0001679E"/>
    <w:rsid w:val="000175A9"/>
    <w:rsid w:val="00017FAD"/>
    <w:rsid w:val="000201B8"/>
    <w:rsid w:val="000202C0"/>
    <w:rsid w:val="00020426"/>
    <w:rsid w:val="00020456"/>
    <w:rsid w:val="0002093A"/>
    <w:rsid w:val="00020BFD"/>
    <w:rsid w:val="00020C9F"/>
    <w:rsid w:val="00020F2D"/>
    <w:rsid w:val="00020FAD"/>
    <w:rsid w:val="000212AC"/>
    <w:rsid w:val="0002167D"/>
    <w:rsid w:val="00021850"/>
    <w:rsid w:val="00021BF0"/>
    <w:rsid w:val="00021E3C"/>
    <w:rsid w:val="00021EF9"/>
    <w:rsid w:val="000225CC"/>
    <w:rsid w:val="00022B86"/>
    <w:rsid w:val="00022FBE"/>
    <w:rsid w:val="000230B8"/>
    <w:rsid w:val="000234D7"/>
    <w:rsid w:val="00023E41"/>
    <w:rsid w:val="000245F4"/>
    <w:rsid w:val="00024FD5"/>
    <w:rsid w:val="00025389"/>
    <w:rsid w:val="000255C0"/>
    <w:rsid w:val="0002561C"/>
    <w:rsid w:val="00025A23"/>
    <w:rsid w:val="0002622C"/>
    <w:rsid w:val="000262D6"/>
    <w:rsid w:val="0002737A"/>
    <w:rsid w:val="00030390"/>
    <w:rsid w:val="00031466"/>
    <w:rsid w:val="0003175D"/>
    <w:rsid w:val="00031A33"/>
    <w:rsid w:val="00031A89"/>
    <w:rsid w:val="00031D14"/>
    <w:rsid w:val="00031DDF"/>
    <w:rsid w:val="00032883"/>
    <w:rsid w:val="00032B66"/>
    <w:rsid w:val="0003312B"/>
    <w:rsid w:val="00033227"/>
    <w:rsid w:val="0003323F"/>
    <w:rsid w:val="000337A0"/>
    <w:rsid w:val="000338B6"/>
    <w:rsid w:val="000345F8"/>
    <w:rsid w:val="000348A4"/>
    <w:rsid w:val="00034977"/>
    <w:rsid w:val="00034B72"/>
    <w:rsid w:val="00034E7E"/>
    <w:rsid w:val="00035ADB"/>
    <w:rsid w:val="00035B47"/>
    <w:rsid w:val="00035BFD"/>
    <w:rsid w:val="0003632F"/>
    <w:rsid w:val="00036A7C"/>
    <w:rsid w:val="00036BFB"/>
    <w:rsid w:val="00036D77"/>
    <w:rsid w:val="000373A5"/>
    <w:rsid w:val="00037E33"/>
    <w:rsid w:val="0004079C"/>
    <w:rsid w:val="00040A0C"/>
    <w:rsid w:val="00040FFD"/>
    <w:rsid w:val="0004114C"/>
    <w:rsid w:val="000413BD"/>
    <w:rsid w:val="00042195"/>
    <w:rsid w:val="00042907"/>
    <w:rsid w:val="0004329C"/>
    <w:rsid w:val="000441B1"/>
    <w:rsid w:val="000441F6"/>
    <w:rsid w:val="00044951"/>
    <w:rsid w:val="00044A09"/>
    <w:rsid w:val="000454DC"/>
    <w:rsid w:val="00045A45"/>
    <w:rsid w:val="00045B35"/>
    <w:rsid w:val="00045D58"/>
    <w:rsid w:val="00045D95"/>
    <w:rsid w:val="000466A9"/>
    <w:rsid w:val="00046BFF"/>
    <w:rsid w:val="00046DD0"/>
    <w:rsid w:val="00046DD6"/>
    <w:rsid w:val="00047202"/>
    <w:rsid w:val="0004743D"/>
    <w:rsid w:val="00047652"/>
    <w:rsid w:val="00047CDA"/>
    <w:rsid w:val="00047F69"/>
    <w:rsid w:val="00050052"/>
    <w:rsid w:val="00050880"/>
    <w:rsid w:val="00050DE6"/>
    <w:rsid w:val="00050E79"/>
    <w:rsid w:val="000518EC"/>
    <w:rsid w:val="000518F3"/>
    <w:rsid w:val="0005198A"/>
    <w:rsid w:val="00051C80"/>
    <w:rsid w:val="000520B2"/>
    <w:rsid w:val="00052677"/>
    <w:rsid w:val="00053170"/>
    <w:rsid w:val="00053700"/>
    <w:rsid w:val="00053C53"/>
    <w:rsid w:val="00053D28"/>
    <w:rsid w:val="00053D4B"/>
    <w:rsid w:val="000546D6"/>
    <w:rsid w:val="000547F4"/>
    <w:rsid w:val="00054955"/>
    <w:rsid w:val="00054A93"/>
    <w:rsid w:val="00055113"/>
    <w:rsid w:val="00055271"/>
    <w:rsid w:val="00055299"/>
    <w:rsid w:val="00055EEB"/>
    <w:rsid w:val="00056090"/>
    <w:rsid w:val="00056328"/>
    <w:rsid w:val="000566E0"/>
    <w:rsid w:val="0005670A"/>
    <w:rsid w:val="000567FC"/>
    <w:rsid w:val="00056987"/>
    <w:rsid w:val="00057501"/>
    <w:rsid w:val="00057637"/>
    <w:rsid w:val="00057D58"/>
    <w:rsid w:val="00057F2D"/>
    <w:rsid w:val="000603B3"/>
    <w:rsid w:val="00060537"/>
    <w:rsid w:val="00060C77"/>
    <w:rsid w:val="00061067"/>
    <w:rsid w:val="0006107B"/>
    <w:rsid w:val="00061105"/>
    <w:rsid w:val="0006133D"/>
    <w:rsid w:val="00061418"/>
    <w:rsid w:val="0006256F"/>
    <w:rsid w:val="00062623"/>
    <w:rsid w:val="000626A2"/>
    <w:rsid w:val="000627E6"/>
    <w:rsid w:val="00062AE4"/>
    <w:rsid w:val="00062AFA"/>
    <w:rsid w:val="000630BE"/>
    <w:rsid w:val="000633FB"/>
    <w:rsid w:val="0006475D"/>
    <w:rsid w:val="00064DD5"/>
    <w:rsid w:val="00065479"/>
    <w:rsid w:val="0006554B"/>
    <w:rsid w:val="00065A55"/>
    <w:rsid w:val="00065B25"/>
    <w:rsid w:val="00065EE0"/>
    <w:rsid w:val="00066047"/>
    <w:rsid w:val="00066137"/>
    <w:rsid w:val="00067438"/>
    <w:rsid w:val="0006743A"/>
    <w:rsid w:val="000676B4"/>
    <w:rsid w:val="000678BF"/>
    <w:rsid w:val="00067958"/>
    <w:rsid w:val="00067DD9"/>
    <w:rsid w:val="00067F53"/>
    <w:rsid w:val="00070130"/>
    <w:rsid w:val="000701FB"/>
    <w:rsid w:val="00070537"/>
    <w:rsid w:val="0007109D"/>
    <w:rsid w:val="0007136D"/>
    <w:rsid w:val="00071A86"/>
    <w:rsid w:val="00071D14"/>
    <w:rsid w:val="00071E12"/>
    <w:rsid w:val="00072732"/>
    <w:rsid w:val="000729A7"/>
    <w:rsid w:val="00074782"/>
    <w:rsid w:val="0007570F"/>
    <w:rsid w:val="000759F8"/>
    <w:rsid w:val="00075CBB"/>
    <w:rsid w:val="00075D00"/>
    <w:rsid w:val="00076171"/>
    <w:rsid w:val="00076229"/>
    <w:rsid w:val="000763C7"/>
    <w:rsid w:val="000767CB"/>
    <w:rsid w:val="000767F5"/>
    <w:rsid w:val="00076B6B"/>
    <w:rsid w:val="00077039"/>
    <w:rsid w:val="000771DC"/>
    <w:rsid w:val="0007730F"/>
    <w:rsid w:val="00077431"/>
    <w:rsid w:val="00077986"/>
    <w:rsid w:val="00077DFB"/>
    <w:rsid w:val="0008039C"/>
    <w:rsid w:val="00080825"/>
    <w:rsid w:val="000809BE"/>
    <w:rsid w:val="0008114D"/>
    <w:rsid w:val="00081178"/>
    <w:rsid w:val="00081233"/>
    <w:rsid w:val="00081425"/>
    <w:rsid w:val="000815A7"/>
    <w:rsid w:val="0008175C"/>
    <w:rsid w:val="0008179F"/>
    <w:rsid w:val="00081E4D"/>
    <w:rsid w:val="00081E5F"/>
    <w:rsid w:val="000822BE"/>
    <w:rsid w:val="00082658"/>
    <w:rsid w:val="00082BD8"/>
    <w:rsid w:val="00082F7C"/>
    <w:rsid w:val="0008357D"/>
    <w:rsid w:val="00083719"/>
    <w:rsid w:val="00083E79"/>
    <w:rsid w:val="000841DB"/>
    <w:rsid w:val="00084677"/>
    <w:rsid w:val="00084D1B"/>
    <w:rsid w:val="00085964"/>
    <w:rsid w:val="000859C9"/>
    <w:rsid w:val="00085C1E"/>
    <w:rsid w:val="00085E11"/>
    <w:rsid w:val="00085EAB"/>
    <w:rsid w:val="000862B7"/>
    <w:rsid w:val="00086970"/>
    <w:rsid w:val="00086F6B"/>
    <w:rsid w:val="00087471"/>
    <w:rsid w:val="0008752C"/>
    <w:rsid w:val="000878A0"/>
    <w:rsid w:val="00090553"/>
    <w:rsid w:val="00091258"/>
    <w:rsid w:val="000913A8"/>
    <w:rsid w:val="00091654"/>
    <w:rsid w:val="0009196A"/>
    <w:rsid w:val="00091EDA"/>
    <w:rsid w:val="00091FAD"/>
    <w:rsid w:val="000928DF"/>
    <w:rsid w:val="00092AC9"/>
    <w:rsid w:val="00092EAB"/>
    <w:rsid w:val="000932B7"/>
    <w:rsid w:val="000936E4"/>
    <w:rsid w:val="000942C3"/>
    <w:rsid w:val="000942CE"/>
    <w:rsid w:val="00094372"/>
    <w:rsid w:val="0009457E"/>
    <w:rsid w:val="00094AB7"/>
    <w:rsid w:val="0009527B"/>
    <w:rsid w:val="000953E5"/>
    <w:rsid w:val="00095CFB"/>
    <w:rsid w:val="00095E79"/>
    <w:rsid w:val="000962EA"/>
    <w:rsid w:val="00096ABE"/>
    <w:rsid w:val="00097067"/>
    <w:rsid w:val="00097665"/>
    <w:rsid w:val="000A0C0B"/>
    <w:rsid w:val="000A1292"/>
    <w:rsid w:val="000A1637"/>
    <w:rsid w:val="000A1B41"/>
    <w:rsid w:val="000A1BCE"/>
    <w:rsid w:val="000A1BFE"/>
    <w:rsid w:val="000A2228"/>
    <w:rsid w:val="000A248A"/>
    <w:rsid w:val="000A40F5"/>
    <w:rsid w:val="000A4526"/>
    <w:rsid w:val="000A456B"/>
    <w:rsid w:val="000A4FD7"/>
    <w:rsid w:val="000A63D9"/>
    <w:rsid w:val="000A7280"/>
    <w:rsid w:val="000A759D"/>
    <w:rsid w:val="000A7EF3"/>
    <w:rsid w:val="000A7FD9"/>
    <w:rsid w:val="000B0191"/>
    <w:rsid w:val="000B0229"/>
    <w:rsid w:val="000B0745"/>
    <w:rsid w:val="000B0773"/>
    <w:rsid w:val="000B0809"/>
    <w:rsid w:val="000B10F8"/>
    <w:rsid w:val="000B1311"/>
    <w:rsid w:val="000B142C"/>
    <w:rsid w:val="000B195E"/>
    <w:rsid w:val="000B1C7D"/>
    <w:rsid w:val="000B1EA3"/>
    <w:rsid w:val="000B25A6"/>
    <w:rsid w:val="000B25E0"/>
    <w:rsid w:val="000B2B81"/>
    <w:rsid w:val="000B3067"/>
    <w:rsid w:val="000B3280"/>
    <w:rsid w:val="000B35D0"/>
    <w:rsid w:val="000B3712"/>
    <w:rsid w:val="000B38EE"/>
    <w:rsid w:val="000B3956"/>
    <w:rsid w:val="000B3BB7"/>
    <w:rsid w:val="000B3CE5"/>
    <w:rsid w:val="000B3E5A"/>
    <w:rsid w:val="000B3FB8"/>
    <w:rsid w:val="000B4239"/>
    <w:rsid w:val="000B4583"/>
    <w:rsid w:val="000B4798"/>
    <w:rsid w:val="000B48E5"/>
    <w:rsid w:val="000B49C3"/>
    <w:rsid w:val="000B4CD0"/>
    <w:rsid w:val="000B4D71"/>
    <w:rsid w:val="000B4D7E"/>
    <w:rsid w:val="000B5271"/>
    <w:rsid w:val="000B5BBA"/>
    <w:rsid w:val="000B5C52"/>
    <w:rsid w:val="000B61C9"/>
    <w:rsid w:val="000B63B5"/>
    <w:rsid w:val="000B67B3"/>
    <w:rsid w:val="000B74F5"/>
    <w:rsid w:val="000B7933"/>
    <w:rsid w:val="000C00BA"/>
    <w:rsid w:val="000C0249"/>
    <w:rsid w:val="000C0999"/>
    <w:rsid w:val="000C0A36"/>
    <w:rsid w:val="000C0FBB"/>
    <w:rsid w:val="000C12D2"/>
    <w:rsid w:val="000C1327"/>
    <w:rsid w:val="000C15FA"/>
    <w:rsid w:val="000C1A88"/>
    <w:rsid w:val="000C1B4C"/>
    <w:rsid w:val="000C1C30"/>
    <w:rsid w:val="000C278C"/>
    <w:rsid w:val="000C28C2"/>
    <w:rsid w:val="000C2D8B"/>
    <w:rsid w:val="000C31DF"/>
    <w:rsid w:val="000C32BA"/>
    <w:rsid w:val="000C3688"/>
    <w:rsid w:val="000C37A8"/>
    <w:rsid w:val="000C387A"/>
    <w:rsid w:val="000C3B52"/>
    <w:rsid w:val="000C3E9F"/>
    <w:rsid w:val="000C3EDA"/>
    <w:rsid w:val="000C40E0"/>
    <w:rsid w:val="000C4658"/>
    <w:rsid w:val="000C4B65"/>
    <w:rsid w:val="000C51C4"/>
    <w:rsid w:val="000C53C1"/>
    <w:rsid w:val="000C54E8"/>
    <w:rsid w:val="000C56A3"/>
    <w:rsid w:val="000C592D"/>
    <w:rsid w:val="000C66B1"/>
    <w:rsid w:val="000C6D1F"/>
    <w:rsid w:val="000C768A"/>
    <w:rsid w:val="000C7B34"/>
    <w:rsid w:val="000C7E98"/>
    <w:rsid w:val="000D0185"/>
    <w:rsid w:val="000D071F"/>
    <w:rsid w:val="000D0AF8"/>
    <w:rsid w:val="000D161A"/>
    <w:rsid w:val="000D175E"/>
    <w:rsid w:val="000D1C6F"/>
    <w:rsid w:val="000D21B1"/>
    <w:rsid w:val="000D2C34"/>
    <w:rsid w:val="000D322D"/>
    <w:rsid w:val="000D35FB"/>
    <w:rsid w:val="000D3C21"/>
    <w:rsid w:val="000D4547"/>
    <w:rsid w:val="000D45CB"/>
    <w:rsid w:val="000D489C"/>
    <w:rsid w:val="000D49E8"/>
    <w:rsid w:val="000D4F18"/>
    <w:rsid w:val="000D5051"/>
    <w:rsid w:val="000D5DB6"/>
    <w:rsid w:val="000D635E"/>
    <w:rsid w:val="000D6EF3"/>
    <w:rsid w:val="000D72CC"/>
    <w:rsid w:val="000D753E"/>
    <w:rsid w:val="000D76F4"/>
    <w:rsid w:val="000D7759"/>
    <w:rsid w:val="000E0052"/>
    <w:rsid w:val="000E0218"/>
    <w:rsid w:val="000E0610"/>
    <w:rsid w:val="000E1465"/>
    <w:rsid w:val="000E1509"/>
    <w:rsid w:val="000E158E"/>
    <w:rsid w:val="000E1EE6"/>
    <w:rsid w:val="000E21DC"/>
    <w:rsid w:val="000E25C5"/>
    <w:rsid w:val="000E2A5F"/>
    <w:rsid w:val="000E2E8C"/>
    <w:rsid w:val="000E2EF9"/>
    <w:rsid w:val="000E3522"/>
    <w:rsid w:val="000E355F"/>
    <w:rsid w:val="000E38FF"/>
    <w:rsid w:val="000E3F08"/>
    <w:rsid w:val="000E40C2"/>
    <w:rsid w:val="000E45A8"/>
    <w:rsid w:val="000E4DDB"/>
    <w:rsid w:val="000E56A9"/>
    <w:rsid w:val="000E5B19"/>
    <w:rsid w:val="000E5B25"/>
    <w:rsid w:val="000E5D1A"/>
    <w:rsid w:val="000E5DCE"/>
    <w:rsid w:val="000E5ED0"/>
    <w:rsid w:val="000E6450"/>
    <w:rsid w:val="000E6900"/>
    <w:rsid w:val="000E6E9C"/>
    <w:rsid w:val="000E6ED2"/>
    <w:rsid w:val="000E7ECF"/>
    <w:rsid w:val="000F0215"/>
    <w:rsid w:val="000F0545"/>
    <w:rsid w:val="000F1662"/>
    <w:rsid w:val="000F1A87"/>
    <w:rsid w:val="000F21B8"/>
    <w:rsid w:val="000F22C1"/>
    <w:rsid w:val="000F298D"/>
    <w:rsid w:val="000F3026"/>
    <w:rsid w:val="000F30BC"/>
    <w:rsid w:val="000F3AA3"/>
    <w:rsid w:val="000F3CF4"/>
    <w:rsid w:val="000F4BC9"/>
    <w:rsid w:val="000F58BF"/>
    <w:rsid w:val="000F5ABD"/>
    <w:rsid w:val="000F5B71"/>
    <w:rsid w:val="000F6CBD"/>
    <w:rsid w:val="000F6CD8"/>
    <w:rsid w:val="000F737C"/>
    <w:rsid w:val="000F7BE7"/>
    <w:rsid w:val="000F7FAD"/>
    <w:rsid w:val="001003A5"/>
    <w:rsid w:val="00100E90"/>
    <w:rsid w:val="00100F33"/>
    <w:rsid w:val="00100FD2"/>
    <w:rsid w:val="001013E6"/>
    <w:rsid w:val="00101870"/>
    <w:rsid w:val="00101E19"/>
    <w:rsid w:val="001027AF"/>
    <w:rsid w:val="001027F2"/>
    <w:rsid w:val="00102DB0"/>
    <w:rsid w:val="00103100"/>
    <w:rsid w:val="001033EC"/>
    <w:rsid w:val="00103C08"/>
    <w:rsid w:val="00104775"/>
    <w:rsid w:val="001047F5"/>
    <w:rsid w:val="00104BCD"/>
    <w:rsid w:val="00104E03"/>
    <w:rsid w:val="00105052"/>
    <w:rsid w:val="0010582F"/>
    <w:rsid w:val="00106398"/>
    <w:rsid w:val="00106608"/>
    <w:rsid w:val="0010666C"/>
    <w:rsid w:val="00106991"/>
    <w:rsid w:val="00106FC0"/>
    <w:rsid w:val="00106FE3"/>
    <w:rsid w:val="00107904"/>
    <w:rsid w:val="00107E29"/>
    <w:rsid w:val="00107E76"/>
    <w:rsid w:val="0011096F"/>
    <w:rsid w:val="00110B63"/>
    <w:rsid w:val="00110BC3"/>
    <w:rsid w:val="00110C43"/>
    <w:rsid w:val="00110ECE"/>
    <w:rsid w:val="00110F28"/>
    <w:rsid w:val="00110FA8"/>
    <w:rsid w:val="00111448"/>
    <w:rsid w:val="001114A9"/>
    <w:rsid w:val="00111B02"/>
    <w:rsid w:val="0011200E"/>
    <w:rsid w:val="00112172"/>
    <w:rsid w:val="0011265D"/>
    <w:rsid w:val="00113519"/>
    <w:rsid w:val="00113A5C"/>
    <w:rsid w:val="00113F2B"/>
    <w:rsid w:val="001146B9"/>
    <w:rsid w:val="0011470A"/>
    <w:rsid w:val="00115B37"/>
    <w:rsid w:val="00115C10"/>
    <w:rsid w:val="00115DD8"/>
    <w:rsid w:val="001165FD"/>
    <w:rsid w:val="00117577"/>
    <w:rsid w:val="001176B3"/>
    <w:rsid w:val="001178AE"/>
    <w:rsid w:val="00117C9E"/>
    <w:rsid w:val="00117E28"/>
    <w:rsid w:val="001200EF"/>
    <w:rsid w:val="00120395"/>
    <w:rsid w:val="00120419"/>
    <w:rsid w:val="00120C4B"/>
    <w:rsid w:val="00121201"/>
    <w:rsid w:val="00121504"/>
    <w:rsid w:val="0012178D"/>
    <w:rsid w:val="0012181C"/>
    <w:rsid w:val="00121996"/>
    <w:rsid w:val="00121E3D"/>
    <w:rsid w:val="001224BA"/>
    <w:rsid w:val="0012254A"/>
    <w:rsid w:val="00122C4A"/>
    <w:rsid w:val="00123092"/>
    <w:rsid w:val="00123183"/>
    <w:rsid w:val="00123476"/>
    <w:rsid w:val="00124790"/>
    <w:rsid w:val="00124FFE"/>
    <w:rsid w:val="0012503D"/>
    <w:rsid w:val="0012515C"/>
    <w:rsid w:val="00125BA1"/>
    <w:rsid w:val="00125CF6"/>
    <w:rsid w:val="0012611D"/>
    <w:rsid w:val="00126875"/>
    <w:rsid w:val="001270C3"/>
    <w:rsid w:val="00127320"/>
    <w:rsid w:val="001273DA"/>
    <w:rsid w:val="0012746F"/>
    <w:rsid w:val="00127C22"/>
    <w:rsid w:val="00130D08"/>
    <w:rsid w:val="001313D7"/>
    <w:rsid w:val="00131566"/>
    <w:rsid w:val="0013174A"/>
    <w:rsid w:val="00131E7A"/>
    <w:rsid w:val="00131EC6"/>
    <w:rsid w:val="00132371"/>
    <w:rsid w:val="001324A9"/>
    <w:rsid w:val="00132BEC"/>
    <w:rsid w:val="001334ED"/>
    <w:rsid w:val="00134D8C"/>
    <w:rsid w:val="001351F6"/>
    <w:rsid w:val="00135414"/>
    <w:rsid w:val="0013556F"/>
    <w:rsid w:val="00135D6E"/>
    <w:rsid w:val="001363D3"/>
    <w:rsid w:val="00136AB0"/>
    <w:rsid w:val="00136D96"/>
    <w:rsid w:val="001378DF"/>
    <w:rsid w:val="00137C5A"/>
    <w:rsid w:val="00137EEB"/>
    <w:rsid w:val="00140589"/>
    <w:rsid w:val="001405E3"/>
    <w:rsid w:val="001411D7"/>
    <w:rsid w:val="0014169F"/>
    <w:rsid w:val="00141920"/>
    <w:rsid w:val="00141C37"/>
    <w:rsid w:val="00141CEB"/>
    <w:rsid w:val="001425B4"/>
    <w:rsid w:val="001431FA"/>
    <w:rsid w:val="00143CDE"/>
    <w:rsid w:val="00143E64"/>
    <w:rsid w:val="001442C7"/>
    <w:rsid w:val="00144406"/>
    <w:rsid w:val="00144B4D"/>
    <w:rsid w:val="00144B81"/>
    <w:rsid w:val="00144BD6"/>
    <w:rsid w:val="001459DE"/>
    <w:rsid w:val="001465DF"/>
    <w:rsid w:val="001467FE"/>
    <w:rsid w:val="00146B4A"/>
    <w:rsid w:val="00146D76"/>
    <w:rsid w:val="00147A77"/>
    <w:rsid w:val="00147B56"/>
    <w:rsid w:val="00147BEF"/>
    <w:rsid w:val="001502D0"/>
    <w:rsid w:val="0015111F"/>
    <w:rsid w:val="0015168B"/>
    <w:rsid w:val="00151A08"/>
    <w:rsid w:val="0015200C"/>
    <w:rsid w:val="00152191"/>
    <w:rsid w:val="00152A06"/>
    <w:rsid w:val="00153081"/>
    <w:rsid w:val="00153636"/>
    <w:rsid w:val="001537E3"/>
    <w:rsid w:val="00153880"/>
    <w:rsid w:val="00153E3A"/>
    <w:rsid w:val="00154BC7"/>
    <w:rsid w:val="001551CC"/>
    <w:rsid w:val="0015558C"/>
    <w:rsid w:val="001556E4"/>
    <w:rsid w:val="00155B2A"/>
    <w:rsid w:val="00156A61"/>
    <w:rsid w:val="00156E4D"/>
    <w:rsid w:val="00160178"/>
    <w:rsid w:val="0016022E"/>
    <w:rsid w:val="00160636"/>
    <w:rsid w:val="00160F48"/>
    <w:rsid w:val="00161BB4"/>
    <w:rsid w:val="00161C38"/>
    <w:rsid w:val="00161D26"/>
    <w:rsid w:val="00161F9C"/>
    <w:rsid w:val="0016231F"/>
    <w:rsid w:val="0016240C"/>
    <w:rsid w:val="00163073"/>
    <w:rsid w:val="0016368A"/>
    <w:rsid w:val="0016410B"/>
    <w:rsid w:val="001641A2"/>
    <w:rsid w:val="00164391"/>
    <w:rsid w:val="00164D67"/>
    <w:rsid w:val="00164EC2"/>
    <w:rsid w:val="00165148"/>
    <w:rsid w:val="00165DD4"/>
    <w:rsid w:val="00165EAF"/>
    <w:rsid w:val="001662EE"/>
    <w:rsid w:val="00166773"/>
    <w:rsid w:val="00166CC2"/>
    <w:rsid w:val="0016700D"/>
    <w:rsid w:val="0016755D"/>
    <w:rsid w:val="0016776E"/>
    <w:rsid w:val="00167780"/>
    <w:rsid w:val="001679E1"/>
    <w:rsid w:val="00167E7B"/>
    <w:rsid w:val="00167F96"/>
    <w:rsid w:val="001705C4"/>
    <w:rsid w:val="00170871"/>
    <w:rsid w:val="00170EC2"/>
    <w:rsid w:val="00170F78"/>
    <w:rsid w:val="0017109F"/>
    <w:rsid w:val="001714D5"/>
    <w:rsid w:val="001716B0"/>
    <w:rsid w:val="00171A2C"/>
    <w:rsid w:val="00171B92"/>
    <w:rsid w:val="00172243"/>
    <w:rsid w:val="00172369"/>
    <w:rsid w:val="00172A6F"/>
    <w:rsid w:val="00172C4C"/>
    <w:rsid w:val="00173433"/>
    <w:rsid w:val="0017384D"/>
    <w:rsid w:val="00173913"/>
    <w:rsid w:val="00173FD6"/>
    <w:rsid w:val="001741BB"/>
    <w:rsid w:val="001741FC"/>
    <w:rsid w:val="0017463B"/>
    <w:rsid w:val="00174EC5"/>
    <w:rsid w:val="00175ADC"/>
    <w:rsid w:val="00176A7C"/>
    <w:rsid w:val="00176F0E"/>
    <w:rsid w:val="00177348"/>
    <w:rsid w:val="00177560"/>
    <w:rsid w:val="00177566"/>
    <w:rsid w:val="00177C04"/>
    <w:rsid w:val="00177EED"/>
    <w:rsid w:val="00180B54"/>
    <w:rsid w:val="001823A8"/>
    <w:rsid w:val="001825BF"/>
    <w:rsid w:val="00182F50"/>
    <w:rsid w:val="0018313E"/>
    <w:rsid w:val="00183382"/>
    <w:rsid w:val="0018363D"/>
    <w:rsid w:val="00183643"/>
    <w:rsid w:val="001836E4"/>
    <w:rsid w:val="00183AFE"/>
    <w:rsid w:val="00183B02"/>
    <w:rsid w:val="00183D1C"/>
    <w:rsid w:val="00183E35"/>
    <w:rsid w:val="00184306"/>
    <w:rsid w:val="00184681"/>
    <w:rsid w:val="00184CEF"/>
    <w:rsid w:val="0018557D"/>
    <w:rsid w:val="00185789"/>
    <w:rsid w:val="001857CC"/>
    <w:rsid w:val="00185C09"/>
    <w:rsid w:val="0018600F"/>
    <w:rsid w:val="00186370"/>
    <w:rsid w:val="0018693D"/>
    <w:rsid w:val="001869B0"/>
    <w:rsid w:val="00186A23"/>
    <w:rsid w:val="00186BE8"/>
    <w:rsid w:val="00186E7D"/>
    <w:rsid w:val="0018727E"/>
    <w:rsid w:val="00187ACF"/>
    <w:rsid w:val="00187BBE"/>
    <w:rsid w:val="001900CA"/>
    <w:rsid w:val="001900CC"/>
    <w:rsid w:val="0019051E"/>
    <w:rsid w:val="00190850"/>
    <w:rsid w:val="00190B26"/>
    <w:rsid w:val="00190DB7"/>
    <w:rsid w:val="00190F29"/>
    <w:rsid w:val="001911CA"/>
    <w:rsid w:val="00191F6F"/>
    <w:rsid w:val="001923F7"/>
    <w:rsid w:val="001925EB"/>
    <w:rsid w:val="00192B3E"/>
    <w:rsid w:val="00192E73"/>
    <w:rsid w:val="0019333B"/>
    <w:rsid w:val="0019338C"/>
    <w:rsid w:val="00193612"/>
    <w:rsid w:val="00193827"/>
    <w:rsid w:val="001939CD"/>
    <w:rsid w:val="00193C20"/>
    <w:rsid w:val="001940EC"/>
    <w:rsid w:val="001946D5"/>
    <w:rsid w:val="00194D03"/>
    <w:rsid w:val="00194E15"/>
    <w:rsid w:val="00194EB1"/>
    <w:rsid w:val="001950D0"/>
    <w:rsid w:val="001952CE"/>
    <w:rsid w:val="00195710"/>
    <w:rsid w:val="001958EB"/>
    <w:rsid w:val="00195D72"/>
    <w:rsid w:val="00195E51"/>
    <w:rsid w:val="001967C2"/>
    <w:rsid w:val="00196801"/>
    <w:rsid w:val="001969D7"/>
    <w:rsid w:val="00196C59"/>
    <w:rsid w:val="00196C9A"/>
    <w:rsid w:val="0019709B"/>
    <w:rsid w:val="001979CA"/>
    <w:rsid w:val="00197DB2"/>
    <w:rsid w:val="001A046D"/>
    <w:rsid w:val="001A04A6"/>
    <w:rsid w:val="001A07F0"/>
    <w:rsid w:val="001A138E"/>
    <w:rsid w:val="001A21E9"/>
    <w:rsid w:val="001A2919"/>
    <w:rsid w:val="001A2D0D"/>
    <w:rsid w:val="001A2FB3"/>
    <w:rsid w:val="001A323C"/>
    <w:rsid w:val="001A36B6"/>
    <w:rsid w:val="001A4ACF"/>
    <w:rsid w:val="001A4E36"/>
    <w:rsid w:val="001A4F32"/>
    <w:rsid w:val="001A5413"/>
    <w:rsid w:val="001A656D"/>
    <w:rsid w:val="001A6ECD"/>
    <w:rsid w:val="001A72BB"/>
    <w:rsid w:val="001A7944"/>
    <w:rsid w:val="001A7D4B"/>
    <w:rsid w:val="001B0C77"/>
    <w:rsid w:val="001B0D87"/>
    <w:rsid w:val="001B0D90"/>
    <w:rsid w:val="001B18DE"/>
    <w:rsid w:val="001B19D1"/>
    <w:rsid w:val="001B19F3"/>
    <w:rsid w:val="001B1A97"/>
    <w:rsid w:val="001B1C63"/>
    <w:rsid w:val="001B1E2E"/>
    <w:rsid w:val="001B1F55"/>
    <w:rsid w:val="001B1FB1"/>
    <w:rsid w:val="001B26FF"/>
    <w:rsid w:val="001B2955"/>
    <w:rsid w:val="001B29AA"/>
    <w:rsid w:val="001B2BA4"/>
    <w:rsid w:val="001B2F1E"/>
    <w:rsid w:val="001B397F"/>
    <w:rsid w:val="001B4498"/>
    <w:rsid w:val="001B4731"/>
    <w:rsid w:val="001B4B78"/>
    <w:rsid w:val="001B5A08"/>
    <w:rsid w:val="001B5A76"/>
    <w:rsid w:val="001B74FB"/>
    <w:rsid w:val="001B7980"/>
    <w:rsid w:val="001B7F52"/>
    <w:rsid w:val="001C00BA"/>
    <w:rsid w:val="001C0634"/>
    <w:rsid w:val="001C0693"/>
    <w:rsid w:val="001C0C2A"/>
    <w:rsid w:val="001C12DA"/>
    <w:rsid w:val="001C13E5"/>
    <w:rsid w:val="001C184F"/>
    <w:rsid w:val="001C2062"/>
    <w:rsid w:val="001C221A"/>
    <w:rsid w:val="001C2DDE"/>
    <w:rsid w:val="001C30B6"/>
    <w:rsid w:val="001C3379"/>
    <w:rsid w:val="001C4029"/>
    <w:rsid w:val="001C4AEE"/>
    <w:rsid w:val="001C4EA8"/>
    <w:rsid w:val="001C54A9"/>
    <w:rsid w:val="001C5A5F"/>
    <w:rsid w:val="001C5AA0"/>
    <w:rsid w:val="001C5E50"/>
    <w:rsid w:val="001C61E5"/>
    <w:rsid w:val="001C673C"/>
    <w:rsid w:val="001C69C1"/>
    <w:rsid w:val="001C6D00"/>
    <w:rsid w:val="001C6E79"/>
    <w:rsid w:val="001C750A"/>
    <w:rsid w:val="001C7DCC"/>
    <w:rsid w:val="001C7DF2"/>
    <w:rsid w:val="001C7F84"/>
    <w:rsid w:val="001D0732"/>
    <w:rsid w:val="001D07CD"/>
    <w:rsid w:val="001D0C71"/>
    <w:rsid w:val="001D0D36"/>
    <w:rsid w:val="001D0DF2"/>
    <w:rsid w:val="001D1C37"/>
    <w:rsid w:val="001D1D62"/>
    <w:rsid w:val="001D1F22"/>
    <w:rsid w:val="001D22E4"/>
    <w:rsid w:val="001D23AD"/>
    <w:rsid w:val="001D2976"/>
    <w:rsid w:val="001D2C5D"/>
    <w:rsid w:val="001D30AD"/>
    <w:rsid w:val="001D375A"/>
    <w:rsid w:val="001D3D67"/>
    <w:rsid w:val="001D48FB"/>
    <w:rsid w:val="001D4D5E"/>
    <w:rsid w:val="001D523E"/>
    <w:rsid w:val="001D590B"/>
    <w:rsid w:val="001D5912"/>
    <w:rsid w:val="001D5CC1"/>
    <w:rsid w:val="001D6163"/>
    <w:rsid w:val="001D63F7"/>
    <w:rsid w:val="001D67A5"/>
    <w:rsid w:val="001D6979"/>
    <w:rsid w:val="001D7BDB"/>
    <w:rsid w:val="001D7D83"/>
    <w:rsid w:val="001D7EB6"/>
    <w:rsid w:val="001E00F8"/>
    <w:rsid w:val="001E0252"/>
    <w:rsid w:val="001E0734"/>
    <w:rsid w:val="001E0C1C"/>
    <w:rsid w:val="001E0D67"/>
    <w:rsid w:val="001E0F99"/>
    <w:rsid w:val="001E13B0"/>
    <w:rsid w:val="001E18EF"/>
    <w:rsid w:val="001E1941"/>
    <w:rsid w:val="001E1B2F"/>
    <w:rsid w:val="001E1BF2"/>
    <w:rsid w:val="001E1CBD"/>
    <w:rsid w:val="001E22AA"/>
    <w:rsid w:val="001E29C0"/>
    <w:rsid w:val="001E326F"/>
    <w:rsid w:val="001E359B"/>
    <w:rsid w:val="001E3800"/>
    <w:rsid w:val="001E3CE3"/>
    <w:rsid w:val="001E3E5D"/>
    <w:rsid w:val="001E4920"/>
    <w:rsid w:val="001E50F2"/>
    <w:rsid w:val="001E53E8"/>
    <w:rsid w:val="001E565F"/>
    <w:rsid w:val="001E577C"/>
    <w:rsid w:val="001E5A1D"/>
    <w:rsid w:val="001E602E"/>
    <w:rsid w:val="001E607B"/>
    <w:rsid w:val="001E60C0"/>
    <w:rsid w:val="001E6449"/>
    <w:rsid w:val="001E67F7"/>
    <w:rsid w:val="001E6A84"/>
    <w:rsid w:val="001E6CDE"/>
    <w:rsid w:val="001F0305"/>
    <w:rsid w:val="001F0419"/>
    <w:rsid w:val="001F09A6"/>
    <w:rsid w:val="001F0A01"/>
    <w:rsid w:val="001F0ACC"/>
    <w:rsid w:val="001F0C8F"/>
    <w:rsid w:val="001F18BC"/>
    <w:rsid w:val="001F1BD6"/>
    <w:rsid w:val="001F1DF8"/>
    <w:rsid w:val="001F2324"/>
    <w:rsid w:val="001F2382"/>
    <w:rsid w:val="001F3329"/>
    <w:rsid w:val="001F3545"/>
    <w:rsid w:val="001F3868"/>
    <w:rsid w:val="001F38F8"/>
    <w:rsid w:val="001F3997"/>
    <w:rsid w:val="001F3AAC"/>
    <w:rsid w:val="001F49B6"/>
    <w:rsid w:val="001F4C04"/>
    <w:rsid w:val="001F5EFA"/>
    <w:rsid w:val="001F63CE"/>
    <w:rsid w:val="001F64A3"/>
    <w:rsid w:val="001F6D5C"/>
    <w:rsid w:val="001F6F93"/>
    <w:rsid w:val="001F75B9"/>
    <w:rsid w:val="001F784D"/>
    <w:rsid w:val="00200C15"/>
    <w:rsid w:val="002011CE"/>
    <w:rsid w:val="00201709"/>
    <w:rsid w:val="002018CE"/>
    <w:rsid w:val="00202190"/>
    <w:rsid w:val="002021D0"/>
    <w:rsid w:val="0020263B"/>
    <w:rsid w:val="002029A1"/>
    <w:rsid w:val="00202C7B"/>
    <w:rsid w:val="00202FBA"/>
    <w:rsid w:val="0020343C"/>
    <w:rsid w:val="00203494"/>
    <w:rsid w:val="002034E9"/>
    <w:rsid w:val="00203D37"/>
    <w:rsid w:val="00203FD5"/>
    <w:rsid w:val="002048A3"/>
    <w:rsid w:val="00204C88"/>
    <w:rsid w:val="00204DF9"/>
    <w:rsid w:val="002054CB"/>
    <w:rsid w:val="002056BA"/>
    <w:rsid w:val="00205996"/>
    <w:rsid w:val="00206637"/>
    <w:rsid w:val="00206B14"/>
    <w:rsid w:val="00206EF4"/>
    <w:rsid w:val="00207291"/>
    <w:rsid w:val="00207754"/>
    <w:rsid w:val="00207B9F"/>
    <w:rsid w:val="00207BB1"/>
    <w:rsid w:val="0021024A"/>
    <w:rsid w:val="0021026C"/>
    <w:rsid w:val="0021051F"/>
    <w:rsid w:val="0021067D"/>
    <w:rsid w:val="00210A5D"/>
    <w:rsid w:val="00210DB0"/>
    <w:rsid w:val="002112F0"/>
    <w:rsid w:val="0021141C"/>
    <w:rsid w:val="0021156E"/>
    <w:rsid w:val="00211971"/>
    <w:rsid w:val="00211C68"/>
    <w:rsid w:val="00212049"/>
    <w:rsid w:val="00212787"/>
    <w:rsid w:val="00212EB6"/>
    <w:rsid w:val="00213164"/>
    <w:rsid w:val="00213552"/>
    <w:rsid w:val="0021376D"/>
    <w:rsid w:val="00213E74"/>
    <w:rsid w:val="00214423"/>
    <w:rsid w:val="00214501"/>
    <w:rsid w:val="00214D0F"/>
    <w:rsid w:val="00214F89"/>
    <w:rsid w:val="002152ED"/>
    <w:rsid w:val="002159E6"/>
    <w:rsid w:val="00215FE4"/>
    <w:rsid w:val="00216AE4"/>
    <w:rsid w:val="00216FDD"/>
    <w:rsid w:val="00217ED5"/>
    <w:rsid w:val="002207AE"/>
    <w:rsid w:val="002207F1"/>
    <w:rsid w:val="00220C71"/>
    <w:rsid w:val="00220FC7"/>
    <w:rsid w:val="002211F2"/>
    <w:rsid w:val="002216CA"/>
    <w:rsid w:val="00221A36"/>
    <w:rsid w:val="00221F83"/>
    <w:rsid w:val="00222537"/>
    <w:rsid w:val="00222A0F"/>
    <w:rsid w:val="002230CB"/>
    <w:rsid w:val="0022340F"/>
    <w:rsid w:val="00223D39"/>
    <w:rsid w:val="00224803"/>
    <w:rsid w:val="00224992"/>
    <w:rsid w:val="00225474"/>
    <w:rsid w:val="002262BF"/>
    <w:rsid w:val="00226942"/>
    <w:rsid w:val="00226F2E"/>
    <w:rsid w:val="0022708E"/>
    <w:rsid w:val="00227396"/>
    <w:rsid w:val="00227411"/>
    <w:rsid w:val="002308EB"/>
    <w:rsid w:val="00230B85"/>
    <w:rsid w:val="00230EE4"/>
    <w:rsid w:val="00231365"/>
    <w:rsid w:val="00231432"/>
    <w:rsid w:val="00231FCB"/>
    <w:rsid w:val="00232581"/>
    <w:rsid w:val="0023280E"/>
    <w:rsid w:val="0023288A"/>
    <w:rsid w:val="00232E7F"/>
    <w:rsid w:val="00232FC0"/>
    <w:rsid w:val="002334DA"/>
    <w:rsid w:val="002337AA"/>
    <w:rsid w:val="00234A38"/>
    <w:rsid w:val="00234C20"/>
    <w:rsid w:val="00234CA3"/>
    <w:rsid w:val="00235F22"/>
    <w:rsid w:val="00236603"/>
    <w:rsid w:val="0023680B"/>
    <w:rsid w:val="00236AC5"/>
    <w:rsid w:val="00236D5E"/>
    <w:rsid w:val="00236F3D"/>
    <w:rsid w:val="002371DE"/>
    <w:rsid w:val="002374D8"/>
    <w:rsid w:val="00237CDE"/>
    <w:rsid w:val="00237E75"/>
    <w:rsid w:val="0024018E"/>
    <w:rsid w:val="002401C1"/>
    <w:rsid w:val="00240A95"/>
    <w:rsid w:val="00240DAE"/>
    <w:rsid w:val="00241179"/>
    <w:rsid w:val="0024154E"/>
    <w:rsid w:val="00241B73"/>
    <w:rsid w:val="00241D2E"/>
    <w:rsid w:val="0024230D"/>
    <w:rsid w:val="00242455"/>
    <w:rsid w:val="002426E3"/>
    <w:rsid w:val="00243101"/>
    <w:rsid w:val="00243DEA"/>
    <w:rsid w:val="00244398"/>
    <w:rsid w:val="00244CA3"/>
    <w:rsid w:val="002453F7"/>
    <w:rsid w:val="00245B3F"/>
    <w:rsid w:val="00245BCC"/>
    <w:rsid w:val="0024613F"/>
    <w:rsid w:val="00246192"/>
    <w:rsid w:val="0024680A"/>
    <w:rsid w:val="002468AC"/>
    <w:rsid w:val="002469AB"/>
    <w:rsid w:val="002469E1"/>
    <w:rsid w:val="00246FA8"/>
    <w:rsid w:val="00250AD1"/>
    <w:rsid w:val="00251046"/>
    <w:rsid w:val="00251145"/>
    <w:rsid w:val="002512F2"/>
    <w:rsid w:val="00251F9C"/>
    <w:rsid w:val="00251FEB"/>
    <w:rsid w:val="0025200C"/>
    <w:rsid w:val="00252148"/>
    <w:rsid w:val="00252D9B"/>
    <w:rsid w:val="00252FD5"/>
    <w:rsid w:val="0025335E"/>
    <w:rsid w:val="002538AA"/>
    <w:rsid w:val="0025396C"/>
    <w:rsid w:val="002539DE"/>
    <w:rsid w:val="00253B38"/>
    <w:rsid w:val="00255049"/>
    <w:rsid w:val="00255363"/>
    <w:rsid w:val="0025551A"/>
    <w:rsid w:val="002555C4"/>
    <w:rsid w:val="0025576C"/>
    <w:rsid w:val="00256440"/>
    <w:rsid w:val="00256829"/>
    <w:rsid w:val="00256966"/>
    <w:rsid w:val="00256A7C"/>
    <w:rsid w:val="00256F8B"/>
    <w:rsid w:val="002573E1"/>
    <w:rsid w:val="00257B6E"/>
    <w:rsid w:val="00257F8F"/>
    <w:rsid w:val="002600BC"/>
    <w:rsid w:val="002602A4"/>
    <w:rsid w:val="002609FE"/>
    <w:rsid w:val="00260B5E"/>
    <w:rsid w:val="00260C44"/>
    <w:rsid w:val="00260D14"/>
    <w:rsid w:val="00260EBE"/>
    <w:rsid w:val="0026106A"/>
    <w:rsid w:val="0026176C"/>
    <w:rsid w:val="002620EC"/>
    <w:rsid w:val="00262C6D"/>
    <w:rsid w:val="00262C8A"/>
    <w:rsid w:val="002634F5"/>
    <w:rsid w:val="0026385C"/>
    <w:rsid w:val="002639FE"/>
    <w:rsid w:val="00263BE8"/>
    <w:rsid w:val="00263CE7"/>
    <w:rsid w:val="00263FC5"/>
    <w:rsid w:val="002641D1"/>
    <w:rsid w:val="00264C97"/>
    <w:rsid w:val="00264D2C"/>
    <w:rsid w:val="00264EA0"/>
    <w:rsid w:val="00265ACD"/>
    <w:rsid w:val="00265D84"/>
    <w:rsid w:val="00266507"/>
    <w:rsid w:val="00266CD7"/>
    <w:rsid w:val="00267194"/>
    <w:rsid w:val="002678BC"/>
    <w:rsid w:val="002679C2"/>
    <w:rsid w:val="002706C8"/>
    <w:rsid w:val="00270BAF"/>
    <w:rsid w:val="00270C15"/>
    <w:rsid w:val="0027194C"/>
    <w:rsid w:val="00271C88"/>
    <w:rsid w:val="00271FB9"/>
    <w:rsid w:val="0027254C"/>
    <w:rsid w:val="00272556"/>
    <w:rsid w:val="0027330F"/>
    <w:rsid w:val="002734AA"/>
    <w:rsid w:val="00273826"/>
    <w:rsid w:val="00273A89"/>
    <w:rsid w:val="00274914"/>
    <w:rsid w:val="00274A0C"/>
    <w:rsid w:val="00274C72"/>
    <w:rsid w:val="00274F97"/>
    <w:rsid w:val="002750C4"/>
    <w:rsid w:val="0027619A"/>
    <w:rsid w:val="00276309"/>
    <w:rsid w:val="00276870"/>
    <w:rsid w:val="00276896"/>
    <w:rsid w:val="00276D26"/>
    <w:rsid w:val="00276E47"/>
    <w:rsid w:val="00276FC2"/>
    <w:rsid w:val="002773C2"/>
    <w:rsid w:val="002775D7"/>
    <w:rsid w:val="002777F0"/>
    <w:rsid w:val="00277858"/>
    <w:rsid w:val="00277A39"/>
    <w:rsid w:val="00277DF2"/>
    <w:rsid w:val="00277F72"/>
    <w:rsid w:val="0028064A"/>
    <w:rsid w:val="002814E2"/>
    <w:rsid w:val="002815F8"/>
    <w:rsid w:val="0028175E"/>
    <w:rsid w:val="002820AF"/>
    <w:rsid w:val="00282183"/>
    <w:rsid w:val="00282556"/>
    <w:rsid w:val="00282B53"/>
    <w:rsid w:val="00282E4E"/>
    <w:rsid w:val="002830C2"/>
    <w:rsid w:val="0028314D"/>
    <w:rsid w:val="00283A95"/>
    <w:rsid w:val="0028440D"/>
    <w:rsid w:val="002844C4"/>
    <w:rsid w:val="00285342"/>
    <w:rsid w:val="00285B55"/>
    <w:rsid w:val="00285DC8"/>
    <w:rsid w:val="0028617E"/>
    <w:rsid w:val="00287416"/>
    <w:rsid w:val="0028748D"/>
    <w:rsid w:val="002878F8"/>
    <w:rsid w:val="00290E52"/>
    <w:rsid w:val="00290E73"/>
    <w:rsid w:val="00291035"/>
    <w:rsid w:val="0029123E"/>
    <w:rsid w:val="0029182B"/>
    <w:rsid w:val="002918A1"/>
    <w:rsid w:val="00292649"/>
    <w:rsid w:val="00292756"/>
    <w:rsid w:val="00292AC8"/>
    <w:rsid w:val="00293210"/>
    <w:rsid w:val="002935DF"/>
    <w:rsid w:val="002937ED"/>
    <w:rsid w:val="00293809"/>
    <w:rsid w:val="00293816"/>
    <w:rsid w:val="00293FAC"/>
    <w:rsid w:val="002940D6"/>
    <w:rsid w:val="00294215"/>
    <w:rsid w:val="002945D8"/>
    <w:rsid w:val="0029499D"/>
    <w:rsid w:val="00294B7F"/>
    <w:rsid w:val="00294B92"/>
    <w:rsid w:val="00295194"/>
    <w:rsid w:val="002951E3"/>
    <w:rsid w:val="00295C18"/>
    <w:rsid w:val="00296396"/>
    <w:rsid w:val="002966CE"/>
    <w:rsid w:val="00296922"/>
    <w:rsid w:val="00297357"/>
    <w:rsid w:val="002976BD"/>
    <w:rsid w:val="00297764"/>
    <w:rsid w:val="00297C85"/>
    <w:rsid w:val="002A059D"/>
    <w:rsid w:val="002A05C5"/>
    <w:rsid w:val="002A0C43"/>
    <w:rsid w:val="002A11EE"/>
    <w:rsid w:val="002A1447"/>
    <w:rsid w:val="002A1655"/>
    <w:rsid w:val="002A1723"/>
    <w:rsid w:val="002A190F"/>
    <w:rsid w:val="002A1B4B"/>
    <w:rsid w:val="002A23D0"/>
    <w:rsid w:val="002A2630"/>
    <w:rsid w:val="002A297D"/>
    <w:rsid w:val="002A3177"/>
    <w:rsid w:val="002A321A"/>
    <w:rsid w:val="002A3C51"/>
    <w:rsid w:val="002A3EE7"/>
    <w:rsid w:val="002A4A50"/>
    <w:rsid w:val="002A4AFB"/>
    <w:rsid w:val="002A4DCA"/>
    <w:rsid w:val="002A4F0F"/>
    <w:rsid w:val="002A5004"/>
    <w:rsid w:val="002A5155"/>
    <w:rsid w:val="002A51EE"/>
    <w:rsid w:val="002A53A4"/>
    <w:rsid w:val="002A5D15"/>
    <w:rsid w:val="002A5E66"/>
    <w:rsid w:val="002A5FA5"/>
    <w:rsid w:val="002A6054"/>
    <w:rsid w:val="002A660C"/>
    <w:rsid w:val="002A6C46"/>
    <w:rsid w:val="002A6DBE"/>
    <w:rsid w:val="002A7531"/>
    <w:rsid w:val="002A794E"/>
    <w:rsid w:val="002A7984"/>
    <w:rsid w:val="002A7D86"/>
    <w:rsid w:val="002A7DDF"/>
    <w:rsid w:val="002A7F18"/>
    <w:rsid w:val="002B00C3"/>
    <w:rsid w:val="002B04FF"/>
    <w:rsid w:val="002B1355"/>
    <w:rsid w:val="002B1425"/>
    <w:rsid w:val="002B29FB"/>
    <w:rsid w:val="002B2BB2"/>
    <w:rsid w:val="002B2CAF"/>
    <w:rsid w:val="002B3097"/>
    <w:rsid w:val="002B39DA"/>
    <w:rsid w:val="002B3B21"/>
    <w:rsid w:val="002B3E64"/>
    <w:rsid w:val="002B4305"/>
    <w:rsid w:val="002B443D"/>
    <w:rsid w:val="002B486B"/>
    <w:rsid w:val="002B50EF"/>
    <w:rsid w:val="002B512E"/>
    <w:rsid w:val="002B5B7D"/>
    <w:rsid w:val="002B5D02"/>
    <w:rsid w:val="002B60DD"/>
    <w:rsid w:val="002B60FE"/>
    <w:rsid w:val="002B64B5"/>
    <w:rsid w:val="002B67E3"/>
    <w:rsid w:val="002B6C22"/>
    <w:rsid w:val="002B7063"/>
    <w:rsid w:val="002B750D"/>
    <w:rsid w:val="002B77CC"/>
    <w:rsid w:val="002B7A72"/>
    <w:rsid w:val="002C007C"/>
    <w:rsid w:val="002C04A4"/>
    <w:rsid w:val="002C16A7"/>
    <w:rsid w:val="002C2484"/>
    <w:rsid w:val="002C263A"/>
    <w:rsid w:val="002C2ADF"/>
    <w:rsid w:val="002C39F4"/>
    <w:rsid w:val="002C3A28"/>
    <w:rsid w:val="002C3C1B"/>
    <w:rsid w:val="002C413C"/>
    <w:rsid w:val="002C42B4"/>
    <w:rsid w:val="002C4393"/>
    <w:rsid w:val="002C481C"/>
    <w:rsid w:val="002C509C"/>
    <w:rsid w:val="002C539A"/>
    <w:rsid w:val="002C59D7"/>
    <w:rsid w:val="002C5C34"/>
    <w:rsid w:val="002C5FB8"/>
    <w:rsid w:val="002C628A"/>
    <w:rsid w:val="002C6646"/>
    <w:rsid w:val="002C6AE9"/>
    <w:rsid w:val="002C76A6"/>
    <w:rsid w:val="002D016D"/>
    <w:rsid w:val="002D0C4E"/>
    <w:rsid w:val="002D0C73"/>
    <w:rsid w:val="002D131B"/>
    <w:rsid w:val="002D1379"/>
    <w:rsid w:val="002D3B02"/>
    <w:rsid w:val="002D3DCA"/>
    <w:rsid w:val="002D4010"/>
    <w:rsid w:val="002D43D4"/>
    <w:rsid w:val="002D4842"/>
    <w:rsid w:val="002D4978"/>
    <w:rsid w:val="002D4BF3"/>
    <w:rsid w:val="002D4F01"/>
    <w:rsid w:val="002D4F4B"/>
    <w:rsid w:val="002D54F9"/>
    <w:rsid w:val="002D56C8"/>
    <w:rsid w:val="002D57E3"/>
    <w:rsid w:val="002D5C6C"/>
    <w:rsid w:val="002D5E6A"/>
    <w:rsid w:val="002D6127"/>
    <w:rsid w:val="002D682B"/>
    <w:rsid w:val="002D68FB"/>
    <w:rsid w:val="002D6951"/>
    <w:rsid w:val="002D7124"/>
    <w:rsid w:val="002D7980"/>
    <w:rsid w:val="002D7BB3"/>
    <w:rsid w:val="002E12D9"/>
    <w:rsid w:val="002E16FA"/>
    <w:rsid w:val="002E1B22"/>
    <w:rsid w:val="002E22D4"/>
    <w:rsid w:val="002E26C7"/>
    <w:rsid w:val="002E281E"/>
    <w:rsid w:val="002E3571"/>
    <w:rsid w:val="002E3804"/>
    <w:rsid w:val="002E3E18"/>
    <w:rsid w:val="002E4809"/>
    <w:rsid w:val="002E484A"/>
    <w:rsid w:val="002E48AC"/>
    <w:rsid w:val="002E52E5"/>
    <w:rsid w:val="002E5C5B"/>
    <w:rsid w:val="002E6517"/>
    <w:rsid w:val="002E7026"/>
    <w:rsid w:val="002E7385"/>
    <w:rsid w:val="002E768B"/>
    <w:rsid w:val="002E7A0D"/>
    <w:rsid w:val="002E7A7B"/>
    <w:rsid w:val="002F0463"/>
    <w:rsid w:val="002F06AB"/>
    <w:rsid w:val="002F083D"/>
    <w:rsid w:val="002F0D33"/>
    <w:rsid w:val="002F0F42"/>
    <w:rsid w:val="002F10E8"/>
    <w:rsid w:val="002F12DF"/>
    <w:rsid w:val="002F15E4"/>
    <w:rsid w:val="002F1F5C"/>
    <w:rsid w:val="002F2467"/>
    <w:rsid w:val="002F31C5"/>
    <w:rsid w:val="002F382F"/>
    <w:rsid w:val="002F3ADA"/>
    <w:rsid w:val="002F3F25"/>
    <w:rsid w:val="002F3FDF"/>
    <w:rsid w:val="002F3FE8"/>
    <w:rsid w:val="002F402D"/>
    <w:rsid w:val="002F42B6"/>
    <w:rsid w:val="002F4868"/>
    <w:rsid w:val="002F5247"/>
    <w:rsid w:val="002F542B"/>
    <w:rsid w:val="002F5A64"/>
    <w:rsid w:val="002F5C30"/>
    <w:rsid w:val="002F6562"/>
    <w:rsid w:val="002F65B4"/>
    <w:rsid w:val="002F6ACC"/>
    <w:rsid w:val="002F6C5A"/>
    <w:rsid w:val="002F6FC0"/>
    <w:rsid w:val="002F6FCD"/>
    <w:rsid w:val="002F7698"/>
    <w:rsid w:val="002F76DD"/>
    <w:rsid w:val="00300184"/>
    <w:rsid w:val="00300944"/>
    <w:rsid w:val="0030106D"/>
    <w:rsid w:val="00301114"/>
    <w:rsid w:val="00301554"/>
    <w:rsid w:val="003019DD"/>
    <w:rsid w:val="00301FA8"/>
    <w:rsid w:val="00302433"/>
    <w:rsid w:val="003024C8"/>
    <w:rsid w:val="003025A6"/>
    <w:rsid w:val="00302633"/>
    <w:rsid w:val="00302891"/>
    <w:rsid w:val="00302AED"/>
    <w:rsid w:val="003030A1"/>
    <w:rsid w:val="00303719"/>
    <w:rsid w:val="00304B34"/>
    <w:rsid w:val="00304DA3"/>
    <w:rsid w:val="003053AA"/>
    <w:rsid w:val="00305549"/>
    <w:rsid w:val="0030614E"/>
    <w:rsid w:val="0030620C"/>
    <w:rsid w:val="00306537"/>
    <w:rsid w:val="00306E83"/>
    <w:rsid w:val="00307A3F"/>
    <w:rsid w:val="00307B2C"/>
    <w:rsid w:val="00307B78"/>
    <w:rsid w:val="00307FAE"/>
    <w:rsid w:val="003103E6"/>
    <w:rsid w:val="00310454"/>
    <w:rsid w:val="0031086F"/>
    <w:rsid w:val="00310D36"/>
    <w:rsid w:val="00311716"/>
    <w:rsid w:val="00311FC8"/>
    <w:rsid w:val="003126A2"/>
    <w:rsid w:val="003133E8"/>
    <w:rsid w:val="00313652"/>
    <w:rsid w:val="0031490A"/>
    <w:rsid w:val="00315277"/>
    <w:rsid w:val="0031531A"/>
    <w:rsid w:val="0031591D"/>
    <w:rsid w:val="003159F6"/>
    <w:rsid w:val="00315AF0"/>
    <w:rsid w:val="00316181"/>
    <w:rsid w:val="003164BB"/>
    <w:rsid w:val="00316878"/>
    <w:rsid w:val="00316EA7"/>
    <w:rsid w:val="003172D8"/>
    <w:rsid w:val="00317C67"/>
    <w:rsid w:val="00317DD4"/>
    <w:rsid w:val="0032031E"/>
    <w:rsid w:val="00320668"/>
    <w:rsid w:val="003210BD"/>
    <w:rsid w:val="003212CC"/>
    <w:rsid w:val="003214A8"/>
    <w:rsid w:val="0032173F"/>
    <w:rsid w:val="0032181A"/>
    <w:rsid w:val="003219D9"/>
    <w:rsid w:val="00322544"/>
    <w:rsid w:val="003229C9"/>
    <w:rsid w:val="00322DCD"/>
    <w:rsid w:val="00322E3A"/>
    <w:rsid w:val="00323AF0"/>
    <w:rsid w:val="00323E8B"/>
    <w:rsid w:val="00323F42"/>
    <w:rsid w:val="0032475B"/>
    <w:rsid w:val="00324B94"/>
    <w:rsid w:val="003254F1"/>
    <w:rsid w:val="0032639F"/>
    <w:rsid w:val="00327209"/>
    <w:rsid w:val="00327D13"/>
    <w:rsid w:val="00327E08"/>
    <w:rsid w:val="00330C7F"/>
    <w:rsid w:val="00330CDF"/>
    <w:rsid w:val="003312AF"/>
    <w:rsid w:val="00332217"/>
    <w:rsid w:val="003323C1"/>
    <w:rsid w:val="0033275F"/>
    <w:rsid w:val="00332AD3"/>
    <w:rsid w:val="00332C06"/>
    <w:rsid w:val="00333323"/>
    <w:rsid w:val="0033359F"/>
    <w:rsid w:val="00333FCD"/>
    <w:rsid w:val="00333FD5"/>
    <w:rsid w:val="0033406E"/>
    <w:rsid w:val="003340B9"/>
    <w:rsid w:val="00334976"/>
    <w:rsid w:val="00334AEA"/>
    <w:rsid w:val="0033506C"/>
    <w:rsid w:val="0033522A"/>
    <w:rsid w:val="0033556C"/>
    <w:rsid w:val="003358F6"/>
    <w:rsid w:val="00335A02"/>
    <w:rsid w:val="00336C57"/>
    <w:rsid w:val="00337014"/>
    <w:rsid w:val="003375A1"/>
    <w:rsid w:val="00337DB2"/>
    <w:rsid w:val="00340B08"/>
    <w:rsid w:val="00340E36"/>
    <w:rsid w:val="00341369"/>
    <w:rsid w:val="00341556"/>
    <w:rsid w:val="00341D33"/>
    <w:rsid w:val="0034218F"/>
    <w:rsid w:val="0034258B"/>
    <w:rsid w:val="00342B35"/>
    <w:rsid w:val="00342D7F"/>
    <w:rsid w:val="00343088"/>
    <w:rsid w:val="00343A13"/>
    <w:rsid w:val="00343FD4"/>
    <w:rsid w:val="00344061"/>
    <w:rsid w:val="003440E8"/>
    <w:rsid w:val="00344201"/>
    <w:rsid w:val="0034433B"/>
    <w:rsid w:val="0034452B"/>
    <w:rsid w:val="003446EC"/>
    <w:rsid w:val="00344C30"/>
    <w:rsid w:val="00344D56"/>
    <w:rsid w:val="00345069"/>
    <w:rsid w:val="00345CFA"/>
    <w:rsid w:val="00345E66"/>
    <w:rsid w:val="00346183"/>
    <w:rsid w:val="003465F8"/>
    <w:rsid w:val="003468CC"/>
    <w:rsid w:val="003470CF"/>
    <w:rsid w:val="003473D6"/>
    <w:rsid w:val="00347433"/>
    <w:rsid w:val="003479F6"/>
    <w:rsid w:val="00350029"/>
    <w:rsid w:val="003501C7"/>
    <w:rsid w:val="00350A84"/>
    <w:rsid w:val="00350E2F"/>
    <w:rsid w:val="00350E5D"/>
    <w:rsid w:val="00350EF3"/>
    <w:rsid w:val="00351061"/>
    <w:rsid w:val="0035122E"/>
    <w:rsid w:val="003512D0"/>
    <w:rsid w:val="0035130B"/>
    <w:rsid w:val="00351C10"/>
    <w:rsid w:val="003520B3"/>
    <w:rsid w:val="003532A2"/>
    <w:rsid w:val="00353663"/>
    <w:rsid w:val="00353825"/>
    <w:rsid w:val="00353B81"/>
    <w:rsid w:val="00353DD7"/>
    <w:rsid w:val="00354A84"/>
    <w:rsid w:val="00355DAA"/>
    <w:rsid w:val="00355DED"/>
    <w:rsid w:val="00355E91"/>
    <w:rsid w:val="0035622E"/>
    <w:rsid w:val="003568EA"/>
    <w:rsid w:val="00357950"/>
    <w:rsid w:val="00357D0F"/>
    <w:rsid w:val="00357DD7"/>
    <w:rsid w:val="003601BC"/>
    <w:rsid w:val="003606C8"/>
    <w:rsid w:val="00360763"/>
    <w:rsid w:val="0036087F"/>
    <w:rsid w:val="003608E9"/>
    <w:rsid w:val="00360C92"/>
    <w:rsid w:val="0036167E"/>
    <w:rsid w:val="003617D5"/>
    <w:rsid w:val="003617F4"/>
    <w:rsid w:val="00361853"/>
    <w:rsid w:val="003628F9"/>
    <w:rsid w:val="00363605"/>
    <w:rsid w:val="003638CE"/>
    <w:rsid w:val="00363BFB"/>
    <w:rsid w:val="00363C96"/>
    <w:rsid w:val="00363FA1"/>
    <w:rsid w:val="0036403C"/>
    <w:rsid w:val="00364507"/>
    <w:rsid w:val="00364B95"/>
    <w:rsid w:val="003653E5"/>
    <w:rsid w:val="00365427"/>
    <w:rsid w:val="003654E7"/>
    <w:rsid w:val="00365A40"/>
    <w:rsid w:val="00365EF3"/>
    <w:rsid w:val="00366286"/>
    <w:rsid w:val="00366330"/>
    <w:rsid w:val="00366A11"/>
    <w:rsid w:val="00366BB0"/>
    <w:rsid w:val="003675AF"/>
    <w:rsid w:val="00367899"/>
    <w:rsid w:val="00370780"/>
    <w:rsid w:val="00370945"/>
    <w:rsid w:val="00370D3A"/>
    <w:rsid w:val="00371CA8"/>
    <w:rsid w:val="00371D08"/>
    <w:rsid w:val="00372BCE"/>
    <w:rsid w:val="00372FE3"/>
    <w:rsid w:val="003732F1"/>
    <w:rsid w:val="003733D8"/>
    <w:rsid w:val="00373459"/>
    <w:rsid w:val="00373708"/>
    <w:rsid w:val="00373AD1"/>
    <w:rsid w:val="00373BEF"/>
    <w:rsid w:val="00373FA4"/>
    <w:rsid w:val="00374068"/>
    <w:rsid w:val="00374D22"/>
    <w:rsid w:val="00375325"/>
    <w:rsid w:val="0037545E"/>
    <w:rsid w:val="003756A5"/>
    <w:rsid w:val="00375CBF"/>
    <w:rsid w:val="00375EFC"/>
    <w:rsid w:val="003767BE"/>
    <w:rsid w:val="003769C0"/>
    <w:rsid w:val="003769E4"/>
    <w:rsid w:val="00376C65"/>
    <w:rsid w:val="00377386"/>
    <w:rsid w:val="0037741B"/>
    <w:rsid w:val="003778C4"/>
    <w:rsid w:val="0037799D"/>
    <w:rsid w:val="0038065F"/>
    <w:rsid w:val="00380AB6"/>
    <w:rsid w:val="00380B78"/>
    <w:rsid w:val="00381279"/>
    <w:rsid w:val="00381581"/>
    <w:rsid w:val="003816DD"/>
    <w:rsid w:val="003817F6"/>
    <w:rsid w:val="00381BC4"/>
    <w:rsid w:val="00381DDF"/>
    <w:rsid w:val="003820DE"/>
    <w:rsid w:val="00382753"/>
    <w:rsid w:val="003837CC"/>
    <w:rsid w:val="00383DB1"/>
    <w:rsid w:val="0038447E"/>
    <w:rsid w:val="00384506"/>
    <w:rsid w:val="00384D41"/>
    <w:rsid w:val="00384F67"/>
    <w:rsid w:val="003856E1"/>
    <w:rsid w:val="00385854"/>
    <w:rsid w:val="00385BDB"/>
    <w:rsid w:val="00386085"/>
    <w:rsid w:val="00386397"/>
    <w:rsid w:val="003864C6"/>
    <w:rsid w:val="00386A21"/>
    <w:rsid w:val="00386BCD"/>
    <w:rsid w:val="00386F37"/>
    <w:rsid w:val="0038735D"/>
    <w:rsid w:val="0038755B"/>
    <w:rsid w:val="0038782F"/>
    <w:rsid w:val="00387A78"/>
    <w:rsid w:val="0039003B"/>
    <w:rsid w:val="003904B9"/>
    <w:rsid w:val="00390A3F"/>
    <w:rsid w:val="003910F7"/>
    <w:rsid w:val="003911C1"/>
    <w:rsid w:val="0039171B"/>
    <w:rsid w:val="00391D57"/>
    <w:rsid w:val="0039251A"/>
    <w:rsid w:val="00392A96"/>
    <w:rsid w:val="00392BBB"/>
    <w:rsid w:val="00393A66"/>
    <w:rsid w:val="00393D87"/>
    <w:rsid w:val="00393FFE"/>
    <w:rsid w:val="00394187"/>
    <w:rsid w:val="00394740"/>
    <w:rsid w:val="0039519D"/>
    <w:rsid w:val="003951BD"/>
    <w:rsid w:val="00395344"/>
    <w:rsid w:val="003956E4"/>
    <w:rsid w:val="00395B07"/>
    <w:rsid w:val="00395CFE"/>
    <w:rsid w:val="00395F47"/>
    <w:rsid w:val="0039614D"/>
    <w:rsid w:val="003964FF"/>
    <w:rsid w:val="0039678D"/>
    <w:rsid w:val="00396F89"/>
    <w:rsid w:val="00397008"/>
    <w:rsid w:val="003971FB"/>
    <w:rsid w:val="00397A06"/>
    <w:rsid w:val="00397A43"/>
    <w:rsid w:val="00397A63"/>
    <w:rsid w:val="00397AC7"/>
    <w:rsid w:val="003A051C"/>
    <w:rsid w:val="003A08E2"/>
    <w:rsid w:val="003A0A7F"/>
    <w:rsid w:val="003A10BC"/>
    <w:rsid w:val="003A1113"/>
    <w:rsid w:val="003A16E1"/>
    <w:rsid w:val="003A16ED"/>
    <w:rsid w:val="003A1A69"/>
    <w:rsid w:val="003A1B23"/>
    <w:rsid w:val="003A208A"/>
    <w:rsid w:val="003A2394"/>
    <w:rsid w:val="003A2589"/>
    <w:rsid w:val="003A2748"/>
    <w:rsid w:val="003A27A8"/>
    <w:rsid w:val="003A283C"/>
    <w:rsid w:val="003A2AA8"/>
    <w:rsid w:val="003A2CB0"/>
    <w:rsid w:val="003A2CED"/>
    <w:rsid w:val="003A30F3"/>
    <w:rsid w:val="003A3449"/>
    <w:rsid w:val="003A423F"/>
    <w:rsid w:val="003A5AB9"/>
    <w:rsid w:val="003A5D6C"/>
    <w:rsid w:val="003A5DF3"/>
    <w:rsid w:val="003A61D9"/>
    <w:rsid w:val="003A6234"/>
    <w:rsid w:val="003A6769"/>
    <w:rsid w:val="003A6A9D"/>
    <w:rsid w:val="003A7BD0"/>
    <w:rsid w:val="003B0205"/>
    <w:rsid w:val="003B066B"/>
    <w:rsid w:val="003B06E1"/>
    <w:rsid w:val="003B06F2"/>
    <w:rsid w:val="003B0909"/>
    <w:rsid w:val="003B15E8"/>
    <w:rsid w:val="003B1663"/>
    <w:rsid w:val="003B1865"/>
    <w:rsid w:val="003B1BD1"/>
    <w:rsid w:val="003B1C2D"/>
    <w:rsid w:val="003B289F"/>
    <w:rsid w:val="003B2B7A"/>
    <w:rsid w:val="003B2CDD"/>
    <w:rsid w:val="003B3053"/>
    <w:rsid w:val="003B3654"/>
    <w:rsid w:val="003B3A27"/>
    <w:rsid w:val="003B3C85"/>
    <w:rsid w:val="003B41DF"/>
    <w:rsid w:val="003B4209"/>
    <w:rsid w:val="003B4F5A"/>
    <w:rsid w:val="003B52CA"/>
    <w:rsid w:val="003B5324"/>
    <w:rsid w:val="003B5AB1"/>
    <w:rsid w:val="003B5CA1"/>
    <w:rsid w:val="003B6172"/>
    <w:rsid w:val="003B6A18"/>
    <w:rsid w:val="003B7450"/>
    <w:rsid w:val="003B7C3F"/>
    <w:rsid w:val="003C0266"/>
    <w:rsid w:val="003C029F"/>
    <w:rsid w:val="003C0340"/>
    <w:rsid w:val="003C0953"/>
    <w:rsid w:val="003C0F31"/>
    <w:rsid w:val="003C0FA1"/>
    <w:rsid w:val="003C1099"/>
    <w:rsid w:val="003C1225"/>
    <w:rsid w:val="003C14C1"/>
    <w:rsid w:val="003C1B1E"/>
    <w:rsid w:val="003C1CC2"/>
    <w:rsid w:val="003C1D62"/>
    <w:rsid w:val="003C1E26"/>
    <w:rsid w:val="003C2073"/>
    <w:rsid w:val="003C2BAE"/>
    <w:rsid w:val="003C2EED"/>
    <w:rsid w:val="003C3017"/>
    <w:rsid w:val="003C30FB"/>
    <w:rsid w:val="003C3409"/>
    <w:rsid w:val="003C39F4"/>
    <w:rsid w:val="003C45A5"/>
    <w:rsid w:val="003C4653"/>
    <w:rsid w:val="003C6094"/>
    <w:rsid w:val="003C64CB"/>
    <w:rsid w:val="003C6B6B"/>
    <w:rsid w:val="003C6BB8"/>
    <w:rsid w:val="003C6E74"/>
    <w:rsid w:val="003C7855"/>
    <w:rsid w:val="003D0066"/>
    <w:rsid w:val="003D03E6"/>
    <w:rsid w:val="003D0459"/>
    <w:rsid w:val="003D0604"/>
    <w:rsid w:val="003D07EB"/>
    <w:rsid w:val="003D08FC"/>
    <w:rsid w:val="003D1602"/>
    <w:rsid w:val="003D18C5"/>
    <w:rsid w:val="003D2246"/>
    <w:rsid w:val="003D2562"/>
    <w:rsid w:val="003D2C5D"/>
    <w:rsid w:val="003D2CAC"/>
    <w:rsid w:val="003D2CD1"/>
    <w:rsid w:val="003D2E1B"/>
    <w:rsid w:val="003D3563"/>
    <w:rsid w:val="003D3878"/>
    <w:rsid w:val="003D4389"/>
    <w:rsid w:val="003D4605"/>
    <w:rsid w:val="003D4C08"/>
    <w:rsid w:val="003D4EB3"/>
    <w:rsid w:val="003D54E6"/>
    <w:rsid w:val="003D56E5"/>
    <w:rsid w:val="003D6473"/>
    <w:rsid w:val="003D6D1D"/>
    <w:rsid w:val="003D6F3C"/>
    <w:rsid w:val="003D707C"/>
    <w:rsid w:val="003D7081"/>
    <w:rsid w:val="003D7200"/>
    <w:rsid w:val="003D7430"/>
    <w:rsid w:val="003D748C"/>
    <w:rsid w:val="003D787B"/>
    <w:rsid w:val="003D78E8"/>
    <w:rsid w:val="003E0175"/>
    <w:rsid w:val="003E0488"/>
    <w:rsid w:val="003E1026"/>
    <w:rsid w:val="003E1214"/>
    <w:rsid w:val="003E1579"/>
    <w:rsid w:val="003E18F8"/>
    <w:rsid w:val="003E2139"/>
    <w:rsid w:val="003E30C3"/>
    <w:rsid w:val="003E3349"/>
    <w:rsid w:val="003E339D"/>
    <w:rsid w:val="003E34AC"/>
    <w:rsid w:val="003E38B7"/>
    <w:rsid w:val="003E3C2E"/>
    <w:rsid w:val="003E43A6"/>
    <w:rsid w:val="003E469F"/>
    <w:rsid w:val="003E52A5"/>
    <w:rsid w:val="003E52C5"/>
    <w:rsid w:val="003E53DF"/>
    <w:rsid w:val="003E58D4"/>
    <w:rsid w:val="003E5E33"/>
    <w:rsid w:val="003E6195"/>
    <w:rsid w:val="003E64AD"/>
    <w:rsid w:val="003E6F6E"/>
    <w:rsid w:val="003E7090"/>
    <w:rsid w:val="003E7345"/>
    <w:rsid w:val="003E7453"/>
    <w:rsid w:val="003E7637"/>
    <w:rsid w:val="003E7934"/>
    <w:rsid w:val="003E79A5"/>
    <w:rsid w:val="003E7ADE"/>
    <w:rsid w:val="003F0092"/>
    <w:rsid w:val="003F009C"/>
    <w:rsid w:val="003F05F2"/>
    <w:rsid w:val="003F0DA1"/>
    <w:rsid w:val="003F0E9F"/>
    <w:rsid w:val="003F1961"/>
    <w:rsid w:val="003F1C3B"/>
    <w:rsid w:val="003F22E6"/>
    <w:rsid w:val="003F26D1"/>
    <w:rsid w:val="003F2B76"/>
    <w:rsid w:val="003F2E44"/>
    <w:rsid w:val="003F371A"/>
    <w:rsid w:val="003F3A53"/>
    <w:rsid w:val="003F3A94"/>
    <w:rsid w:val="003F40A0"/>
    <w:rsid w:val="003F4515"/>
    <w:rsid w:val="003F536F"/>
    <w:rsid w:val="003F5548"/>
    <w:rsid w:val="003F5D54"/>
    <w:rsid w:val="003F66DB"/>
    <w:rsid w:val="003F6FCB"/>
    <w:rsid w:val="003F7367"/>
    <w:rsid w:val="003F73C2"/>
    <w:rsid w:val="003F7936"/>
    <w:rsid w:val="003F7A11"/>
    <w:rsid w:val="003F7DFD"/>
    <w:rsid w:val="00400CEC"/>
    <w:rsid w:val="00400E22"/>
    <w:rsid w:val="0040118B"/>
    <w:rsid w:val="004012A8"/>
    <w:rsid w:val="004012FF"/>
    <w:rsid w:val="00401A0A"/>
    <w:rsid w:val="00401EFF"/>
    <w:rsid w:val="0040385E"/>
    <w:rsid w:val="004039EA"/>
    <w:rsid w:val="00403E72"/>
    <w:rsid w:val="0040412E"/>
    <w:rsid w:val="00404573"/>
    <w:rsid w:val="004047C2"/>
    <w:rsid w:val="00404B2F"/>
    <w:rsid w:val="00404F8C"/>
    <w:rsid w:val="004057A0"/>
    <w:rsid w:val="00405B93"/>
    <w:rsid w:val="004064CD"/>
    <w:rsid w:val="00407752"/>
    <w:rsid w:val="00407B0B"/>
    <w:rsid w:val="00407B3A"/>
    <w:rsid w:val="004103CF"/>
    <w:rsid w:val="004105B2"/>
    <w:rsid w:val="00410683"/>
    <w:rsid w:val="004106A9"/>
    <w:rsid w:val="00410C21"/>
    <w:rsid w:val="0041104F"/>
    <w:rsid w:val="00411760"/>
    <w:rsid w:val="004117C5"/>
    <w:rsid w:val="004119FC"/>
    <w:rsid w:val="00411A8B"/>
    <w:rsid w:val="00411CC6"/>
    <w:rsid w:val="00412143"/>
    <w:rsid w:val="004126E9"/>
    <w:rsid w:val="004131D8"/>
    <w:rsid w:val="00413301"/>
    <w:rsid w:val="00413C5C"/>
    <w:rsid w:val="004144C6"/>
    <w:rsid w:val="00414564"/>
    <w:rsid w:val="004145F0"/>
    <w:rsid w:val="00414AB9"/>
    <w:rsid w:val="0041525E"/>
    <w:rsid w:val="00415371"/>
    <w:rsid w:val="00415420"/>
    <w:rsid w:val="00415801"/>
    <w:rsid w:val="00415A34"/>
    <w:rsid w:val="00415CFA"/>
    <w:rsid w:val="00415D18"/>
    <w:rsid w:val="0041608D"/>
    <w:rsid w:val="00416826"/>
    <w:rsid w:val="00417035"/>
    <w:rsid w:val="0041773A"/>
    <w:rsid w:val="00417991"/>
    <w:rsid w:val="00417A1B"/>
    <w:rsid w:val="00417BB7"/>
    <w:rsid w:val="004211F3"/>
    <w:rsid w:val="00421498"/>
    <w:rsid w:val="004216DE"/>
    <w:rsid w:val="00421888"/>
    <w:rsid w:val="00421D2C"/>
    <w:rsid w:val="004220C4"/>
    <w:rsid w:val="00422A41"/>
    <w:rsid w:val="0042357A"/>
    <w:rsid w:val="004238D6"/>
    <w:rsid w:val="00424288"/>
    <w:rsid w:val="00424373"/>
    <w:rsid w:val="0042531D"/>
    <w:rsid w:val="004255FA"/>
    <w:rsid w:val="00425830"/>
    <w:rsid w:val="00425CEE"/>
    <w:rsid w:val="00425F4D"/>
    <w:rsid w:val="004267AC"/>
    <w:rsid w:val="00426C16"/>
    <w:rsid w:val="0042746B"/>
    <w:rsid w:val="0042796A"/>
    <w:rsid w:val="00427FAD"/>
    <w:rsid w:val="00430193"/>
    <w:rsid w:val="00430298"/>
    <w:rsid w:val="0043066B"/>
    <w:rsid w:val="004309BF"/>
    <w:rsid w:val="0043113D"/>
    <w:rsid w:val="00431297"/>
    <w:rsid w:val="004315B3"/>
    <w:rsid w:val="00431EAD"/>
    <w:rsid w:val="00432126"/>
    <w:rsid w:val="004322D2"/>
    <w:rsid w:val="00432723"/>
    <w:rsid w:val="004329CE"/>
    <w:rsid w:val="00433638"/>
    <w:rsid w:val="004336EC"/>
    <w:rsid w:val="00433B60"/>
    <w:rsid w:val="004348AE"/>
    <w:rsid w:val="00434B5E"/>
    <w:rsid w:val="00434C3A"/>
    <w:rsid w:val="00434E6D"/>
    <w:rsid w:val="004350DC"/>
    <w:rsid w:val="004350E1"/>
    <w:rsid w:val="004355A2"/>
    <w:rsid w:val="00435901"/>
    <w:rsid w:val="00435F3C"/>
    <w:rsid w:val="0043641B"/>
    <w:rsid w:val="0043661D"/>
    <w:rsid w:val="004367C1"/>
    <w:rsid w:val="00436E19"/>
    <w:rsid w:val="004403F4"/>
    <w:rsid w:val="00440B7E"/>
    <w:rsid w:val="0044155B"/>
    <w:rsid w:val="00441A81"/>
    <w:rsid w:val="00441B00"/>
    <w:rsid w:val="00441BD7"/>
    <w:rsid w:val="004425CF"/>
    <w:rsid w:val="0044373F"/>
    <w:rsid w:val="0044376F"/>
    <w:rsid w:val="004439C7"/>
    <w:rsid w:val="00443BCA"/>
    <w:rsid w:val="00443D15"/>
    <w:rsid w:val="00444491"/>
    <w:rsid w:val="004449F9"/>
    <w:rsid w:val="00444E4E"/>
    <w:rsid w:val="004457DE"/>
    <w:rsid w:val="00445883"/>
    <w:rsid w:val="00445D1F"/>
    <w:rsid w:val="00445F6A"/>
    <w:rsid w:val="00446307"/>
    <w:rsid w:val="0044662F"/>
    <w:rsid w:val="004467A3"/>
    <w:rsid w:val="00446828"/>
    <w:rsid w:val="00446A49"/>
    <w:rsid w:val="00446CA4"/>
    <w:rsid w:val="00446F0F"/>
    <w:rsid w:val="00447069"/>
    <w:rsid w:val="00447713"/>
    <w:rsid w:val="004501D8"/>
    <w:rsid w:val="00450316"/>
    <w:rsid w:val="004503CB"/>
    <w:rsid w:val="0045045D"/>
    <w:rsid w:val="0045090D"/>
    <w:rsid w:val="0045130B"/>
    <w:rsid w:val="00452054"/>
    <w:rsid w:val="00452839"/>
    <w:rsid w:val="00452ACF"/>
    <w:rsid w:val="00452D9A"/>
    <w:rsid w:val="00453185"/>
    <w:rsid w:val="00453356"/>
    <w:rsid w:val="00453451"/>
    <w:rsid w:val="0045355D"/>
    <w:rsid w:val="00453654"/>
    <w:rsid w:val="00453E74"/>
    <w:rsid w:val="00453EF9"/>
    <w:rsid w:val="00453FC2"/>
    <w:rsid w:val="004543CB"/>
    <w:rsid w:val="00454FE6"/>
    <w:rsid w:val="0045553A"/>
    <w:rsid w:val="0045557D"/>
    <w:rsid w:val="004556A4"/>
    <w:rsid w:val="004558CC"/>
    <w:rsid w:val="00455AC5"/>
    <w:rsid w:val="00455C24"/>
    <w:rsid w:val="0045630E"/>
    <w:rsid w:val="004564AC"/>
    <w:rsid w:val="00456D98"/>
    <w:rsid w:val="00457586"/>
    <w:rsid w:val="004576D1"/>
    <w:rsid w:val="00457737"/>
    <w:rsid w:val="004600C1"/>
    <w:rsid w:val="00460758"/>
    <w:rsid w:val="00460AC8"/>
    <w:rsid w:val="00460EE8"/>
    <w:rsid w:val="004612DC"/>
    <w:rsid w:val="00461A4C"/>
    <w:rsid w:val="00461A9B"/>
    <w:rsid w:val="004624B5"/>
    <w:rsid w:val="00462B88"/>
    <w:rsid w:val="00462F07"/>
    <w:rsid w:val="00463108"/>
    <w:rsid w:val="0046312A"/>
    <w:rsid w:val="004638FC"/>
    <w:rsid w:val="00463BEC"/>
    <w:rsid w:val="00463E1D"/>
    <w:rsid w:val="00463EF2"/>
    <w:rsid w:val="00464802"/>
    <w:rsid w:val="00465185"/>
    <w:rsid w:val="00465E78"/>
    <w:rsid w:val="0046638B"/>
    <w:rsid w:val="00466C9D"/>
    <w:rsid w:val="00466D5C"/>
    <w:rsid w:val="0046714F"/>
    <w:rsid w:val="004678B8"/>
    <w:rsid w:val="00467CE5"/>
    <w:rsid w:val="00470588"/>
    <w:rsid w:val="004709E6"/>
    <w:rsid w:val="00471DB0"/>
    <w:rsid w:val="00471FFC"/>
    <w:rsid w:val="00472799"/>
    <w:rsid w:val="00473264"/>
    <w:rsid w:val="00473345"/>
    <w:rsid w:val="00473752"/>
    <w:rsid w:val="004740BA"/>
    <w:rsid w:val="004740BF"/>
    <w:rsid w:val="00474670"/>
    <w:rsid w:val="00474D7D"/>
    <w:rsid w:val="004756AD"/>
    <w:rsid w:val="00475B05"/>
    <w:rsid w:val="00475D44"/>
    <w:rsid w:val="004762F6"/>
    <w:rsid w:val="00476577"/>
    <w:rsid w:val="004768DC"/>
    <w:rsid w:val="00476E6A"/>
    <w:rsid w:val="00476F51"/>
    <w:rsid w:val="004772AA"/>
    <w:rsid w:val="004773B5"/>
    <w:rsid w:val="00477C95"/>
    <w:rsid w:val="00480722"/>
    <w:rsid w:val="0048082F"/>
    <w:rsid w:val="00480D5A"/>
    <w:rsid w:val="0048108A"/>
    <w:rsid w:val="0048152F"/>
    <w:rsid w:val="004817A4"/>
    <w:rsid w:val="00481CD0"/>
    <w:rsid w:val="004820E1"/>
    <w:rsid w:val="004826C5"/>
    <w:rsid w:val="0048289D"/>
    <w:rsid w:val="004833C1"/>
    <w:rsid w:val="00483826"/>
    <w:rsid w:val="00483C13"/>
    <w:rsid w:val="00483C78"/>
    <w:rsid w:val="00483F3B"/>
    <w:rsid w:val="004840CF"/>
    <w:rsid w:val="00484906"/>
    <w:rsid w:val="00484F2D"/>
    <w:rsid w:val="00485491"/>
    <w:rsid w:val="004855CE"/>
    <w:rsid w:val="004855DC"/>
    <w:rsid w:val="00485757"/>
    <w:rsid w:val="00485C3C"/>
    <w:rsid w:val="00485CEB"/>
    <w:rsid w:val="00485D7D"/>
    <w:rsid w:val="00485E22"/>
    <w:rsid w:val="00485E60"/>
    <w:rsid w:val="00485EB5"/>
    <w:rsid w:val="00486406"/>
    <w:rsid w:val="004865B9"/>
    <w:rsid w:val="00486862"/>
    <w:rsid w:val="00486B76"/>
    <w:rsid w:val="00486D65"/>
    <w:rsid w:val="004878B9"/>
    <w:rsid w:val="004879C4"/>
    <w:rsid w:val="004879F3"/>
    <w:rsid w:val="0049007F"/>
    <w:rsid w:val="004900D1"/>
    <w:rsid w:val="0049034E"/>
    <w:rsid w:val="00490DDF"/>
    <w:rsid w:val="004910E7"/>
    <w:rsid w:val="00491C3A"/>
    <w:rsid w:val="00491D82"/>
    <w:rsid w:val="00491E33"/>
    <w:rsid w:val="00491EFC"/>
    <w:rsid w:val="00491F90"/>
    <w:rsid w:val="00492467"/>
    <w:rsid w:val="004924DB"/>
    <w:rsid w:val="00492549"/>
    <w:rsid w:val="00492867"/>
    <w:rsid w:val="004928F4"/>
    <w:rsid w:val="00493561"/>
    <w:rsid w:val="004937A8"/>
    <w:rsid w:val="00493A45"/>
    <w:rsid w:val="00493AF3"/>
    <w:rsid w:val="00493BF6"/>
    <w:rsid w:val="00493C6C"/>
    <w:rsid w:val="00494113"/>
    <w:rsid w:val="0049472D"/>
    <w:rsid w:val="004951F6"/>
    <w:rsid w:val="0049551A"/>
    <w:rsid w:val="00495AE6"/>
    <w:rsid w:val="00495B8F"/>
    <w:rsid w:val="00495BB2"/>
    <w:rsid w:val="00495E2E"/>
    <w:rsid w:val="00496001"/>
    <w:rsid w:val="004960AC"/>
    <w:rsid w:val="004961AE"/>
    <w:rsid w:val="004962EB"/>
    <w:rsid w:val="004965D2"/>
    <w:rsid w:val="0049675D"/>
    <w:rsid w:val="00496A55"/>
    <w:rsid w:val="00496CF9"/>
    <w:rsid w:val="00497908"/>
    <w:rsid w:val="00497AD4"/>
    <w:rsid w:val="00497E35"/>
    <w:rsid w:val="004A027B"/>
    <w:rsid w:val="004A09CD"/>
    <w:rsid w:val="004A0A71"/>
    <w:rsid w:val="004A0B16"/>
    <w:rsid w:val="004A1436"/>
    <w:rsid w:val="004A18D4"/>
    <w:rsid w:val="004A1B59"/>
    <w:rsid w:val="004A1FF8"/>
    <w:rsid w:val="004A2399"/>
    <w:rsid w:val="004A24CE"/>
    <w:rsid w:val="004A314C"/>
    <w:rsid w:val="004A3A04"/>
    <w:rsid w:val="004A3C01"/>
    <w:rsid w:val="004A3CCB"/>
    <w:rsid w:val="004A3D56"/>
    <w:rsid w:val="004A3E94"/>
    <w:rsid w:val="004A43F2"/>
    <w:rsid w:val="004A480B"/>
    <w:rsid w:val="004A4A96"/>
    <w:rsid w:val="004A5050"/>
    <w:rsid w:val="004A539F"/>
    <w:rsid w:val="004A564A"/>
    <w:rsid w:val="004A6662"/>
    <w:rsid w:val="004A74E2"/>
    <w:rsid w:val="004A792C"/>
    <w:rsid w:val="004A7A81"/>
    <w:rsid w:val="004A7DB1"/>
    <w:rsid w:val="004A7EE6"/>
    <w:rsid w:val="004A7FD7"/>
    <w:rsid w:val="004B04C3"/>
    <w:rsid w:val="004B14A5"/>
    <w:rsid w:val="004B15E0"/>
    <w:rsid w:val="004B17F2"/>
    <w:rsid w:val="004B1AC8"/>
    <w:rsid w:val="004B1B77"/>
    <w:rsid w:val="004B277D"/>
    <w:rsid w:val="004B2C96"/>
    <w:rsid w:val="004B3159"/>
    <w:rsid w:val="004B365F"/>
    <w:rsid w:val="004B3FBA"/>
    <w:rsid w:val="004B494B"/>
    <w:rsid w:val="004B4E67"/>
    <w:rsid w:val="004B509A"/>
    <w:rsid w:val="004B5454"/>
    <w:rsid w:val="004B689C"/>
    <w:rsid w:val="004B6907"/>
    <w:rsid w:val="004B698A"/>
    <w:rsid w:val="004B6A34"/>
    <w:rsid w:val="004B6BBD"/>
    <w:rsid w:val="004B7412"/>
    <w:rsid w:val="004B75B7"/>
    <w:rsid w:val="004B75ED"/>
    <w:rsid w:val="004B76BA"/>
    <w:rsid w:val="004B7A54"/>
    <w:rsid w:val="004B7DE6"/>
    <w:rsid w:val="004B7E16"/>
    <w:rsid w:val="004C02A5"/>
    <w:rsid w:val="004C06E4"/>
    <w:rsid w:val="004C114D"/>
    <w:rsid w:val="004C130A"/>
    <w:rsid w:val="004C130F"/>
    <w:rsid w:val="004C13E0"/>
    <w:rsid w:val="004C1BEA"/>
    <w:rsid w:val="004C2473"/>
    <w:rsid w:val="004C28DF"/>
    <w:rsid w:val="004C2CD7"/>
    <w:rsid w:val="004C38BA"/>
    <w:rsid w:val="004C3E35"/>
    <w:rsid w:val="004C564C"/>
    <w:rsid w:val="004C5AA5"/>
    <w:rsid w:val="004C5D56"/>
    <w:rsid w:val="004C5ECE"/>
    <w:rsid w:val="004C618B"/>
    <w:rsid w:val="004C62D6"/>
    <w:rsid w:val="004C6499"/>
    <w:rsid w:val="004C67D7"/>
    <w:rsid w:val="004C69F0"/>
    <w:rsid w:val="004C6D97"/>
    <w:rsid w:val="004C721F"/>
    <w:rsid w:val="004C7976"/>
    <w:rsid w:val="004C7BC8"/>
    <w:rsid w:val="004C7C50"/>
    <w:rsid w:val="004D03E1"/>
    <w:rsid w:val="004D05D5"/>
    <w:rsid w:val="004D09B0"/>
    <w:rsid w:val="004D0A02"/>
    <w:rsid w:val="004D0B6B"/>
    <w:rsid w:val="004D115C"/>
    <w:rsid w:val="004D13FA"/>
    <w:rsid w:val="004D15CD"/>
    <w:rsid w:val="004D1718"/>
    <w:rsid w:val="004D24EA"/>
    <w:rsid w:val="004D253B"/>
    <w:rsid w:val="004D3252"/>
    <w:rsid w:val="004D35ED"/>
    <w:rsid w:val="004D3B79"/>
    <w:rsid w:val="004D49EB"/>
    <w:rsid w:val="004D5427"/>
    <w:rsid w:val="004D552F"/>
    <w:rsid w:val="004D5AA6"/>
    <w:rsid w:val="004D5EAD"/>
    <w:rsid w:val="004D60D5"/>
    <w:rsid w:val="004D6827"/>
    <w:rsid w:val="004D6AF3"/>
    <w:rsid w:val="004D7442"/>
    <w:rsid w:val="004E05F3"/>
    <w:rsid w:val="004E05F7"/>
    <w:rsid w:val="004E0F5B"/>
    <w:rsid w:val="004E0FF2"/>
    <w:rsid w:val="004E1027"/>
    <w:rsid w:val="004E1437"/>
    <w:rsid w:val="004E16ED"/>
    <w:rsid w:val="004E1CA4"/>
    <w:rsid w:val="004E25FD"/>
    <w:rsid w:val="004E2877"/>
    <w:rsid w:val="004E3AC2"/>
    <w:rsid w:val="004E3FD2"/>
    <w:rsid w:val="004E436F"/>
    <w:rsid w:val="004E4935"/>
    <w:rsid w:val="004E4AA2"/>
    <w:rsid w:val="004E4B2C"/>
    <w:rsid w:val="004E4B32"/>
    <w:rsid w:val="004E4F64"/>
    <w:rsid w:val="004E5188"/>
    <w:rsid w:val="004E54CD"/>
    <w:rsid w:val="004E5899"/>
    <w:rsid w:val="004E5A3A"/>
    <w:rsid w:val="004E5B43"/>
    <w:rsid w:val="004E60D8"/>
    <w:rsid w:val="004E672C"/>
    <w:rsid w:val="004E6B8C"/>
    <w:rsid w:val="004E71E6"/>
    <w:rsid w:val="004E76ED"/>
    <w:rsid w:val="004E7AD9"/>
    <w:rsid w:val="004E7C65"/>
    <w:rsid w:val="004F018C"/>
    <w:rsid w:val="004F0F05"/>
    <w:rsid w:val="004F1077"/>
    <w:rsid w:val="004F10CE"/>
    <w:rsid w:val="004F155E"/>
    <w:rsid w:val="004F1937"/>
    <w:rsid w:val="004F1BC7"/>
    <w:rsid w:val="004F3632"/>
    <w:rsid w:val="004F3EDB"/>
    <w:rsid w:val="004F4017"/>
    <w:rsid w:val="004F4A7F"/>
    <w:rsid w:val="004F51C6"/>
    <w:rsid w:val="004F51E6"/>
    <w:rsid w:val="004F58CD"/>
    <w:rsid w:val="004F5928"/>
    <w:rsid w:val="004F631D"/>
    <w:rsid w:val="004F64BE"/>
    <w:rsid w:val="004F676B"/>
    <w:rsid w:val="004F695F"/>
    <w:rsid w:val="004F6F4E"/>
    <w:rsid w:val="004F7149"/>
    <w:rsid w:val="004F72CF"/>
    <w:rsid w:val="004F7CC1"/>
    <w:rsid w:val="004F7D69"/>
    <w:rsid w:val="004F7E5A"/>
    <w:rsid w:val="004F7EF5"/>
    <w:rsid w:val="0050064B"/>
    <w:rsid w:val="00500729"/>
    <w:rsid w:val="005007C6"/>
    <w:rsid w:val="00500CF0"/>
    <w:rsid w:val="0050138F"/>
    <w:rsid w:val="005014C6"/>
    <w:rsid w:val="00501597"/>
    <w:rsid w:val="00501C61"/>
    <w:rsid w:val="005024E9"/>
    <w:rsid w:val="00502E4A"/>
    <w:rsid w:val="00502E6A"/>
    <w:rsid w:val="00503686"/>
    <w:rsid w:val="00504108"/>
    <w:rsid w:val="0050413F"/>
    <w:rsid w:val="0050476E"/>
    <w:rsid w:val="00504E0E"/>
    <w:rsid w:val="00505F9E"/>
    <w:rsid w:val="005060C1"/>
    <w:rsid w:val="005062AB"/>
    <w:rsid w:val="0050697F"/>
    <w:rsid w:val="00506F85"/>
    <w:rsid w:val="005072C5"/>
    <w:rsid w:val="005072FD"/>
    <w:rsid w:val="00507DAB"/>
    <w:rsid w:val="00507FBB"/>
    <w:rsid w:val="00510620"/>
    <w:rsid w:val="00510644"/>
    <w:rsid w:val="00510F95"/>
    <w:rsid w:val="00512217"/>
    <w:rsid w:val="00512221"/>
    <w:rsid w:val="00512527"/>
    <w:rsid w:val="00512590"/>
    <w:rsid w:val="00512628"/>
    <w:rsid w:val="00512980"/>
    <w:rsid w:val="00513031"/>
    <w:rsid w:val="00513730"/>
    <w:rsid w:val="00513C4E"/>
    <w:rsid w:val="00513EB4"/>
    <w:rsid w:val="00513FB5"/>
    <w:rsid w:val="0051403C"/>
    <w:rsid w:val="005147A3"/>
    <w:rsid w:val="005151CD"/>
    <w:rsid w:val="00516416"/>
    <w:rsid w:val="00516CDB"/>
    <w:rsid w:val="00516DFC"/>
    <w:rsid w:val="00516FDE"/>
    <w:rsid w:val="005176F2"/>
    <w:rsid w:val="005177BF"/>
    <w:rsid w:val="00517C98"/>
    <w:rsid w:val="00520047"/>
    <w:rsid w:val="0052040D"/>
    <w:rsid w:val="0052084A"/>
    <w:rsid w:val="00520FF8"/>
    <w:rsid w:val="0052129D"/>
    <w:rsid w:val="0052167A"/>
    <w:rsid w:val="005218E8"/>
    <w:rsid w:val="00522617"/>
    <w:rsid w:val="00522676"/>
    <w:rsid w:val="00522AAF"/>
    <w:rsid w:val="00523380"/>
    <w:rsid w:val="0052366E"/>
    <w:rsid w:val="005237A9"/>
    <w:rsid w:val="00523B3B"/>
    <w:rsid w:val="0052428B"/>
    <w:rsid w:val="0052468E"/>
    <w:rsid w:val="00524923"/>
    <w:rsid w:val="00524A3D"/>
    <w:rsid w:val="00524A70"/>
    <w:rsid w:val="005252A0"/>
    <w:rsid w:val="005259A0"/>
    <w:rsid w:val="00525DA7"/>
    <w:rsid w:val="00525EB3"/>
    <w:rsid w:val="00525F5B"/>
    <w:rsid w:val="00526202"/>
    <w:rsid w:val="0052670B"/>
    <w:rsid w:val="00526A7D"/>
    <w:rsid w:val="00526F7A"/>
    <w:rsid w:val="00527D26"/>
    <w:rsid w:val="00527D3D"/>
    <w:rsid w:val="00527D84"/>
    <w:rsid w:val="00531245"/>
    <w:rsid w:val="0053167F"/>
    <w:rsid w:val="00532948"/>
    <w:rsid w:val="00532C65"/>
    <w:rsid w:val="00532D48"/>
    <w:rsid w:val="00532FB6"/>
    <w:rsid w:val="00533372"/>
    <w:rsid w:val="00533692"/>
    <w:rsid w:val="00533876"/>
    <w:rsid w:val="00533A8A"/>
    <w:rsid w:val="005349B6"/>
    <w:rsid w:val="00534F90"/>
    <w:rsid w:val="005352F3"/>
    <w:rsid w:val="00535514"/>
    <w:rsid w:val="00535C81"/>
    <w:rsid w:val="00535DB5"/>
    <w:rsid w:val="0053600E"/>
    <w:rsid w:val="005360B9"/>
    <w:rsid w:val="005361CC"/>
    <w:rsid w:val="0053673C"/>
    <w:rsid w:val="005368C7"/>
    <w:rsid w:val="00536F26"/>
    <w:rsid w:val="005377A6"/>
    <w:rsid w:val="005378B9"/>
    <w:rsid w:val="00537988"/>
    <w:rsid w:val="00540169"/>
    <w:rsid w:val="005402EC"/>
    <w:rsid w:val="0054044E"/>
    <w:rsid w:val="00540677"/>
    <w:rsid w:val="00540E52"/>
    <w:rsid w:val="0054104D"/>
    <w:rsid w:val="005412F4"/>
    <w:rsid w:val="005419B7"/>
    <w:rsid w:val="00541EAB"/>
    <w:rsid w:val="00541ED7"/>
    <w:rsid w:val="00541F9A"/>
    <w:rsid w:val="005422E8"/>
    <w:rsid w:val="00542857"/>
    <w:rsid w:val="00542B8A"/>
    <w:rsid w:val="0054338A"/>
    <w:rsid w:val="005433D4"/>
    <w:rsid w:val="00543464"/>
    <w:rsid w:val="00543C55"/>
    <w:rsid w:val="005444C0"/>
    <w:rsid w:val="0054460A"/>
    <w:rsid w:val="00544712"/>
    <w:rsid w:val="005447A1"/>
    <w:rsid w:val="00545139"/>
    <w:rsid w:val="0054521E"/>
    <w:rsid w:val="005453EA"/>
    <w:rsid w:val="00545464"/>
    <w:rsid w:val="0054560D"/>
    <w:rsid w:val="00545E3C"/>
    <w:rsid w:val="00545ED3"/>
    <w:rsid w:val="0054637A"/>
    <w:rsid w:val="00546BF8"/>
    <w:rsid w:val="00546CEE"/>
    <w:rsid w:val="005472E9"/>
    <w:rsid w:val="00547381"/>
    <w:rsid w:val="00547977"/>
    <w:rsid w:val="0054797F"/>
    <w:rsid w:val="00547BC1"/>
    <w:rsid w:val="0055105F"/>
    <w:rsid w:val="0055274E"/>
    <w:rsid w:val="005528F4"/>
    <w:rsid w:val="00552B56"/>
    <w:rsid w:val="00552D4C"/>
    <w:rsid w:val="00553AF4"/>
    <w:rsid w:val="00553B35"/>
    <w:rsid w:val="00553D79"/>
    <w:rsid w:val="0055464A"/>
    <w:rsid w:val="00556063"/>
    <w:rsid w:val="00556071"/>
    <w:rsid w:val="00556BCC"/>
    <w:rsid w:val="00556C97"/>
    <w:rsid w:val="00556DF0"/>
    <w:rsid w:val="00557273"/>
    <w:rsid w:val="00557CB7"/>
    <w:rsid w:val="0056034F"/>
    <w:rsid w:val="005606A1"/>
    <w:rsid w:val="0056093C"/>
    <w:rsid w:val="00560A05"/>
    <w:rsid w:val="00561190"/>
    <w:rsid w:val="0056158C"/>
    <w:rsid w:val="00561A71"/>
    <w:rsid w:val="00561F1E"/>
    <w:rsid w:val="00562719"/>
    <w:rsid w:val="00562BD7"/>
    <w:rsid w:val="00562C30"/>
    <w:rsid w:val="005632CE"/>
    <w:rsid w:val="00563AD8"/>
    <w:rsid w:val="00563EFE"/>
    <w:rsid w:val="00564004"/>
    <w:rsid w:val="00564592"/>
    <w:rsid w:val="005645FF"/>
    <w:rsid w:val="00564640"/>
    <w:rsid w:val="005649DF"/>
    <w:rsid w:val="00564BE8"/>
    <w:rsid w:val="0056509B"/>
    <w:rsid w:val="00565500"/>
    <w:rsid w:val="00565D3A"/>
    <w:rsid w:val="00565FE2"/>
    <w:rsid w:val="00566404"/>
    <w:rsid w:val="0056654B"/>
    <w:rsid w:val="005665D3"/>
    <w:rsid w:val="00566689"/>
    <w:rsid w:val="00566994"/>
    <w:rsid w:val="0056705F"/>
    <w:rsid w:val="005670CB"/>
    <w:rsid w:val="00567390"/>
    <w:rsid w:val="00570406"/>
    <w:rsid w:val="00570693"/>
    <w:rsid w:val="00570D74"/>
    <w:rsid w:val="00570E5B"/>
    <w:rsid w:val="00571209"/>
    <w:rsid w:val="005717E3"/>
    <w:rsid w:val="00571D6E"/>
    <w:rsid w:val="00571DC1"/>
    <w:rsid w:val="00571F63"/>
    <w:rsid w:val="005720FE"/>
    <w:rsid w:val="00572D32"/>
    <w:rsid w:val="00573223"/>
    <w:rsid w:val="0057340F"/>
    <w:rsid w:val="00573548"/>
    <w:rsid w:val="00573A58"/>
    <w:rsid w:val="005748FE"/>
    <w:rsid w:val="00574F21"/>
    <w:rsid w:val="00574FBD"/>
    <w:rsid w:val="00575010"/>
    <w:rsid w:val="0057553D"/>
    <w:rsid w:val="00575578"/>
    <w:rsid w:val="0057699F"/>
    <w:rsid w:val="00576F2A"/>
    <w:rsid w:val="00577348"/>
    <w:rsid w:val="00577493"/>
    <w:rsid w:val="005775EB"/>
    <w:rsid w:val="00577680"/>
    <w:rsid w:val="00577B3D"/>
    <w:rsid w:val="00577C65"/>
    <w:rsid w:val="00580272"/>
    <w:rsid w:val="005803EC"/>
    <w:rsid w:val="0058072A"/>
    <w:rsid w:val="00581559"/>
    <w:rsid w:val="005816FB"/>
    <w:rsid w:val="00582315"/>
    <w:rsid w:val="005823AA"/>
    <w:rsid w:val="005824F4"/>
    <w:rsid w:val="0058262F"/>
    <w:rsid w:val="00582655"/>
    <w:rsid w:val="005829AA"/>
    <w:rsid w:val="00582B5F"/>
    <w:rsid w:val="00582EB8"/>
    <w:rsid w:val="00582F47"/>
    <w:rsid w:val="005839D6"/>
    <w:rsid w:val="00583E20"/>
    <w:rsid w:val="00584B6D"/>
    <w:rsid w:val="00584D71"/>
    <w:rsid w:val="00585DF6"/>
    <w:rsid w:val="00585FA8"/>
    <w:rsid w:val="00586170"/>
    <w:rsid w:val="00586532"/>
    <w:rsid w:val="0058684A"/>
    <w:rsid w:val="00586A09"/>
    <w:rsid w:val="00586FE7"/>
    <w:rsid w:val="00587FC3"/>
    <w:rsid w:val="0059076F"/>
    <w:rsid w:val="00590BDB"/>
    <w:rsid w:val="005913B3"/>
    <w:rsid w:val="00591631"/>
    <w:rsid w:val="00591BFC"/>
    <w:rsid w:val="00592176"/>
    <w:rsid w:val="00592181"/>
    <w:rsid w:val="0059256A"/>
    <w:rsid w:val="005928AF"/>
    <w:rsid w:val="00592AC7"/>
    <w:rsid w:val="00592B3F"/>
    <w:rsid w:val="00592D1D"/>
    <w:rsid w:val="005931D3"/>
    <w:rsid w:val="00593772"/>
    <w:rsid w:val="00593AFD"/>
    <w:rsid w:val="00593BD3"/>
    <w:rsid w:val="00594051"/>
    <w:rsid w:val="0059462B"/>
    <w:rsid w:val="00594CAF"/>
    <w:rsid w:val="00595923"/>
    <w:rsid w:val="00595F47"/>
    <w:rsid w:val="005964C7"/>
    <w:rsid w:val="00597552"/>
    <w:rsid w:val="005976B9"/>
    <w:rsid w:val="005976C0"/>
    <w:rsid w:val="005978FD"/>
    <w:rsid w:val="00597B42"/>
    <w:rsid w:val="005A08BB"/>
    <w:rsid w:val="005A0BED"/>
    <w:rsid w:val="005A0C1D"/>
    <w:rsid w:val="005A1443"/>
    <w:rsid w:val="005A16FC"/>
    <w:rsid w:val="005A23D2"/>
    <w:rsid w:val="005A2C30"/>
    <w:rsid w:val="005A3003"/>
    <w:rsid w:val="005A36D0"/>
    <w:rsid w:val="005A42F2"/>
    <w:rsid w:val="005A4969"/>
    <w:rsid w:val="005A4A0A"/>
    <w:rsid w:val="005A4AF6"/>
    <w:rsid w:val="005A50AE"/>
    <w:rsid w:val="005A5688"/>
    <w:rsid w:val="005A5894"/>
    <w:rsid w:val="005A5A7E"/>
    <w:rsid w:val="005A5DF0"/>
    <w:rsid w:val="005A64EB"/>
    <w:rsid w:val="005A6520"/>
    <w:rsid w:val="005A7300"/>
    <w:rsid w:val="005A7A83"/>
    <w:rsid w:val="005A7C70"/>
    <w:rsid w:val="005B0069"/>
    <w:rsid w:val="005B00A9"/>
    <w:rsid w:val="005B017E"/>
    <w:rsid w:val="005B04A6"/>
    <w:rsid w:val="005B062F"/>
    <w:rsid w:val="005B0639"/>
    <w:rsid w:val="005B0F1A"/>
    <w:rsid w:val="005B1276"/>
    <w:rsid w:val="005B145A"/>
    <w:rsid w:val="005B1867"/>
    <w:rsid w:val="005B1A5B"/>
    <w:rsid w:val="005B26EF"/>
    <w:rsid w:val="005B2B5D"/>
    <w:rsid w:val="005B3347"/>
    <w:rsid w:val="005B375C"/>
    <w:rsid w:val="005B3854"/>
    <w:rsid w:val="005B38E9"/>
    <w:rsid w:val="005B42EB"/>
    <w:rsid w:val="005B4D3B"/>
    <w:rsid w:val="005B60A0"/>
    <w:rsid w:val="005B613F"/>
    <w:rsid w:val="005B6220"/>
    <w:rsid w:val="005B66BF"/>
    <w:rsid w:val="005B68B0"/>
    <w:rsid w:val="005B6987"/>
    <w:rsid w:val="005B6A7B"/>
    <w:rsid w:val="005B72AA"/>
    <w:rsid w:val="005B76FF"/>
    <w:rsid w:val="005B7D3E"/>
    <w:rsid w:val="005C0B63"/>
    <w:rsid w:val="005C1E4D"/>
    <w:rsid w:val="005C2215"/>
    <w:rsid w:val="005C2E91"/>
    <w:rsid w:val="005C3103"/>
    <w:rsid w:val="005C3259"/>
    <w:rsid w:val="005C34AF"/>
    <w:rsid w:val="005C3AF6"/>
    <w:rsid w:val="005C3E31"/>
    <w:rsid w:val="005C3E4E"/>
    <w:rsid w:val="005C48D8"/>
    <w:rsid w:val="005C4D94"/>
    <w:rsid w:val="005C5930"/>
    <w:rsid w:val="005C624C"/>
    <w:rsid w:val="005C6E04"/>
    <w:rsid w:val="005C702B"/>
    <w:rsid w:val="005C7049"/>
    <w:rsid w:val="005C7184"/>
    <w:rsid w:val="005C7824"/>
    <w:rsid w:val="005C7A2C"/>
    <w:rsid w:val="005C7AB3"/>
    <w:rsid w:val="005C7B5F"/>
    <w:rsid w:val="005C7C73"/>
    <w:rsid w:val="005D0479"/>
    <w:rsid w:val="005D0611"/>
    <w:rsid w:val="005D06B5"/>
    <w:rsid w:val="005D071B"/>
    <w:rsid w:val="005D0789"/>
    <w:rsid w:val="005D0CD1"/>
    <w:rsid w:val="005D11A5"/>
    <w:rsid w:val="005D15DF"/>
    <w:rsid w:val="005D1FDE"/>
    <w:rsid w:val="005D202D"/>
    <w:rsid w:val="005D245E"/>
    <w:rsid w:val="005D2919"/>
    <w:rsid w:val="005D2CB4"/>
    <w:rsid w:val="005D2FE4"/>
    <w:rsid w:val="005D3096"/>
    <w:rsid w:val="005D30A7"/>
    <w:rsid w:val="005D30C8"/>
    <w:rsid w:val="005D32C0"/>
    <w:rsid w:val="005D36D6"/>
    <w:rsid w:val="005D3ACB"/>
    <w:rsid w:val="005D3D7D"/>
    <w:rsid w:val="005D44CA"/>
    <w:rsid w:val="005D4761"/>
    <w:rsid w:val="005D4D1D"/>
    <w:rsid w:val="005D4F62"/>
    <w:rsid w:val="005D52CE"/>
    <w:rsid w:val="005D5AC2"/>
    <w:rsid w:val="005D5BB4"/>
    <w:rsid w:val="005D5F8A"/>
    <w:rsid w:val="005D6BA5"/>
    <w:rsid w:val="005D73A1"/>
    <w:rsid w:val="005D75AA"/>
    <w:rsid w:val="005D7CC4"/>
    <w:rsid w:val="005E08A2"/>
    <w:rsid w:val="005E0ABC"/>
    <w:rsid w:val="005E1760"/>
    <w:rsid w:val="005E1893"/>
    <w:rsid w:val="005E1A57"/>
    <w:rsid w:val="005E1BCD"/>
    <w:rsid w:val="005E1F48"/>
    <w:rsid w:val="005E1FB0"/>
    <w:rsid w:val="005E1FBD"/>
    <w:rsid w:val="005E1FC5"/>
    <w:rsid w:val="005E208B"/>
    <w:rsid w:val="005E263C"/>
    <w:rsid w:val="005E2A78"/>
    <w:rsid w:val="005E2AB9"/>
    <w:rsid w:val="005E2E03"/>
    <w:rsid w:val="005E3069"/>
    <w:rsid w:val="005E306B"/>
    <w:rsid w:val="005E3ABB"/>
    <w:rsid w:val="005E3B36"/>
    <w:rsid w:val="005E3C9F"/>
    <w:rsid w:val="005E49F3"/>
    <w:rsid w:val="005E542C"/>
    <w:rsid w:val="005E5FCE"/>
    <w:rsid w:val="005E626C"/>
    <w:rsid w:val="005E6DFF"/>
    <w:rsid w:val="005E7089"/>
    <w:rsid w:val="005E7490"/>
    <w:rsid w:val="005E7599"/>
    <w:rsid w:val="005F1553"/>
    <w:rsid w:val="005F1F18"/>
    <w:rsid w:val="005F2BF7"/>
    <w:rsid w:val="005F2FBB"/>
    <w:rsid w:val="005F300B"/>
    <w:rsid w:val="005F3263"/>
    <w:rsid w:val="005F3D47"/>
    <w:rsid w:val="005F3D90"/>
    <w:rsid w:val="005F440F"/>
    <w:rsid w:val="005F4627"/>
    <w:rsid w:val="005F4AA7"/>
    <w:rsid w:val="005F4ADD"/>
    <w:rsid w:val="005F4B66"/>
    <w:rsid w:val="005F5578"/>
    <w:rsid w:val="005F55D9"/>
    <w:rsid w:val="005F574D"/>
    <w:rsid w:val="005F5811"/>
    <w:rsid w:val="005F5886"/>
    <w:rsid w:val="005F5C26"/>
    <w:rsid w:val="005F601A"/>
    <w:rsid w:val="005F621D"/>
    <w:rsid w:val="005F68D3"/>
    <w:rsid w:val="005F6E7D"/>
    <w:rsid w:val="005F7022"/>
    <w:rsid w:val="005F7168"/>
    <w:rsid w:val="005F7221"/>
    <w:rsid w:val="005F7736"/>
    <w:rsid w:val="006002DD"/>
    <w:rsid w:val="006008B2"/>
    <w:rsid w:val="00600A6E"/>
    <w:rsid w:val="006012C6"/>
    <w:rsid w:val="00601371"/>
    <w:rsid w:val="00601511"/>
    <w:rsid w:val="00601B3A"/>
    <w:rsid w:val="006026A5"/>
    <w:rsid w:val="006029D0"/>
    <w:rsid w:val="00602B62"/>
    <w:rsid w:val="006035F3"/>
    <w:rsid w:val="00603CE3"/>
    <w:rsid w:val="00603D56"/>
    <w:rsid w:val="00603DF7"/>
    <w:rsid w:val="00603EAE"/>
    <w:rsid w:val="0060419D"/>
    <w:rsid w:val="00604A06"/>
    <w:rsid w:val="00604C23"/>
    <w:rsid w:val="00604CA1"/>
    <w:rsid w:val="006052E7"/>
    <w:rsid w:val="0060553D"/>
    <w:rsid w:val="006069F1"/>
    <w:rsid w:val="00606AF8"/>
    <w:rsid w:val="00606AFB"/>
    <w:rsid w:val="0060773F"/>
    <w:rsid w:val="0060793D"/>
    <w:rsid w:val="00607D75"/>
    <w:rsid w:val="00607E13"/>
    <w:rsid w:val="0061001F"/>
    <w:rsid w:val="00610085"/>
    <w:rsid w:val="00610A20"/>
    <w:rsid w:val="00610A63"/>
    <w:rsid w:val="00610D74"/>
    <w:rsid w:val="00611318"/>
    <w:rsid w:val="00611DB2"/>
    <w:rsid w:val="00612417"/>
    <w:rsid w:val="00612514"/>
    <w:rsid w:val="00612ADA"/>
    <w:rsid w:val="00612C81"/>
    <w:rsid w:val="0061348C"/>
    <w:rsid w:val="0061374C"/>
    <w:rsid w:val="00613B24"/>
    <w:rsid w:val="00613DD0"/>
    <w:rsid w:val="00613E74"/>
    <w:rsid w:val="00614A2F"/>
    <w:rsid w:val="00615808"/>
    <w:rsid w:val="00615C49"/>
    <w:rsid w:val="00615C72"/>
    <w:rsid w:val="00615EBD"/>
    <w:rsid w:val="006161AB"/>
    <w:rsid w:val="00616C26"/>
    <w:rsid w:val="00616FDA"/>
    <w:rsid w:val="00617227"/>
    <w:rsid w:val="00617A48"/>
    <w:rsid w:val="00617A66"/>
    <w:rsid w:val="00617C5B"/>
    <w:rsid w:val="006204FE"/>
    <w:rsid w:val="00620569"/>
    <w:rsid w:val="006208E5"/>
    <w:rsid w:val="00620CC8"/>
    <w:rsid w:val="00620F39"/>
    <w:rsid w:val="0062105D"/>
    <w:rsid w:val="00621256"/>
    <w:rsid w:val="006216C3"/>
    <w:rsid w:val="00621823"/>
    <w:rsid w:val="00621DE5"/>
    <w:rsid w:val="00621F71"/>
    <w:rsid w:val="00622279"/>
    <w:rsid w:val="00623792"/>
    <w:rsid w:val="00623A0E"/>
    <w:rsid w:val="0062449C"/>
    <w:rsid w:val="006247F4"/>
    <w:rsid w:val="006248DE"/>
    <w:rsid w:val="00624A03"/>
    <w:rsid w:val="00624BF8"/>
    <w:rsid w:val="00624E99"/>
    <w:rsid w:val="006257F6"/>
    <w:rsid w:val="00625A97"/>
    <w:rsid w:val="006260E7"/>
    <w:rsid w:val="006263F7"/>
    <w:rsid w:val="0062682D"/>
    <w:rsid w:val="00626ABA"/>
    <w:rsid w:val="00626FB7"/>
    <w:rsid w:val="006270F0"/>
    <w:rsid w:val="006279F6"/>
    <w:rsid w:val="00630BBA"/>
    <w:rsid w:val="006310F5"/>
    <w:rsid w:val="006311F4"/>
    <w:rsid w:val="0063202C"/>
    <w:rsid w:val="006321C8"/>
    <w:rsid w:val="006323E4"/>
    <w:rsid w:val="00633019"/>
    <w:rsid w:val="00633068"/>
    <w:rsid w:val="00633852"/>
    <w:rsid w:val="0063494B"/>
    <w:rsid w:val="00634E12"/>
    <w:rsid w:val="00634EEE"/>
    <w:rsid w:val="0063574D"/>
    <w:rsid w:val="00635825"/>
    <w:rsid w:val="00635C67"/>
    <w:rsid w:val="00636550"/>
    <w:rsid w:val="006365A0"/>
    <w:rsid w:val="0063693B"/>
    <w:rsid w:val="006371C5"/>
    <w:rsid w:val="0063779B"/>
    <w:rsid w:val="00637DB3"/>
    <w:rsid w:val="00637E86"/>
    <w:rsid w:val="00637FBE"/>
    <w:rsid w:val="00640334"/>
    <w:rsid w:val="006403E9"/>
    <w:rsid w:val="00640813"/>
    <w:rsid w:val="00640959"/>
    <w:rsid w:val="00642ED5"/>
    <w:rsid w:val="006432C8"/>
    <w:rsid w:val="0064331F"/>
    <w:rsid w:val="006435EB"/>
    <w:rsid w:val="00643907"/>
    <w:rsid w:val="00643B9C"/>
    <w:rsid w:val="00644145"/>
    <w:rsid w:val="006441DE"/>
    <w:rsid w:val="00644315"/>
    <w:rsid w:val="006443FB"/>
    <w:rsid w:val="00644546"/>
    <w:rsid w:val="00644A62"/>
    <w:rsid w:val="00644EE4"/>
    <w:rsid w:val="0064518B"/>
    <w:rsid w:val="00645E2D"/>
    <w:rsid w:val="006461CE"/>
    <w:rsid w:val="00646495"/>
    <w:rsid w:val="006479E6"/>
    <w:rsid w:val="00647D06"/>
    <w:rsid w:val="00647FFD"/>
    <w:rsid w:val="006504FE"/>
    <w:rsid w:val="00650BFF"/>
    <w:rsid w:val="00651192"/>
    <w:rsid w:val="0065149B"/>
    <w:rsid w:val="0065188F"/>
    <w:rsid w:val="00652398"/>
    <w:rsid w:val="00652597"/>
    <w:rsid w:val="006527FA"/>
    <w:rsid w:val="00652AFE"/>
    <w:rsid w:val="00652B49"/>
    <w:rsid w:val="00652DD5"/>
    <w:rsid w:val="00652F80"/>
    <w:rsid w:val="0065392B"/>
    <w:rsid w:val="00653E66"/>
    <w:rsid w:val="006549FA"/>
    <w:rsid w:val="00654E6D"/>
    <w:rsid w:val="00656CEB"/>
    <w:rsid w:val="0065711A"/>
    <w:rsid w:val="006576FF"/>
    <w:rsid w:val="0066011A"/>
    <w:rsid w:val="006602ED"/>
    <w:rsid w:val="006606B0"/>
    <w:rsid w:val="00660C06"/>
    <w:rsid w:val="00660DFC"/>
    <w:rsid w:val="00660ED3"/>
    <w:rsid w:val="00661550"/>
    <w:rsid w:val="006617F6"/>
    <w:rsid w:val="00661829"/>
    <w:rsid w:val="00661C11"/>
    <w:rsid w:val="00661DA0"/>
    <w:rsid w:val="006622B9"/>
    <w:rsid w:val="00662509"/>
    <w:rsid w:val="00662527"/>
    <w:rsid w:val="006628B3"/>
    <w:rsid w:val="00662A0F"/>
    <w:rsid w:val="00663129"/>
    <w:rsid w:val="006631B6"/>
    <w:rsid w:val="006634CE"/>
    <w:rsid w:val="0066379A"/>
    <w:rsid w:val="00663AAB"/>
    <w:rsid w:val="00664096"/>
    <w:rsid w:val="006643E3"/>
    <w:rsid w:val="006645BE"/>
    <w:rsid w:val="00664AB8"/>
    <w:rsid w:val="006653B2"/>
    <w:rsid w:val="006659C8"/>
    <w:rsid w:val="00665A56"/>
    <w:rsid w:val="00665A93"/>
    <w:rsid w:val="00666190"/>
    <w:rsid w:val="0066646E"/>
    <w:rsid w:val="00666743"/>
    <w:rsid w:val="006668EF"/>
    <w:rsid w:val="0066690D"/>
    <w:rsid w:val="00667203"/>
    <w:rsid w:val="006672F5"/>
    <w:rsid w:val="0066763C"/>
    <w:rsid w:val="00667B11"/>
    <w:rsid w:val="00667B1E"/>
    <w:rsid w:val="00671214"/>
    <w:rsid w:val="006716F0"/>
    <w:rsid w:val="00671815"/>
    <w:rsid w:val="00671B62"/>
    <w:rsid w:val="00671F55"/>
    <w:rsid w:val="00672326"/>
    <w:rsid w:val="006723E1"/>
    <w:rsid w:val="00672466"/>
    <w:rsid w:val="00672D84"/>
    <w:rsid w:val="0067310E"/>
    <w:rsid w:val="0067351A"/>
    <w:rsid w:val="006739F7"/>
    <w:rsid w:val="00673C30"/>
    <w:rsid w:val="00674648"/>
    <w:rsid w:val="006746C9"/>
    <w:rsid w:val="00674966"/>
    <w:rsid w:val="006749B7"/>
    <w:rsid w:val="00674A76"/>
    <w:rsid w:val="00674D46"/>
    <w:rsid w:val="006757B2"/>
    <w:rsid w:val="0067633D"/>
    <w:rsid w:val="00676517"/>
    <w:rsid w:val="00676A22"/>
    <w:rsid w:val="00676C32"/>
    <w:rsid w:val="00676D43"/>
    <w:rsid w:val="00676F90"/>
    <w:rsid w:val="00677349"/>
    <w:rsid w:val="00677455"/>
    <w:rsid w:val="006777FC"/>
    <w:rsid w:val="0068024D"/>
    <w:rsid w:val="00680311"/>
    <w:rsid w:val="00680D43"/>
    <w:rsid w:val="00680FDF"/>
    <w:rsid w:val="006817B0"/>
    <w:rsid w:val="006818AD"/>
    <w:rsid w:val="00681910"/>
    <w:rsid w:val="006819F0"/>
    <w:rsid w:val="0068209F"/>
    <w:rsid w:val="006825C4"/>
    <w:rsid w:val="006831BA"/>
    <w:rsid w:val="0068454A"/>
    <w:rsid w:val="00685450"/>
    <w:rsid w:val="00685466"/>
    <w:rsid w:val="0068578F"/>
    <w:rsid w:val="00685D3E"/>
    <w:rsid w:val="00685D56"/>
    <w:rsid w:val="00685DD8"/>
    <w:rsid w:val="00685E11"/>
    <w:rsid w:val="0068646C"/>
    <w:rsid w:val="00690374"/>
    <w:rsid w:val="00690416"/>
    <w:rsid w:val="00690AB2"/>
    <w:rsid w:val="00691105"/>
    <w:rsid w:val="00691302"/>
    <w:rsid w:val="0069140D"/>
    <w:rsid w:val="006918DA"/>
    <w:rsid w:val="00691E1F"/>
    <w:rsid w:val="00692165"/>
    <w:rsid w:val="0069350A"/>
    <w:rsid w:val="00693854"/>
    <w:rsid w:val="0069426B"/>
    <w:rsid w:val="0069435C"/>
    <w:rsid w:val="006947FD"/>
    <w:rsid w:val="00694803"/>
    <w:rsid w:val="00694B56"/>
    <w:rsid w:val="00694BD3"/>
    <w:rsid w:val="00695F8D"/>
    <w:rsid w:val="006960A4"/>
    <w:rsid w:val="0069617E"/>
    <w:rsid w:val="00696888"/>
    <w:rsid w:val="00696914"/>
    <w:rsid w:val="006970EC"/>
    <w:rsid w:val="0069722D"/>
    <w:rsid w:val="00697E13"/>
    <w:rsid w:val="006A00DB"/>
    <w:rsid w:val="006A01F3"/>
    <w:rsid w:val="006A0547"/>
    <w:rsid w:val="006A1680"/>
    <w:rsid w:val="006A1849"/>
    <w:rsid w:val="006A2312"/>
    <w:rsid w:val="006A28E0"/>
    <w:rsid w:val="006A2AE8"/>
    <w:rsid w:val="006A2C28"/>
    <w:rsid w:val="006A2D15"/>
    <w:rsid w:val="006A2F02"/>
    <w:rsid w:val="006A3070"/>
    <w:rsid w:val="006A3814"/>
    <w:rsid w:val="006A3C94"/>
    <w:rsid w:val="006A41EF"/>
    <w:rsid w:val="006A43FD"/>
    <w:rsid w:val="006A4553"/>
    <w:rsid w:val="006A4DC6"/>
    <w:rsid w:val="006A59D1"/>
    <w:rsid w:val="006A6AAC"/>
    <w:rsid w:val="006A725E"/>
    <w:rsid w:val="006B0DA2"/>
    <w:rsid w:val="006B129D"/>
    <w:rsid w:val="006B1346"/>
    <w:rsid w:val="006B1998"/>
    <w:rsid w:val="006B1AE2"/>
    <w:rsid w:val="006B1F93"/>
    <w:rsid w:val="006B20AD"/>
    <w:rsid w:val="006B2106"/>
    <w:rsid w:val="006B23DA"/>
    <w:rsid w:val="006B2C8D"/>
    <w:rsid w:val="006B3105"/>
    <w:rsid w:val="006B3256"/>
    <w:rsid w:val="006B3966"/>
    <w:rsid w:val="006B4486"/>
    <w:rsid w:val="006B4600"/>
    <w:rsid w:val="006B4EDC"/>
    <w:rsid w:val="006B565F"/>
    <w:rsid w:val="006B582B"/>
    <w:rsid w:val="006B6635"/>
    <w:rsid w:val="006B6819"/>
    <w:rsid w:val="006B6885"/>
    <w:rsid w:val="006B68CD"/>
    <w:rsid w:val="006B6908"/>
    <w:rsid w:val="006B6CA1"/>
    <w:rsid w:val="006B6F77"/>
    <w:rsid w:val="006B7038"/>
    <w:rsid w:val="006B7177"/>
    <w:rsid w:val="006B739F"/>
    <w:rsid w:val="006B763C"/>
    <w:rsid w:val="006C03C1"/>
    <w:rsid w:val="006C12D2"/>
    <w:rsid w:val="006C1642"/>
    <w:rsid w:val="006C1650"/>
    <w:rsid w:val="006C1C55"/>
    <w:rsid w:val="006C1D17"/>
    <w:rsid w:val="006C1D76"/>
    <w:rsid w:val="006C2375"/>
    <w:rsid w:val="006C23B8"/>
    <w:rsid w:val="006C2632"/>
    <w:rsid w:val="006C2F83"/>
    <w:rsid w:val="006C3411"/>
    <w:rsid w:val="006C359C"/>
    <w:rsid w:val="006C4171"/>
    <w:rsid w:val="006C41E2"/>
    <w:rsid w:val="006C4904"/>
    <w:rsid w:val="006C495A"/>
    <w:rsid w:val="006C5026"/>
    <w:rsid w:val="006C50A2"/>
    <w:rsid w:val="006C5153"/>
    <w:rsid w:val="006C5C3C"/>
    <w:rsid w:val="006C5EEF"/>
    <w:rsid w:val="006C6764"/>
    <w:rsid w:val="006C689C"/>
    <w:rsid w:val="006C6C9F"/>
    <w:rsid w:val="006C7E68"/>
    <w:rsid w:val="006D02EF"/>
    <w:rsid w:val="006D049F"/>
    <w:rsid w:val="006D06C1"/>
    <w:rsid w:val="006D0A5E"/>
    <w:rsid w:val="006D137A"/>
    <w:rsid w:val="006D13E6"/>
    <w:rsid w:val="006D13F3"/>
    <w:rsid w:val="006D1C91"/>
    <w:rsid w:val="006D1FFE"/>
    <w:rsid w:val="006D2010"/>
    <w:rsid w:val="006D33B5"/>
    <w:rsid w:val="006D3C94"/>
    <w:rsid w:val="006D45FF"/>
    <w:rsid w:val="006D474A"/>
    <w:rsid w:val="006D4CD9"/>
    <w:rsid w:val="006D5315"/>
    <w:rsid w:val="006D53EF"/>
    <w:rsid w:val="006D59CA"/>
    <w:rsid w:val="006D60BF"/>
    <w:rsid w:val="006D624C"/>
    <w:rsid w:val="006D650C"/>
    <w:rsid w:val="006D6AEC"/>
    <w:rsid w:val="006D6FF5"/>
    <w:rsid w:val="006D7155"/>
    <w:rsid w:val="006D785D"/>
    <w:rsid w:val="006D78A1"/>
    <w:rsid w:val="006D7A59"/>
    <w:rsid w:val="006D7D13"/>
    <w:rsid w:val="006E0317"/>
    <w:rsid w:val="006E057B"/>
    <w:rsid w:val="006E0695"/>
    <w:rsid w:val="006E07E4"/>
    <w:rsid w:val="006E0B1F"/>
    <w:rsid w:val="006E0B32"/>
    <w:rsid w:val="006E102A"/>
    <w:rsid w:val="006E129E"/>
    <w:rsid w:val="006E15E1"/>
    <w:rsid w:val="006E235E"/>
    <w:rsid w:val="006E27D9"/>
    <w:rsid w:val="006E3088"/>
    <w:rsid w:val="006E317B"/>
    <w:rsid w:val="006E33E5"/>
    <w:rsid w:val="006E3A66"/>
    <w:rsid w:val="006E3B4B"/>
    <w:rsid w:val="006E41F1"/>
    <w:rsid w:val="006E5168"/>
    <w:rsid w:val="006E55CF"/>
    <w:rsid w:val="006E576C"/>
    <w:rsid w:val="006E5923"/>
    <w:rsid w:val="006E61D8"/>
    <w:rsid w:val="006E6220"/>
    <w:rsid w:val="006E6549"/>
    <w:rsid w:val="006E66AD"/>
    <w:rsid w:val="006E6B2B"/>
    <w:rsid w:val="006E6BA6"/>
    <w:rsid w:val="006E74B1"/>
    <w:rsid w:val="006E753A"/>
    <w:rsid w:val="006E7978"/>
    <w:rsid w:val="006E7AA6"/>
    <w:rsid w:val="006E7ABD"/>
    <w:rsid w:val="006F0427"/>
    <w:rsid w:val="006F08B6"/>
    <w:rsid w:val="006F1158"/>
    <w:rsid w:val="006F1802"/>
    <w:rsid w:val="006F18F9"/>
    <w:rsid w:val="006F1B7D"/>
    <w:rsid w:val="006F1C59"/>
    <w:rsid w:val="006F2203"/>
    <w:rsid w:val="006F2360"/>
    <w:rsid w:val="006F2395"/>
    <w:rsid w:val="006F272C"/>
    <w:rsid w:val="006F27ED"/>
    <w:rsid w:val="006F29EA"/>
    <w:rsid w:val="006F2B09"/>
    <w:rsid w:val="006F2DF4"/>
    <w:rsid w:val="006F30B7"/>
    <w:rsid w:val="006F31DF"/>
    <w:rsid w:val="006F3424"/>
    <w:rsid w:val="006F3CCC"/>
    <w:rsid w:val="006F437F"/>
    <w:rsid w:val="006F45CC"/>
    <w:rsid w:val="006F4A86"/>
    <w:rsid w:val="006F4F0E"/>
    <w:rsid w:val="006F5096"/>
    <w:rsid w:val="006F52FD"/>
    <w:rsid w:val="006F53C4"/>
    <w:rsid w:val="006F57A9"/>
    <w:rsid w:val="006F5A0D"/>
    <w:rsid w:val="006F6E6C"/>
    <w:rsid w:val="006F7757"/>
    <w:rsid w:val="006F7DD5"/>
    <w:rsid w:val="007002ED"/>
    <w:rsid w:val="0070175B"/>
    <w:rsid w:val="00701F99"/>
    <w:rsid w:val="00701FDC"/>
    <w:rsid w:val="00702AE0"/>
    <w:rsid w:val="00703352"/>
    <w:rsid w:val="007035DF"/>
    <w:rsid w:val="00703683"/>
    <w:rsid w:val="007036C2"/>
    <w:rsid w:val="00703C67"/>
    <w:rsid w:val="00703D1A"/>
    <w:rsid w:val="0070451A"/>
    <w:rsid w:val="00704636"/>
    <w:rsid w:val="00704647"/>
    <w:rsid w:val="007048C5"/>
    <w:rsid w:val="00704BB1"/>
    <w:rsid w:val="00704EEC"/>
    <w:rsid w:val="00705680"/>
    <w:rsid w:val="007056EE"/>
    <w:rsid w:val="00705A97"/>
    <w:rsid w:val="007060D4"/>
    <w:rsid w:val="00706F37"/>
    <w:rsid w:val="00707329"/>
    <w:rsid w:val="0070745B"/>
    <w:rsid w:val="00707B2F"/>
    <w:rsid w:val="007100B6"/>
    <w:rsid w:val="0071070F"/>
    <w:rsid w:val="00710781"/>
    <w:rsid w:val="00710792"/>
    <w:rsid w:val="00710917"/>
    <w:rsid w:val="00710C0D"/>
    <w:rsid w:val="007112E4"/>
    <w:rsid w:val="00711BA5"/>
    <w:rsid w:val="007121A9"/>
    <w:rsid w:val="00712273"/>
    <w:rsid w:val="007122F6"/>
    <w:rsid w:val="00712763"/>
    <w:rsid w:val="00712794"/>
    <w:rsid w:val="007128FB"/>
    <w:rsid w:val="00712C22"/>
    <w:rsid w:val="00713558"/>
    <w:rsid w:val="00713B3B"/>
    <w:rsid w:val="00713BD7"/>
    <w:rsid w:val="00713C96"/>
    <w:rsid w:val="007140DD"/>
    <w:rsid w:val="00714130"/>
    <w:rsid w:val="007149FD"/>
    <w:rsid w:val="00714CDD"/>
    <w:rsid w:val="007155AC"/>
    <w:rsid w:val="00715B94"/>
    <w:rsid w:val="00715B98"/>
    <w:rsid w:val="00715D49"/>
    <w:rsid w:val="00716328"/>
    <w:rsid w:val="0071690F"/>
    <w:rsid w:val="00716D99"/>
    <w:rsid w:val="007173FD"/>
    <w:rsid w:val="007176C8"/>
    <w:rsid w:val="0071799F"/>
    <w:rsid w:val="00717C83"/>
    <w:rsid w:val="00717CCA"/>
    <w:rsid w:val="00720135"/>
    <w:rsid w:val="007202C6"/>
    <w:rsid w:val="00720A36"/>
    <w:rsid w:val="00720A63"/>
    <w:rsid w:val="00721787"/>
    <w:rsid w:val="007217E0"/>
    <w:rsid w:val="00721FD0"/>
    <w:rsid w:val="0072280D"/>
    <w:rsid w:val="00722AB6"/>
    <w:rsid w:val="00722B1A"/>
    <w:rsid w:val="00722D37"/>
    <w:rsid w:val="007234F9"/>
    <w:rsid w:val="00723836"/>
    <w:rsid w:val="00723BB1"/>
    <w:rsid w:val="00723F8E"/>
    <w:rsid w:val="00724903"/>
    <w:rsid w:val="00724B06"/>
    <w:rsid w:val="00724CB0"/>
    <w:rsid w:val="00724DC1"/>
    <w:rsid w:val="007252C9"/>
    <w:rsid w:val="00725515"/>
    <w:rsid w:val="0072585F"/>
    <w:rsid w:val="007258EF"/>
    <w:rsid w:val="00725C56"/>
    <w:rsid w:val="00726F3D"/>
    <w:rsid w:val="007271FF"/>
    <w:rsid w:val="00727392"/>
    <w:rsid w:val="00727994"/>
    <w:rsid w:val="00727D9B"/>
    <w:rsid w:val="00727DF2"/>
    <w:rsid w:val="007303A4"/>
    <w:rsid w:val="00730422"/>
    <w:rsid w:val="00730557"/>
    <w:rsid w:val="00730932"/>
    <w:rsid w:val="00730B6F"/>
    <w:rsid w:val="00731407"/>
    <w:rsid w:val="00731ED2"/>
    <w:rsid w:val="00731EEC"/>
    <w:rsid w:val="007321FC"/>
    <w:rsid w:val="00732798"/>
    <w:rsid w:val="00732ACE"/>
    <w:rsid w:val="00732C56"/>
    <w:rsid w:val="00732DCA"/>
    <w:rsid w:val="00732F21"/>
    <w:rsid w:val="00732F86"/>
    <w:rsid w:val="00732FC8"/>
    <w:rsid w:val="00733224"/>
    <w:rsid w:val="00733851"/>
    <w:rsid w:val="0073410A"/>
    <w:rsid w:val="007345F2"/>
    <w:rsid w:val="0073489B"/>
    <w:rsid w:val="00734921"/>
    <w:rsid w:val="00734E1A"/>
    <w:rsid w:val="007350AA"/>
    <w:rsid w:val="007352AD"/>
    <w:rsid w:val="0073551F"/>
    <w:rsid w:val="00735651"/>
    <w:rsid w:val="00736F10"/>
    <w:rsid w:val="007370D2"/>
    <w:rsid w:val="00740129"/>
    <w:rsid w:val="007406C3"/>
    <w:rsid w:val="007406F9"/>
    <w:rsid w:val="00740720"/>
    <w:rsid w:val="0074112B"/>
    <w:rsid w:val="00741224"/>
    <w:rsid w:val="00741CB5"/>
    <w:rsid w:val="00741E54"/>
    <w:rsid w:val="00741E56"/>
    <w:rsid w:val="00741FBC"/>
    <w:rsid w:val="00742064"/>
    <w:rsid w:val="007420AF"/>
    <w:rsid w:val="0074232D"/>
    <w:rsid w:val="0074280A"/>
    <w:rsid w:val="00742E4E"/>
    <w:rsid w:val="007431AD"/>
    <w:rsid w:val="007431C0"/>
    <w:rsid w:val="00743304"/>
    <w:rsid w:val="0074339D"/>
    <w:rsid w:val="00743504"/>
    <w:rsid w:val="00743D1E"/>
    <w:rsid w:val="00744673"/>
    <w:rsid w:val="007450AC"/>
    <w:rsid w:val="0074575D"/>
    <w:rsid w:val="00745A0A"/>
    <w:rsid w:val="00745AE5"/>
    <w:rsid w:val="007464F6"/>
    <w:rsid w:val="00746B01"/>
    <w:rsid w:val="00746B0C"/>
    <w:rsid w:val="00746C65"/>
    <w:rsid w:val="00746F5D"/>
    <w:rsid w:val="00747106"/>
    <w:rsid w:val="0074745D"/>
    <w:rsid w:val="00747563"/>
    <w:rsid w:val="00747CC4"/>
    <w:rsid w:val="007510B7"/>
    <w:rsid w:val="00751221"/>
    <w:rsid w:val="00751289"/>
    <w:rsid w:val="007517DE"/>
    <w:rsid w:val="00751D89"/>
    <w:rsid w:val="00751EC6"/>
    <w:rsid w:val="007523C9"/>
    <w:rsid w:val="00752453"/>
    <w:rsid w:val="00752818"/>
    <w:rsid w:val="00752A9C"/>
    <w:rsid w:val="007531B1"/>
    <w:rsid w:val="007535D0"/>
    <w:rsid w:val="00753DCF"/>
    <w:rsid w:val="00753FD6"/>
    <w:rsid w:val="00754021"/>
    <w:rsid w:val="00754297"/>
    <w:rsid w:val="00755365"/>
    <w:rsid w:val="00755F59"/>
    <w:rsid w:val="0075603F"/>
    <w:rsid w:val="00756065"/>
    <w:rsid w:val="007562CC"/>
    <w:rsid w:val="00756358"/>
    <w:rsid w:val="007571FB"/>
    <w:rsid w:val="00757301"/>
    <w:rsid w:val="00757510"/>
    <w:rsid w:val="00757A55"/>
    <w:rsid w:val="00757B3C"/>
    <w:rsid w:val="00757C47"/>
    <w:rsid w:val="00757E42"/>
    <w:rsid w:val="007604EB"/>
    <w:rsid w:val="00760626"/>
    <w:rsid w:val="00760B78"/>
    <w:rsid w:val="00760DF8"/>
    <w:rsid w:val="007610B7"/>
    <w:rsid w:val="007610CD"/>
    <w:rsid w:val="007611F5"/>
    <w:rsid w:val="0076123F"/>
    <w:rsid w:val="00761CC9"/>
    <w:rsid w:val="00762059"/>
    <w:rsid w:val="00762812"/>
    <w:rsid w:val="00762C84"/>
    <w:rsid w:val="00764333"/>
    <w:rsid w:val="00764383"/>
    <w:rsid w:val="007646C6"/>
    <w:rsid w:val="00765719"/>
    <w:rsid w:val="0076610A"/>
    <w:rsid w:val="007662C7"/>
    <w:rsid w:val="00766324"/>
    <w:rsid w:val="007664A2"/>
    <w:rsid w:val="007670AC"/>
    <w:rsid w:val="007671D2"/>
    <w:rsid w:val="007677FD"/>
    <w:rsid w:val="007679B6"/>
    <w:rsid w:val="00767CEE"/>
    <w:rsid w:val="00767D7B"/>
    <w:rsid w:val="0077005D"/>
    <w:rsid w:val="00770AFA"/>
    <w:rsid w:val="007716C0"/>
    <w:rsid w:val="00771858"/>
    <w:rsid w:val="00771B98"/>
    <w:rsid w:val="00771C6F"/>
    <w:rsid w:val="00771D4C"/>
    <w:rsid w:val="00772A78"/>
    <w:rsid w:val="00772CAE"/>
    <w:rsid w:val="00772EB1"/>
    <w:rsid w:val="00773562"/>
    <w:rsid w:val="00773B2B"/>
    <w:rsid w:val="00773D02"/>
    <w:rsid w:val="00773E51"/>
    <w:rsid w:val="00774628"/>
    <w:rsid w:val="007746AF"/>
    <w:rsid w:val="00774795"/>
    <w:rsid w:val="007749C7"/>
    <w:rsid w:val="00774A3A"/>
    <w:rsid w:val="0077517E"/>
    <w:rsid w:val="00775CE1"/>
    <w:rsid w:val="007760BD"/>
    <w:rsid w:val="007760D9"/>
    <w:rsid w:val="007769D7"/>
    <w:rsid w:val="00777183"/>
    <w:rsid w:val="00777444"/>
    <w:rsid w:val="00777CD2"/>
    <w:rsid w:val="00777F5E"/>
    <w:rsid w:val="007808A5"/>
    <w:rsid w:val="007808DE"/>
    <w:rsid w:val="007811AE"/>
    <w:rsid w:val="00781227"/>
    <w:rsid w:val="00781308"/>
    <w:rsid w:val="00781452"/>
    <w:rsid w:val="007818C9"/>
    <w:rsid w:val="00781A5F"/>
    <w:rsid w:val="00781AB4"/>
    <w:rsid w:val="00782E55"/>
    <w:rsid w:val="00783344"/>
    <w:rsid w:val="00783B1C"/>
    <w:rsid w:val="007840BD"/>
    <w:rsid w:val="007841BC"/>
    <w:rsid w:val="00784B49"/>
    <w:rsid w:val="00784D7C"/>
    <w:rsid w:val="00784DB4"/>
    <w:rsid w:val="00784DEB"/>
    <w:rsid w:val="00784FC4"/>
    <w:rsid w:val="0078521A"/>
    <w:rsid w:val="00785E54"/>
    <w:rsid w:val="007861FF"/>
    <w:rsid w:val="00786B42"/>
    <w:rsid w:val="00787334"/>
    <w:rsid w:val="00790973"/>
    <w:rsid w:val="00791273"/>
    <w:rsid w:val="00791B76"/>
    <w:rsid w:val="00791D73"/>
    <w:rsid w:val="007924F2"/>
    <w:rsid w:val="007924F9"/>
    <w:rsid w:val="00792B03"/>
    <w:rsid w:val="00792B10"/>
    <w:rsid w:val="007932DF"/>
    <w:rsid w:val="007932F4"/>
    <w:rsid w:val="00794969"/>
    <w:rsid w:val="00794CF7"/>
    <w:rsid w:val="00795159"/>
    <w:rsid w:val="007954AA"/>
    <w:rsid w:val="00795718"/>
    <w:rsid w:val="00795810"/>
    <w:rsid w:val="00795A2B"/>
    <w:rsid w:val="00795ABC"/>
    <w:rsid w:val="00795E69"/>
    <w:rsid w:val="0079673B"/>
    <w:rsid w:val="00796928"/>
    <w:rsid w:val="00796CB0"/>
    <w:rsid w:val="00796FB4"/>
    <w:rsid w:val="007970F2"/>
    <w:rsid w:val="0079733F"/>
    <w:rsid w:val="00797CC8"/>
    <w:rsid w:val="007A05A9"/>
    <w:rsid w:val="007A1304"/>
    <w:rsid w:val="007A21F7"/>
    <w:rsid w:val="007A2467"/>
    <w:rsid w:val="007A2679"/>
    <w:rsid w:val="007A2B33"/>
    <w:rsid w:val="007A2C1C"/>
    <w:rsid w:val="007A31EF"/>
    <w:rsid w:val="007A33D8"/>
    <w:rsid w:val="007A3700"/>
    <w:rsid w:val="007A383A"/>
    <w:rsid w:val="007A449F"/>
    <w:rsid w:val="007A5019"/>
    <w:rsid w:val="007A554D"/>
    <w:rsid w:val="007A5734"/>
    <w:rsid w:val="007A58AF"/>
    <w:rsid w:val="007A5A0B"/>
    <w:rsid w:val="007A6297"/>
    <w:rsid w:val="007A63E8"/>
    <w:rsid w:val="007A6B26"/>
    <w:rsid w:val="007A6E6D"/>
    <w:rsid w:val="007A76B0"/>
    <w:rsid w:val="007A77CA"/>
    <w:rsid w:val="007A78A5"/>
    <w:rsid w:val="007A7E4F"/>
    <w:rsid w:val="007B02F3"/>
    <w:rsid w:val="007B0A0D"/>
    <w:rsid w:val="007B0C29"/>
    <w:rsid w:val="007B0C32"/>
    <w:rsid w:val="007B0D97"/>
    <w:rsid w:val="007B10E4"/>
    <w:rsid w:val="007B1198"/>
    <w:rsid w:val="007B19CE"/>
    <w:rsid w:val="007B1A0A"/>
    <w:rsid w:val="007B20AB"/>
    <w:rsid w:val="007B21F5"/>
    <w:rsid w:val="007B2468"/>
    <w:rsid w:val="007B2B85"/>
    <w:rsid w:val="007B3413"/>
    <w:rsid w:val="007B36DC"/>
    <w:rsid w:val="007B427B"/>
    <w:rsid w:val="007B553A"/>
    <w:rsid w:val="007B565F"/>
    <w:rsid w:val="007B5D07"/>
    <w:rsid w:val="007B5D47"/>
    <w:rsid w:val="007B62E1"/>
    <w:rsid w:val="007B65EF"/>
    <w:rsid w:val="007B6940"/>
    <w:rsid w:val="007B6C8C"/>
    <w:rsid w:val="007B6CB9"/>
    <w:rsid w:val="007B6DFC"/>
    <w:rsid w:val="007B756D"/>
    <w:rsid w:val="007B7A23"/>
    <w:rsid w:val="007B7C34"/>
    <w:rsid w:val="007B7ED2"/>
    <w:rsid w:val="007C04F3"/>
    <w:rsid w:val="007C0B3C"/>
    <w:rsid w:val="007C0CDF"/>
    <w:rsid w:val="007C19B8"/>
    <w:rsid w:val="007C1AF4"/>
    <w:rsid w:val="007C1DDB"/>
    <w:rsid w:val="007C1EAE"/>
    <w:rsid w:val="007C1F83"/>
    <w:rsid w:val="007C27FE"/>
    <w:rsid w:val="007C2CD0"/>
    <w:rsid w:val="007C2E49"/>
    <w:rsid w:val="007C3E34"/>
    <w:rsid w:val="007C456C"/>
    <w:rsid w:val="007C48CA"/>
    <w:rsid w:val="007C58E7"/>
    <w:rsid w:val="007C6DF3"/>
    <w:rsid w:val="007C711B"/>
    <w:rsid w:val="007C7E2D"/>
    <w:rsid w:val="007D0149"/>
    <w:rsid w:val="007D0550"/>
    <w:rsid w:val="007D05CD"/>
    <w:rsid w:val="007D0657"/>
    <w:rsid w:val="007D070F"/>
    <w:rsid w:val="007D071E"/>
    <w:rsid w:val="007D14D4"/>
    <w:rsid w:val="007D1A96"/>
    <w:rsid w:val="007D21B4"/>
    <w:rsid w:val="007D2341"/>
    <w:rsid w:val="007D27D3"/>
    <w:rsid w:val="007D2A50"/>
    <w:rsid w:val="007D2C06"/>
    <w:rsid w:val="007D2C4F"/>
    <w:rsid w:val="007D2E50"/>
    <w:rsid w:val="007D304F"/>
    <w:rsid w:val="007D31D3"/>
    <w:rsid w:val="007D495A"/>
    <w:rsid w:val="007D4B00"/>
    <w:rsid w:val="007D4D02"/>
    <w:rsid w:val="007D4EAA"/>
    <w:rsid w:val="007D546F"/>
    <w:rsid w:val="007D5EB7"/>
    <w:rsid w:val="007D5F49"/>
    <w:rsid w:val="007D65DA"/>
    <w:rsid w:val="007D6697"/>
    <w:rsid w:val="007D6855"/>
    <w:rsid w:val="007D6A77"/>
    <w:rsid w:val="007D6E24"/>
    <w:rsid w:val="007D7391"/>
    <w:rsid w:val="007D7426"/>
    <w:rsid w:val="007D789C"/>
    <w:rsid w:val="007E01D6"/>
    <w:rsid w:val="007E081E"/>
    <w:rsid w:val="007E09ED"/>
    <w:rsid w:val="007E0AF7"/>
    <w:rsid w:val="007E0B31"/>
    <w:rsid w:val="007E0D43"/>
    <w:rsid w:val="007E182C"/>
    <w:rsid w:val="007E1F25"/>
    <w:rsid w:val="007E22F0"/>
    <w:rsid w:val="007E24A2"/>
    <w:rsid w:val="007E2C51"/>
    <w:rsid w:val="007E318C"/>
    <w:rsid w:val="007E351C"/>
    <w:rsid w:val="007E3AE6"/>
    <w:rsid w:val="007E3C57"/>
    <w:rsid w:val="007E4576"/>
    <w:rsid w:val="007E4793"/>
    <w:rsid w:val="007E48A2"/>
    <w:rsid w:val="007E4B9F"/>
    <w:rsid w:val="007E550E"/>
    <w:rsid w:val="007E5807"/>
    <w:rsid w:val="007E5B26"/>
    <w:rsid w:val="007E5C4A"/>
    <w:rsid w:val="007E5C5D"/>
    <w:rsid w:val="007E693D"/>
    <w:rsid w:val="007E6ABE"/>
    <w:rsid w:val="007E7036"/>
    <w:rsid w:val="007E76BA"/>
    <w:rsid w:val="007E7976"/>
    <w:rsid w:val="007E7D2E"/>
    <w:rsid w:val="007E7F6B"/>
    <w:rsid w:val="007F0585"/>
    <w:rsid w:val="007F081D"/>
    <w:rsid w:val="007F0B1D"/>
    <w:rsid w:val="007F102C"/>
    <w:rsid w:val="007F12E6"/>
    <w:rsid w:val="007F1356"/>
    <w:rsid w:val="007F1503"/>
    <w:rsid w:val="007F15C4"/>
    <w:rsid w:val="007F16D4"/>
    <w:rsid w:val="007F1CB5"/>
    <w:rsid w:val="007F2286"/>
    <w:rsid w:val="007F273E"/>
    <w:rsid w:val="007F2796"/>
    <w:rsid w:val="007F29BA"/>
    <w:rsid w:val="007F34CB"/>
    <w:rsid w:val="007F3BD1"/>
    <w:rsid w:val="007F3DD6"/>
    <w:rsid w:val="007F4B66"/>
    <w:rsid w:val="007F4C46"/>
    <w:rsid w:val="007F56C6"/>
    <w:rsid w:val="007F5E27"/>
    <w:rsid w:val="007F5F9C"/>
    <w:rsid w:val="007F6219"/>
    <w:rsid w:val="007F7738"/>
    <w:rsid w:val="007F77A1"/>
    <w:rsid w:val="007F7E37"/>
    <w:rsid w:val="008001BD"/>
    <w:rsid w:val="00800236"/>
    <w:rsid w:val="00800B37"/>
    <w:rsid w:val="00800B76"/>
    <w:rsid w:val="0080144D"/>
    <w:rsid w:val="00801D40"/>
    <w:rsid w:val="008020DD"/>
    <w:rsid w:val="00802736"/>
    <w:rsid w:val="008029D5"/>
    <w:rsid w:val="008029DB"/>
    <w:rsid w:val="00802AD1"/>
    <w:rsid w:val="00802B83"/>
    <w:rsid w:val="00802C6B"/>
    <w:rsid w:val="00802CD0"/>
    <w:rsid w:val="008030CE"/>
    <w:rsid w:val="008032F9"/>
    <w:rsid w:val="0080395D"/>
    <w:rsid w:val="008042B1"/>
    <w:rsid w:val="008046AA"/>
    <w:rsid w:val="008047D6"/>
    <w:rsid w:val="00804A1B"/>
    <w:rsid w:val="00804C56"/>
    <w:rsid w:val="0080517A"/>
    <w:rsid w:val="00805267"/>
    <w:rsid w:val="00805669"/>
    <w:rsid w:val="00805EF1"/>
    <w:rsid w:val="008062E6"/>
    <w:rsid w:val="00806425"/>
    <w:rsid w:val="00806EB4"/>
    <w:rsid w:val="00807807"/>
    <w:rsid w:val="00807811"/>
    <w:rsid w:val="00807D27"/>
    <w:rsid w:val="00810142"/>
    <w:rsid w:val="00810176"/>
    <w:rsid w:val="008102EC"/>
    <w:rsid w:val="00810344"/>
    <w:rsid w:val="00810367"/>
    <w:rsid w:val="00811093"/>
    <w:rsid w:val="008111A5"/>
    <w:rsid w:val="008111BB"/>
    <w:rsid w:val="00811EC4"/>
    <w:rsid w:val="00812056"/>
    <w:rsid w:val="00812107"/>
    <w:rsid w:val="00812142"/>
    <w:rsid w:val="00812336"/>
    <w:rsid w:val="0081266C"/>
    <w:rsid w:val="00812680"/>
    <w:rsid w:val="008126D1"/>
    <w:rsid w:val="00812721"/>
    <w:rsid w:val="00812CA2"/>
    <w:rsid w:val="00812F67"/>
    <w:rsid w:val="008135DE"/>
    <w:rsid w:val="00813770"/>
    <w:rsid w:val="008142B9"/>
    <w:rsid w:val="0081431C"/>
    <w:rsid w:val="00816024"/>
    <w:rsid w:val="00816A66"/>
    <w:rsid w:val="00817495"/>
    <w:rsid w:val="008178C3"/>
    <w:rsid w:val="008207A8"/>
    <w:rsid w:val="00820809"/>
    <w:rsid w:val="00820B09"/>
    <w:rsid w:val="0082154E"/>
    <w:rsid w:val="00821AC9"/>
    <w:rsid w:val="00821C80"/>
    <w:rsid w:val="00821E05"/>
    <w:rsid w:val="00822338"/>
    <w:rsid w:val="00822462"/>
    <w:rsid w:val="00822A01"/>
    <w:rsid w:val="00822CE7"/>
    <w:rsid w:val="00822E7D"/>
    <w:rsid w:val="00823072"/>
    <w:rsid w:val="00823735"/>
    <w:rsid w:val="00823AF0"/>
    <w:rsid w:val="00823C10"/>
    <w:rsid w:val="0082417B"/>
    <w:rsid w:val="008243F2"/>
    <w:rsid w:val="00824A67"/>
    <w:rsid w:val="00824D79"/>
    <w:rsid w:val="00824E0D"/>
    <w:rsid w:val="00824EAE"/>
    <w:rsid w:val="0082575F"/>
    <w:rsid w:val="00825B5F"/>
    <w:rsid w:val="00825E14"/>
    <w:rsid w:val="00825ED7"/>
    <w:rsid w:val="00826891"/>
    <w:rsid w:val="00826AF2"/>
    <w:rsid w:val="00826DF2"/>
    <w:rsid w:val="00826F44"/>
    <w:rsid w:val="00827187"/>
    <w:rsid w:val="00827BA4"/>
    <w:rsid w:val="00827DF0"/>
    <w:rsid w:val="008302C3"/>
    <w:rsid w:val="00830705"/>
    <w:rsid w:val="00830851"/>
    <w:rsid w:val="00830CE9"/>
    <w:rsid w:val="008311D0"/>
    <w:rsid w:val="00831D13"/>
    <w:rsid w:val="00831F42"/>
    <w:rsid w:val="008327A7"/>
    <w:rsid w:val="00832A3F"/>
    <w:rsid w:val="00832CCC"/>
    <w:rsid w:val="00832CD9"/>
    <w:rsid w:val="008331AF"/>
    <w:rsid w:val="00833363"/>
    <w:rsid w:val="008335E7"/>
    <w:rsid w:val="00833D6D"/>
    <w:rsid w:val="008341BA"/>
    <w:rsid w:val="0083474E"/>
    <w:rsid w:val="008347B5"/>
    <w:rsid w:val="00834C8C"/>
    <w:rsid w:val="00834CC3"/>
    <w:rsid w:val="00834F92"/>
    <w:rsid w:val="0083517D"/>
    <w:rsid w:val="00835433"/>
    <w:rsid w:val="00835897"/>
    <w:rsid w:val="008359AE"/>
    <w:rsid w:val="008361E4"/>
    <w:rsid w:val="00836C20"/>
    <w:rsid w:val="00836DA1"/>
    <w:rsid w:val="00840021"/>
    <w:rsid w:val="00840189"/>
    <w:rsid w:val="008402F4"/>
    <w:rsid w:val="008402F9"/>
    <w:rsid w:val="00840786"/>
    <w:rsid w:val="00840CA0"/>
    <w:rsid w:val="008410CE"/>
    <w:rsid w:val="008416CA"/>
    <w:rsid w:val="00841D40"/>
    <w:rsid w:val="00843CF1"/>
    <w:rsid w:val="00843D0D"/>
    <w:rsid w:val="0084457D"/>
    <w:rsid w:val="008447A6"/>
    <w:rsid w:val="008449A6"/>
    <w:rsid w:val="00844F57"/>
    <w:rsid w:val="00845249"/>
    <w:rsid w:val="00845565"/>
    <w:rsid w:val="0084580D"/>
    <w:rsid w:val="0084595F"/>
    <w:rsid w:val="00845BC8"/>
    <w:rsid w:val="00845CDD"/>
    <w:rsid w:val="00845D93"/>
    <w:rsid w:val="00845E0D"/>
    <w:rsid w:val="00845E99"/>
    <w:rsid w:val="0084650B"/>
    <w:rsid w:val="00846BAF"/>
    <w:rsid w:val="00846F28"/>
    <w:rsid w:val="0084705C"/>
    <w:rsid w:val="00847355"/>
    <w:rsid w:val="00847657"/>
    <w:rsid w:val="008479F0"/>
    <w:rsid w:val="00847CA4"/>
    <w:rsid w:val="008504F7"/>
    <w:rsid w:val="008507C4"/>
    <w:rsid w:val="0085096B"/>
    <w:rsid w:val="00851B3A"/>
    <w:rsid w:val="008522C8"/>
    <w:rsid w:val="00852368"/>
    <w:rsid w:val="00852AA6"/>
    <w:rsid w:val="00853461"/>
    <w:rsid w:val="008535C3"/>
    <w:rsid w:val="0085367A"/>
    <w:rsid w:val="00853812"/>
    <w:rsid w:val="00853A36"/>
    <w:rsid w:val="00853B28"/>
    <w:rsid w:val="00854DBB"/>
    <w:rsid w:val="00855495"/>
    <w:rsid w:val="008560EC"/>
    <w:rsid w:val="00856564"/>
    <w:rsid w:val="008566C5"/>
    <w:rsid w:val="008573D4"/>
    <w:rsid w:val="008573E7"/>
    <w:rsid w:val="00857C59"/>
    <w:rsid w:val="008607B1"/>
    <w:rsid w:val="00860D1C"/>
    <w:rsid w:val="00860D47"/>
    <w:rsid w:val="008611FE"/>
    <w:rsid w:val="00861511"/>
    <w:rsid w:val="00861AEE"/>
    <w:rsid w:val="00861C79"/>
    <w:rsid w:val="00862676"/>
    <w:rsid w:val="008627D4"/>
    <w:rsid w:val="008628CF"/>
    <w:rsid w:val="00862953"/>
    <w:rsid w:val="00862B2D"/>
    <w:rsid w:val="00863989"/>
    <w:rsid w:val="00863B5F"/>
    <w:rsid w:val="0086402D"/>
    <w:rsid w:val="0086445A"/>
    <w:rsid w:val="0086474B"/>
    <w:rsid w:val="00864817"/>
    <w:rsid w:val="00864F63"/>
    <w:rsid w:val="00865904"/>
    <w:rsid w:val="00865ECE"/>
    <w:rsid w:val="00866E93"/>
    <w:rsid w:val="008703A8"/>
    <w:rsid w:val="00870C15"/>
    <w:rsid w:val="0087117A"/>
    <w:rsid w:val="00871326"/>
    <w:rsid w:val="00871433"/>
    <w:rsid w:val="00871C8B"/>
    <w:rsid w:val="00871FE1"/>
    <w:rsid w:val="008721D1"/>
    <w:rsid w:val="00872649"/>
    <w:rsid w:val="008726FB"/>
    <w:rsid w:val="008730A7"/>
    <w:rsid w:val="008732D8"/>
    <w:rsid w:val="00873A8C"/>
    <w:rsid w:val="00873A9D"/>
    <w:rsid w:val="00873E7F"/>
    <w:rsid w:val="00874052"/>
    <w:rsid w:val="0087447E"/>
    <w:rsid w:val="00874520"/>
    <w:rsid w:val="008746FE"/>
    <w:rsid w:val="0087481D"/>
    <w:rsid w:val="00875388"/>
    <w:rsid w:val="00875E2E"/>
    <w:rsid w:val="00876027"/>
    <w:rsid w:val="008767AC"/>
    <w:rsid w:val="008768C2"/>
    <w:rsid w:val="00876986"/>
    <w:rsid w:val="00876DAB"/>
    <w:rsid w:val="008776E4"/>
    <w:rsid w:val="00877A58"/>
    <w:rsid w:val="00877E68"/>
    <w:rsid w:val="008805D8"/>
    <w:rsid w:val="008808F7"/>
    <w:rsid w:val="00880E74"/>
    <w:rsid w:val="00880FF9"/>
    <w:rsid w:val="00881D3A"/>
    <w:rsid w:val="00881E07"/>
    <w:rsid w:val="00881E2E"/>
    <w:rsid w:val="008825AC"/>
    <w:rsid w:val="00882783"/>
    <w:rsid w:val="00882B4E"/>
    <w:rsid w:val="00882CD2"/>
    <w:rsid w:val="00883BC2"/>
    <w:rsid w:val="00883C7B"/>
    <w:rsid w:val="008847DE"/>
    <w:rsid w:val="00884E44"/>
    <w:rsid w:val="00884F07"/>
    <w:rsid w:val="00884F27"/>
    <w:rsid w:val="00885431"/>
    <w:rsid w:val="00885768"/>
    <w:rsid w:val="00885AC9"/>
    <w:rsid w:val="00885D52"/>
    <w:rsid w:val="00886162"/>
    <w:rsid w:val="008861E3"/>
    <w:rsid w:val="00886367"/>
    <w:rsid w:val="0088714C"/>
    <w:rsid w:val="00887985"/>
    <w:rsid w:val="00887AFD"/>
    <w:rsid w:val="00890A61"/>
    <w:rsid w:val="00891334"/>
    <w:rsid w:val="00891D23"/>
    <w:rsid w:val="00891D2B"/>
    <w:rsid w:val="00891F1A"/>
    <w:rsid w:val="008922CE"/>
    <w:rsid w:val="008927E4"/>
    <w:rsid w:val="00892AD2"/>
    <w:rsid w:val="00892D15"/>
    <w:rsid w:val="00892F91"/>
    <w:rsid w:val="008945C4"/>
    <w:rsid w:val="008946D5"/>
    <w:rsid w:val="008948A5"/>
    <w:rsid w:val="00894CD4"/>
    <w:rsid w:val="00894D6F"/>
    <w:rsid w:val="00895140"/>
    <w:rsid w:val="008952A1"/>
    <w:rsid w:val="008958B4"/>
    <w:rsid w:val="0089592E"/>
    <w:rsid w:val="00895A23"/>
    <w:rsid w:val="00896587"/>
    <w:rsid w:val="00896F4E"/>
    <w:rsid w:val="00896F6D"/>
    <w:rsid w:val="00897496"/>
    <w:rsid w:val="008978D8"/>
    <w:rsid w:val="0089797A"/>
    <w:rsid w:val="008A00A9"/>
    <w:rsid w:val="008A011D"/>
    <w:rsid w:val="008A105C"/>
    <w:rsid w:val="008A18B3"/>
    <w:rsid w:val="008A18B9"/>
    <w:rsid w:val="008A1961"/>
    <w:rsid w:val="008A19C4"/>
    <w:rsid w:val="008A1AB9"/>
    <w:rsid w:val="008A1B89"/>
    <w:rsid w:val="008A1F5E"/>
    <w:rsid w:val="008A27CF"/>
    <w:rsid w:val="008A280D"/>
    <w:rsid w:val="008A2810"/>
    <w:rsid w:val="008A29A3"/>
    <w:rsid w:val="008A2E26"/>
    <w:rsid w:val="008A2EF2"/>
    <w:rsid w:val="008A313C"/>
    <w:rsid w:val="008A41D2"/>
    <w:rsid w:val="008A48A1"/>
    <w:rsid w:val="008A49A9"/>
    <w:rsid w:val="008A4ABF"/>
    <w:rsid w:val="008A504A"/>
    <w:rsid w:val="008A5594"/>
    <w:rsid w:val="008A567D"/>
    <w:rsid w:val="008A632C"/>
    <w:rsid w:val="008A65A9"/>
    <w:rsid w:val="008A6FB9"/>
    <w:rsid w:val="008A705A"/>
    <w:rsid w:val="008A7997"/>
    <w:rsid w:val="008A7A8E"/>
    <w:rsid w:val="008A7ADD"/>
    <w:rsid w:val="008A7B66"/>
    <w:rsid w:val="008A7F94"/>
    <w:rsid w:val="008B04A2"/>
    <w:rsid w:val="008B07A8"/>
    <w:rsid w:val="008B1030"/>
    <w:rsid w:val="008B1106"/>
    <w:rsid w:val="008B127D"/>
    <w:rsid w:val="008B1A37"/>
    <w:rsid w:val="008B1E5B"/>
    <w:rsid w:val="008B1F91"/>
    <w:rsid w:val="008B207E"/>
    <w:rsid w:val="008B220E"/>
    <w:rsid w:val="008B2359"/>
    <w:rsid w:val="008B25D7"/>
    <w:rsid w:val="008B3285"/>
    <w:rsid w:val="008B36EF"/>
    <w:rsid w:val="008B3CFA"/>
    <w:rsid w:val="008B3E6A"/>
    <w:rsid w:val="008B3F7D"/>
    <w:rsid w:val="008B49A4"/>
    <w:rsid w:val="008B4DEE"/>
    <w:rsid w:val="008B5571"/>
    <w:rsid w:val="008B59F1"/>
    <w:rsid w:val="008B59F6"/>
    <w:rsid w:val="008B6399"/>
    <w:rsid w:val="008B6874"/>
    <w:rsid w:val="008B6A9F"/>
    <w:rsid w:val="008B6FE3"/>
    <w:rsid w:val="008B6FEA"/>
    <w:rsid w:val="008B75F2"/>
    <w:rsid w:val="008B7B7D"/>
    <w:rsid w:val="008C17C8"/>
    <w:rsid w:val="008C1818"/>
    <w:rsid w:val="008C1A9E"/>
    <w:rsid w:val="008C1C95"/>
    <w:rsid w:val="008C21AD"/>
    <w:rsid w:val="008C26EF"/>
    <w:rsid w:val="008C2F24"/>
    <w:rsid w:val="008C384E"/>
    <w:rsid w:val="008C385F"/>
    <w:rsid w:val="008C45AF"/>
    <w:rsid w:val="008C4D80"/>
    <w:rsid w:val="008C4DF7"/>
    <w:rsid w:val="008C51F4"/>
    <w:rsid w:val="008C5347"/>
    <w:rsid w:val="008C5E73"/>
    <w:rsid w:val="008C5F05"/>
    <w:rsid w:val="008C6744"/>
    <w:rsid w:val="008C67F5"/>
    <w:rsid w:val="008C6D80"/>
    <w:rsid w:val="008C702E"/>
    <w:rsid w:val="008C70AC"/>
    <w:rsid w:val="008D0E63"/>
    <w:rsid w:val="008D0F3F"/>
    <w:rsid w:val="008D156A"/>
    <w:rsid w:val="008D1585"/>
    <w:rsid w:val="008D17A0"/>
    <w:rsid w:val="008D17EA"/>
    <w:rsid w:val="008D1A19"/>
    <w:rsid w:val="008D1B0F"/>
    <w:rsid w:val="008D2447"/>
    <w:rsid w:val="008D24D7"/>
    <w:rsid w:val="008D2AEF"/>
    <w:rsid w:val="008D2C44"/>
    <w:rsid w:val="008D2D68"/>
    <w:rsid w:val="008D2E86"/>
    <w:rsid w:val="008D334C"/>
    <w:rsid w:val="008D375B"/>
    <w:rsid w:val="008D37BD"/>
    <w:rsid w:val="008D48C7"/>
    <w:rsid w:val="008D4B58"/>
    <w:rsid w:val="008D580B"/>
    <w:rsid w:val="008D5E13"/>
    <w:rsid w:val="008D6D55"/>
    <w:rsid w:val="008D6E3F"/>
    <w:rsid w:val="008D741B"/>
    <w:rsid w:val="008D7EFD"/>
    <w:rsid w:val="008E0267"/>
    <w:rsid w:val="008E0271"/>
    <w:rsid w:val="008E0B2F"/>
    <w:rsid w:val="008E0C08"/>
    <w:rsid w:val="008E1AAD"/>
    <w:rsid w:val="008E1CA5"/>
    <w:rsid w:val="008E21F2"/>
    <w:rsid w:val="008E28B3"/>
    <w:rsid w:val="008E307D"/>
    <w:rsid w:val="008E336A"/>
    <w:rsid w:val="008E36CE"/>
    <w:rsid w:val="008E3A2D"/>
    <w:rsid w:val="008E3AA9"/>
    <w:rsid w:val="008E42FA"/>
    <w:rsid w:val="008E48B9"/>
    <w:rsid w:val="008E5043"/>
    <w:rsid w:val="008E5A29"/>
    <w:rsid w:val="008E5B71"/>
    <w:rsid w:val="008E5EA3"/>
    <w:rsid w:val="008E6288"/>
    <w:rsid w:val="008E6AB9"/>
    <w:rsid w:val="008E7465"/>
    <w:rsid w:val="008E75A3"/>
    <w:rsid w:val="008E75EB"/>
    <w:rsid w:val="008E7707"/>
    <w:rsid w:val="008F017A"/>
    <w:rsid w:val="008F050A"/>
    <w:rsid w:val="008F059F"/>
    <w:rsid w:val="008F0964"/>
    <w:rsid w:val="008F098C"/>
    <w:rsid w:val="008F0BE5"/>
    <w:rsid w:val="008F2525"/>
    <w:rsid w:val="008F2809"/>
    <w:rsid w:val="008F2854"/>
    <w:rsid w:val="008F28A3"/>
    <w:rsid w:val="008F2F1F"/>
    <w:rsid w:val="008F30B2"/>
    <w:rsid w:val="008F3113"/>
    <w:rsid w:val="008F48DD"/>
    <w:rsid w:val="008F4DB6"/>
    <w:rsid w:val="008F4EA0"/>
    <w:rsid w:val="008F5117"/>
    <w:rsid w:val="008F54D1"/>
    <w:rsid w:val="008F57FE"/>
    <w:rsid w:val="008F5899"/>
    <w:rsid w:val="008F656D"/>
    <w:rsid w:val="008F694D"/>
    <w:rsid w:val="008F706A"/>
    <w:rsid w:val="008F7087"/>
    <w:rsid w:val="008F7B9A"/>
    <w:rsid w:val="00900A67"/>
    <w:rsid w:val="00900AD8"/>
    <w:rsid w:val="00900D06"/>
    <w:rsid w:val="00901103"/>
    <w:rsid w:val="009015EC"/>
    <w:rsid w:val="00902528"/>
    <w:rsid w:val="00902790"/>
    <w:rsid w:val="009027D8"/>
    <w:rsid w:val="00902FA5"/>
    <w:rsid w:val="0090334E"/>
    <w:rsid w:val="009033C2"/>
    <w:rsid w:val="009035B9"/>
    <w:rsid w:val="009036EE"/>
    <w:rsid w:val="00903C78"/>
    <w:rsid w:val="00904505"/>
    <w:rsid w:val="0090489F"/>
    <w:rsid w:val="00905861"/>
    <w:rsid w:val="009058B1"/>
    <w:rsid w:val="00905EAE"/>
    <w:rsid w:val="00906128"/>
    <w:rsid w:val="009061A9"/>
    <w:rsid w:val="00907839"/>
    <w:rsid w:val="00907E1B"/>
    <w:rsid w:val="00907E31"/>
    <w:rsid w:val="009101AE"/>
    <w:rsid w:val="0091059F"/>
    <w:rsid w:val="00910D54"/>
    <w:rsid w:val="00910ECD"/>
    <w:rsid w:val="00911210"/>
    <w:rsid w:val="009129B9"/>
    <w:rsid w:val="0091348A"/>
    <w:rsid w:val="0091440D"/>
    <w:rsid w:val="009145B5"/>
    <w:rsid w:val="0091492B"/>
    <w:rsid w:val="009152DE"/>
    <w:rsid w:val="0091549D"/>
    <w:rsid w:val="0091588C"/>
    <w:rsid w:val="009158E6"/>
    <w:rsid w:val="00916670"/>
    <w:rsid w:val="00916721"/>
    <w:rsid w:val="00916C18"/>
    <w:rsid w:val="00916D9E"/>
    <w:rsid w:val="00917119"/>
    <w:rsid w:val="0091799C"/>
    <w:rsid w:val="00920246"/>
    <w:rsid w:val="00920468"/>
    <w:rsid w:val="009207A1"/>
    <w:rsid w:val="00920906"/>
    <w:rsid w:val="00920AE7"/>
    <w:rsid w:val="0092186D"/>
    <w:rsid w:val="00921E78"/>
    <w:rsid w:val="00922DB1"/>
    <w:rsid w:val="009230CE"/>
    <w:rsid w:val="0092325A"/>
    <w:rsid w:val="00923328"/>
    <w:rsid w:val="009233DF"/>
    <w:rsid w:val="0092368F"/>
    <w:rsid w:val="009239CE"/>
    <w:rsid w:val="00923A99"/>
    <w:rsid w:val="00923B75"/>
    <w:rsid w:val="00924D07"/>
    <w:rsid w:val="00925CE5"/>
    <w:rsid w:val="009267A9"/>
    <w:rsid w:val="009272C1"/>
    <w:rsid w:val="0092755B"/>
    <w:rsid w:val="00927596"/>
    <w:rsid w:val="00927A3D"/>
    <w:rsid w:val="00927FDA"/>
    <w:rsid w:val="00930638"/>
    <w:rsid w:val="00931271"/>
    <w:rsid w:val="009312B0"/>
    <w:rsid w:val="009315BF"/>
    <w:rsid w:val="0093173F"/>
    <w:rsid w:val="009317C6"/>
    <w:rsid w:val="00931C48"/>
    <w:rsid w:val="00931DE5"/>
    <w:rsid w:val="009322D2"/>
    <w:rsid w:val="009326FF"/>
    <w:rsid w:val="00932D9A"/>
    <w:rsid w:val="009334FD"/>
    <w:rsid w:val="00933758"/>
    <w:rsid w:val="00933A2A"/>
    <w:rsid w:val="00934054"/>
    <w:rsid w:val="009342B2"/>
    <w:rsid w:val="00934321"/>
    <w:rsid w:val="00934468"/>
    <w:rsid w:val="00934CB1"/>
    <w:rsid w:val="00935105"/>
    <w:rsid w:val="00935857"/>
    <w:rsid w:val="00935ACB"/>
    <w:rsid w:val="00935C2E"/>
    <w:rsid w:val="00935EDD"/>
    <w:rsid w:val="00935EF9"/>
    <w:rsid w:val="00936088"/>
    <w:rsid w:val="00936748"/>
    <w:rsid w:val="00936850"/>
    <w:rsid w:val="00936B74"/>
    <w:rsid w:val="00936DAA"/>
    <w:rsid w:val="00936E2A"/>
    <w:rsid w:val="00936ED1"/>
    <w:rsid w:val="0093713C"/>
    <w:rsid w:val="00937CFA"/>
    <w:rsid w:val="00940538"/>
    <w:rsid w:val="00940E0A"/>
    <w:rsid w:val="00941718"/>
    <w:rsid w:val="00941E31"/>
    <w:rsid w:val="009425EF"/>
    <w:rsid w:val="00942626"/>
    <w:rsid w:val="00943114"/>
    <w:rsid w:val="00943586"/>
    <w:rsid w:val="009438CA"/>
    <w:rsid w:val="00943BDE"/>
    <w:rsid w:val="00943F3F"/>
    <w:rsid w:val="00943F64"/>
    <w:rsid w:val="00944911"/>
    <w:rsid w:val="009450CC"/>
    <w:rsid w:val="00945518"/>
    <w:rsid w:val="00945A6C"/>
    <w:rsid w:val="00945CD0"/>
    <w:rsid w:val="00945E7F"/>
    <w:rsid w:val="00946292"/>
    <w:rsid w:val="009463CE"/>
    <w:rsid w:val="0094663E"/>
    <w:rsid w:val="00946A2C"/>
    <w:rsid w:val="00946BF1"/>
    <w:rsid w:val="00947640"/>
    <w:rsid w:val="0094765D"/>
    <w:rsid w:val="00947BF6"/>
    <w:rsid w:val="00947D51"/>
    <w:rsid w:val="00947E2A"/>
    <w:rsid w:val="0095002F"/>
    <w:rsid w:val="00950079"/>
    <w:rsid w:val="009508F1"/>
    <w:rsid w:val="00950C0F"/>
    <w:rsid w:val="009510BC"/>
    <w:rsid w:val="00951286"/>
    <w:rsid w:val="00951B4C"/>
    <w:rsid w:val="00952215"/>
    <w:rsid w:val="00952259"/>
    <w:rsid w:val="0095272F"/>
    <w:rsid w:val="00952875"/>
    <w:rsid w:val="009528DF"/>
    <w:rsid w:val="00952CB6"/>
    <w:rsid w:val="009531FC"/>
    <w:rsid w:val="009547E3"/>
    <w:rsid w:val="00954926"/>
    <w:rsid w:val="00954992"/>
    <w:rsid w:val="00954A26"/>
    <w:rsid w:val="00954DD1"/>
    <w:rsid w:val="00955144"/>
    <w:rsid w:val="009556CC"/>
    <w:rsid w:val="0095588C"/>
    <w:rsid w:val="0095592F"/>
    <w:rsid w:val="00955D83"/>
    <w:rsid w:val="00955FBE"/>
    <w:rsid w:val="0095603A"/>
    <w:rsid w:val="00956429"/>
    <w:rsid w:val="0095651A"/>
    <w:rsid w:val="00956F87"/>
    <w:rsid w:val="009577AD"/>
    <w:rsid w:val="00957A56"/>
    <w:rsid w:val="00957F3A"/>
    <w:rsid w:val="00960205"/>
    <w:rsid w:val="00960C1C"/>
    <w:rsid w:val="00960E2F"/>
    <w:rsid w:val="00960EC7"/>
    <w:rsid w:val="009618B5"/>
    <w:rsid w:val="00961CFD"/>
    <w:rsid w:val="00961F13"/>
    <w:rsid w:val="00962B14"/>
    <w:rsid w:val="00963438"/>
    <w:rsid w:val="009634B3"/>
    <w:rsid w:val="00963673"/>
    <w:rsid w:val="00963911"/>
    <w:rsid w:val="00963935"/>
    <w:rsid w:val="00963CD6"/>
    <w:rsid w:val="00964205"/>
    <w:rsid w:val="00964373"/>
    <w:rsid w:val="0096439E"/>
    <w:rsid w:val="00965712"/>
    <w:rsid w:val="00966223"/>
    <w:rsid w:val="0096627C"/>
    <w:rsid w:val="00966301"/>
    <w:rsid w:val="00966821"/>
    <w:rsid w:val="00966D81"/>
    <w:rsid w:val="00967746"/>
    <w:rsid w:val="00967759"/>
    <w:rsid w:val="009678FE"/>
    <w:rsid w:val="00967DEE"/>
    <w:rsid w:val="00967E23"/>
    <w:rsid w:val="00970175"/>
    <w:rsid w:val="00970206"/>
    <w:rsid w:val="00970453"/>
    <w:rsid w:val="009707DA"/>
    <w:rsid w:val="00970D76"/>
    <w:rsid w:val="00970E30"/>
    <w:rsid w:val="00971004"/>
    <w:rsid w:val="00972293"/>
    <w:rsid w:val="00972576"/>
    <w:rsid w:val="0097282A"/>
    <w:rsid w:val="00972B63"/>
    <w:rsid w:val="00973924"/>
    <w:rsid w:val="00973B35"/>
    <w:rsid w:val="00973B56"/>
    <w:rsid w:val="00973D4B"/>
    <w:rsid w:val="00975033"/>
    <w:rsid w:val="0097565C"/>
    <w:rsid w:val="009756CC"/>
    <w:rsid w:val="00975836"/>
    <w:rsid w:val="009759A4"/>
    <w:rsid w:val="0097627F"/>
    <w:rsid w:val="009762D3"/>
    <w:rsid w:val="0097651D"/>
    <w:rsid w:val="0097727B"/>
    <w:rsid w:val="009772E8"/>
    <w:rsid w:val="009775A8"/>
    <w:rsid w:val="00980890"/>
    <w:rsid w:val="00981151"/>
    <w:rsid w:val="009816B6"/>
    <w:rsid w:val="00981CD4"/>
    <w:rsid w:val="00981FD6"/>
    <w:rsid w:val="0098284D"/>
    <w:rsid w:val="00982D09"/>
    <w:rsid w:val="00982E4F"/>
    <w:rsid w:val="009835F6"/>
    <w:rsid w:val="00983F38"/>
    <w:rsid w:val="0098402E"/>
    <w:rsid w:val="0098438C"/>
    <w:rsid w:val="00984573"/>
    <w:rsid w:val="00984585"/>
    <w:rsid w:val="00984C16"/>
    <w:rsid w:val="00984FA9"/>
    <w:rsid w:val="0098521F"/>
    <w:rsid w:val="00985F68"/>
    <w:rsid w:val="00985F7F"/>
    <w:rsid w:val="009863C3"/>
    <w:rsid w:val="00986CF3"/>
    <w:rsid w:val="009870C2"/>
    <w:rsid w:val="00987D0A"/>
    <w:rsid w:val="00987DF0"/>
    <w:rsid w:val="00990689"/>
    <w:rsid w:val="009909FF"/>
    <w:rsid w:val="00990D60"/>
    <w:rsid w:val="00990E50"/>
    <w:rsid w:val="00990E95"/>
    <w:rsid w:val="00990EA7"/>
    <w:rsid w:val="00991DFA"/>
    <w:rsid w:val="00991F24"/>
    <w:rsid w:val="0099215E"/>
    <w:rsid w:val="00992F55"/>
    <w:rsid w:val="009948C0"/>
    <w:rsid w:val="00994BB5"/>
    <w:rsid w:val="00994F2B"/>
    <w:rsid w:val="00995413"/>
    <w:rsid w:val="009954D0"/>
    <w:rsid w:val="00995777"/>
    <w:rsid w:val="00995A61"/>
    <w:rsid w:val="00995C73"/>
    <w:rsid w:val="00995E89"/>
    <w:rsid w:val="009960D4"/>
    <w:rsid w:val="0099674A"/>
    <w:rsid w:val="00996E54"/>
    <w:rsid w:val="00997624"/>
    <w:rsid w:val="00997911"/>
    <w:rsid w:val="009A0E18"/>
    <w:rsid w:val="009A0F0D"/>
    <w:rsid w:val="009A1079"/>
    <w:rsid w:val="009A128F"/>
    <w:rsid w:val="009A1B65"/>
    <w:rsid w:val="009A1C6C"/>
    <w:rsid w:val="009A1D34"/>
    <w:rsid w:val="009A2180"/>
    <w:rsid w:val="009A2C1C"/>
    <w:rsid w:val="009A2F0B"/>
    <w:rsid w:val="009A3954"/>
    <w:rsid w:val="009A4056"/>
    <w:rsid w:val="009A4935"/>
    <w:rsid w:val="009A4DB9"/>
    <w:rsid w:val="009A4F16"/>
    <w:rsid w:val="009A54DB"/>
    <w:rsid w:val="009A55C6"/>
    <w:rsid w:val="009A56E2"/>
    <w:rsid w:val="009A597B"/>
    <w:rsid w:val="009A59A1"/>
    <w:rsid w:val="009A5B2C"/>
    <w:rsid w:val="009A6446"/>
    <w:rsid w:val="009A6B1D"/>
    <w:rsid w:val="009A6F86"/>
    <w:rsid w:val="009A7766"/>
    <w:rsid w:val="009A79EC"/>
    <w:rsid w:val="009A7C2B"/>
    <w:rsid w:val="009A7DFE"/>
    <w:rsid w:val="009B0353"/>
    <w:rsid w:val="009B0793"/>
    <w:rsid w:val="009B0965"/>
    <w:rsid w:val="009B0B6B"/>
    <w:rsid w:val="009B1694"/>
    <w:rsid w:val="009B1C25"/>
    <w:rsid w:val="009B20B4"/>
    <w:rsid w:val="009B24A0"/>
    <w:rsid w:val="009B24C4"/>
    <w:rsid w:val="009B28FF"/>
    <w:rsid w:val="009B2C48"/>
    <w:rsid w:val="009B3371"/>
    <w:rsid w:val="009B3439"/>
    <w:rsid w:val="009B3666"/>
    <w:rsid w:val="009B3A96"/>
    <w:rsid w:val="009B3C53"/>
    <w:rsid w:val="009B3D43"/>
    <w:rsid w:val="009B3D79"/>
    <w:rsid w:val="009B3DCA"/>
    <w:rsid w:val="009B3ECA"/>
    <w:rsid w:val="009B4469"/>
    <w:rsid w:val="009B4A8E"/>
    <w:rsid w:val="009B4D11"/>
    <w:rsid w:val="009B50C0"/>
    <w:rsid w:val="009B583F"/>
    <w:rsid w:val="009B6048"/>
    <w:rsid w:val="009B610E"/>
    <w:rsid w:val="009B668D"/>
    <w:rsid w:val="009B6807"/>
    <w:rsid w:val="009B693C"/>
    <w:rsid w:val="009B722D"/>
    <w:rsid w:val="009B7372"/>
    <w:rsid w:val="009B7440"/>
    <w:rsid w:val="009B7E1B"/>
    <w:rsid w:val="009C07E7"/>
    <w:rsid w:val="009C11F0"/>
    <w:rsid w:val="009C1539"/>
    <w:rsid w:val="009C1E2C"/>
    <w:rsid w:val="009C21E8"/>
    <w:rsid w:val="009C243D"/>
    <w:rsid w:val="009C287E"/>
    <w:rsid w:val="009C29D8"/>
    <w:rsid w:val="009C339E"/>
    <w:rsid w:val="009C3565"/>
    <w:rsid w:val="009C3B83"/>
    <w:rsid w:val="009C3E21"/>
    <w:rsid w:val="009C4206"/>
    <w:rsid w:val="009C4429"/>
    <w:rsid w:val="009C46A8"/>
    <w:rsid w:val="009C50F7"/>
    <w:rsid w:val="009C5262"/>
    <w:rsid w:val="009C5AA1"/>
    <w:rsid w:val="009C5C4F"/>
    <w:rsid w:val="009C5D3B"/>
    <w:rsid w:val="009C6067"/>
    <w:rsid w:val="009C7966"/>
    <w:rsid w:val="009D064A"/>
    <w:rsid w:val="009D0A49"/>
    <w:rsid w:val="009D0D13"/>
    <w:rsid w:val="009D1073"/>
    <w:rsid w:val="009D17E2"/>
    <w:rsid w:val="009D1B41"/>
    <w:rsid w:val="009D1C9E"/>
    <w:rsid w:val="009D23B2"/>
    <w:rsid w:val="009D25D0"/>
    <w:rsid w:val="009D2DB0"/>
    <w:rsid w:val="009D2EC9"/>
    <w:rsid w:val="009D3333"/>
    <w:rsid w:val="009D34FB"/>
    <w:rsid w:val="009D4339"/>
    <w:rsid w:val="009D639D"/>
    <w:rsid w:val="009D6899"/>
    <w:rsid w:val="009D68C2"/>
    <w:rsid w:val="009D6904"/>
    <w:rsid w:val="009D6A88"/>
    <w:rsid w:val="009D6C41"/>
    <w:rsid w:val="009D7315"/>
    <w:rsid w:val="009D7364"/>
    <w:rsid w:val="009D761C"/>
    <w:rsid w:val="009D78AB"/>
    <w:rsid w:val="009D7AF1"/>
    <w:rsid w:val="009E0D3A"/>
    <w:rsid w:val="009E1145"/>
    <w:rsid w:val="009E15D6"/>
    <w:rsid w:val="009E2713"/>
    <w:rsid w:val="009E2846"/>
    <w:rsid w:val="009E2911"/>
    <w:rsid w:val="009E2923"/>
    <w:rsid w:val="009E2A93"/>
    <w:rsid w:val="009E2C7E"/>
    <w:rsid w:val="009E2F0A"/>
    <w:rsid w:val="009E3421"/>
    <w:rsid w:val="009E3455"/>
    <w:rsid w:val="009E3526"/>
    <w:rsid w:val="009E35CD"/>
    <w:rsid w:val="009E3690"/>
    <w:rsid w:val="009E38BC"/>
    <w:rsid w:val="009E44BF"/>
    <w:rsid w:val="009E458C"/>
    <w:rsid w:val="009E4A2A"/>
    <w:rsid w:val="009E4C60"/>
    <w:rsid w:val="009E4ED2"/>
    <w:rsid w:val="009E5524"/>
    <w:rsid w:val="009E5B04"/>
    <w:rsid w:val="009E5E43"/>
    <w:rsid w:val="009E62D7"/>
    <w:rsid w:val="009E658F"/>
    <w:rsid w:val="009E6774"/>
    <w:rsid w:val="009E6964"/>
    <w:rsid w:val="009E6B6E"/>
    <w:rsid w:val="009E6C1F"/>
    <w:rsid w:val="009E6DBE"/>
    <w:rsid w:val="009E7216"/>
    <w:rsid w:val="009E7EAA"/>
    <w:rsid w:val="009F02E3"/>
    <w:rsid w:val="009F0916"/>
    <w:rsid w:val="009F0975"/>
    <w:rsid w:val="009F0CF4"/>
    <w:rsid w:val="009F122F"/>
    <w:rsid w:val="009F2B69"/>
    <w:rsid w:val="009F36DC"/>
    <w:rsid w:val="009F3E1C"/>
    <w:rsid w:val="009F418A"/>
    <w:rsid w:val="009F48AE"/>
    <w:rsid w:val="009F4B48"/>
    <w:rsid w:val="009F4FBC"/>
    <w:rsid w:val="009F50A7"/>
    <w:rsid w:val="009F556A"/>
    <w:rsid w:val="009F5E99"/>
    <w:rsid w:val="009F5F73"/>
    <w:rsid w:val="009F6154"/>
    <w:rsid w:val="009F6B17"/>
    <w:rsid w:val="009F6DFC"/>
    <w:rsid w:val="009F7A2E"/>
    <w:rsid w:val="00A000AA"/>
    <w:rsid w:val="00A0033D"/>
    <w:rsid w:val="00A003D0"/>
    <w:rsid w:val="00A00938"/>
    <w:rsid w:val="00A01EF4"/>
    <w:rsid w:val="00A02A8C"/>
    <w:rsid w:val="00A031AB"/>
    <w:rsid w:val="00A0364A"/>
    <w:rsid w:val="00A03A70"/>
    <w:rsid w:val="00A03B60"/>
    <w:rsid w:val="00A03E62"/>
    <w:rsid w:val="00A03EA0"/>
    <w:rsid w:val="00A03F96"/>
    <w:rsid w:val="00A04480"/>
    <w:rsid w:val="00A04488"/>
    <w:rsid w:val="00A0473F"/>
    <w:rsid w:val="00A052A4"/>
    <w:rsid w:val="00A05550"/>
    <w:rsid w:val="00A062AC"/>
    <w:rsid w:val="00A06D57"/>
    <w:rsid w:val="00A073FE"/>
    <w:rsid w:val="00A07B26"/>
    <w:rsid w:val="00A07BAE"/>
    <w:rsid w:val="00A07C5A"/>
    <w:rsid w:val="00A10299"/>
    <w:rsid w:val="00A104DF"/>
    <w:rsid w:val="00A10524"/>
    <w:rsid w:val="00A10CFB"/>
    <w:rsid w:val="00A11003"/>
    <w:rsid w:val="00A11C75"/>
    <w:rsid w:val="00A11E42"/>
    <w:rsid w:val="00A120CC"/>
    <w:rsid w:val="00A12543"/>
    <w:rsid w:val="00A12B37"/>
    <w:rsid w:val="00A12C1F"/>
    <w:rsid w:val="00A13539"/>
    <w:rsid w:val="00A1374D"/>
    <w:rsid w:val="00A140E8"/>
    <w:rsid w:val="00A14195"/>
    <w:rsid w:val="00A1435F"/>
    <w:rsid w:val="00A1461C"/>
    <w:rsid w:val="00A14B2B"/>
    <w:rsid w:val="00A15074"/>
    <w:rsid w:val="00A1544E"/>
    <w:rsid w:val="00A158DF"/>
    <w:rsid w:val="00A15B75"/>
    <w:rsid w:val="00A15EA5"/>
    <w:rsid w:val="00A15FCB"/>
    <w:rsid w:val="00A16234"/>
    <w:rsid w:val="00A16424"/>
    <w:rsid w:val="00A1667F"/>
    <w:rsid w:val="00A16764"/>
    <w:rsid w:val="00A16806"/>
    <w:rsid w:val="00A16870"/>
    <w:rsid w:val="00A16909"/>
    <w:rsid w:val="00A16BBF"/>
    <w:rsid w:val="00A17739"/>
    <w:rsid w:val="00A17F1A"/>
    <w:rsid w:val="00A2054A"/>
    <w:rsid w:val="00A2089A"/>
    <w:rsid w:val="00A208F9"/>
    <w:rsid w:val="00A20B47"/>
    <w:rsid w:val="00A211EB"/>
    <w:rsid w:val="00A212FA"/>
    <w:rsid w:val="00A21BFA"/>
    <w:rsid w:val="00A22144"/>
    <w:rsid w:val="00A22D40"/>
    <w:rsid w:val="00A236AB"/>
    <w:rsid w:val="00A23C7E"/>
    <w:rsid w:val="00A23CFE"/>
    <w:rsid w:val="00A23D83"/>
    <w:rsid w:val="00A2422E"/>
    <w:rsid w:val="00A245E2"/>
    <w:rsid w:val="00A24F68"/>
    <w:rsid w:val="00A25AE4"/>
    <w:rsid w:val="00A25F0C"/>
    <w:rsid w:val="00A26229"/>
    <w:rsid w:val="00A26A19"/>
    <w:rsid w:val="00A26AC4"/>
    <w:rsid w:val="00A26B38"/>
    <w:rsid w:val="00A27245"/>
    <w:rsid w:val="00A27753"/>
    <w:rsid w:val="00A27913"/>
    <w:rsid w:val="00A27B0D"/>
    <w:rsid w:val="00A27C06"/>
    <w:rsid w:val="00A27D94"/>
    <w:rsid w:val="00A302A6"/>
    <w:rsid w:val="00A307D8"/>
    <w:rsid w:val="00A30C6F"/>
    <w:rsid w:val="00A30F8D"/>
    <w:rsid w:val="00A31C12"/>
    <w:rsid w:val="00A32115"/>
    <w:rsid w:val="00A32D8D"/>
    <w:rsid w:val="00A3342C"/>
    <w:rsid w:val="00A338C6"/>
    <w:rsid w:val="00A33AD7"/>
    <w:rsid w:val="00A343D4"/>
    <w:rsid w:val="00A34C51"/>
    <w:rsid w:val="00A3504F"/>
    <w:rsid w:val="00A35524"/>
    <w:rsid w:val="00A35685"/>
    <w:rsid w:val="00A356A1"/>
    <w:rsid w:val="00A35842"/>
    <w:rsid w:val="00A3587E"/>
    <w:rsid w:val="00A362BE"/>
    <w:rsid w:val="00A363D9"/>
    <w:rsid w:val="00A3684C"/>
    <w:rsid w:val="00A36BCC"/>
    <w:rsid w:val="00A36BD9"/>
    <w:rsid w:val="00A36E4A"/>
    <w:rsid w:val="00A36F75"/>
    <w:rsid w:val="00A3739C"/>
    <w:rsid w:val="00A40054"/>
    <w:rsid w:val="00A40803"/>
    <w:rsid w:val="00A40A74"/>
    <w:rsid w:val="00A40CA9"/>
    <w:rsid w:val="00A410D5"/>
    <w:rsid w:val="00A427BC"/>
    <w:rsid w:val="00A42EEC"/>
    <w:rsid w:val="00A4321E"/>
    <w:rsid w:val="00A43704"/>
    <w:rsid w:val="00A43774"/>
    <w:rsid w:val="00A43829"/>
    <w:rsid w:val="00A43F1D"/>
    <w:rsid w:val="00A43FC2"/>
    <w:rsid w:val="00A441B6"/>
    <w:rsid w:val="00A44478"/>
    <w:rsid w:val="00A4467A"/>
    <w:rsid w:val="00A44791"/>
    <w:rsid w:val="00A44FC6"/>
    <w:rsid w:val="00A45210"/>
    <w:rsid w:val="00A45C56"/>
    <w:rsid w:val="00A46101"/>
    <w:rsid w:val="00A4612A"/>
    <w:rsid w:val="00A465AE"/>
    <w:rsid w:val="00A466AA"/>
    <w:rsid w:val="00A467A7"/>
    <w:rsid w:val="00A46928"/>
    <w:rsid w:val="00A472BC"/>
    <w:rsid w:val="00A503F3"/>
    <w:rsid w:val="00A50BCF"/>
    <w:rsid w:val="00A50C99"/>
    <w:rsid w:val="00A50F66"/>
    <w:rsid w:val="00A5186B"/>
    <w:rsid w:val="00A51A2D"/>
    <w:rsid w:val="00A51C65"/>
    <w:rsid w:val="00A52901"/>
    <w:rsid w:val="00A539A8"/>
    <w:rsid w:val="00A5446E"/>
    <w:rsid w:val="00A54900"/>
    <w:rsid w:val="00A54A99"/>
    <w:rsid w:val="00A54D61"/>
    <w:rsid w:val="00A54F6D"/>
    <w:rsid w:val="00A54FB2"/>
    <w:rsid w:val="00A55CC6"/>
    <w:rsid w:val="00A56766"/>
    <w:rsid w:val="00A56C0C"/>
    <w:rsid w:val="00A56DF0"/>
    <w:rsid w:val="00A5713E"/>
    <w:rsid w:val="00A5757B"/>
    <w:rsid w:val="00A5797A"/>
    <w:rsid w:val="00A600FC"/>
    <w:rsid w:val="00A602AA"/>
    <w:rsid w:val="00A60D47"/>
    <w:rsid w:val="00A61082"/>
    <w:rsid w:val="00A61620"/>
    <w:rsid w:val="00A61A12"/>
    <w:rsid w:val="00A61A59"/>
    <w:rsid w:val="00A61D6C"/>
    <w:rsid w:val="00A6211C"/>
    <w:rsid w:val="00A622C8"/>
    <w:rsid w:val="00A6259E"/>
    <w:rsid w:val="00A628F3"/>
    <w:rsid w:val="00A62C44"/>
    <w:rsid w:val="00A63136"/>
    <w:rsid w:val="00A63DB0"/>
    <w:rsid w:val="00A63DC3"/>
    <w:rsid w:val="00A64155"/>
    <w:rsid w:val="00A646F1"/>
    <w:rsid w:val="00A65AE8"/>
    <w:rsid w:val="00A65E15"/>
    <w:rsid w:val="00A65F3C"/>
    <w:rsid w:val="00A65F47"/>
    <w:rsid w:val="00A6601E"/>
    <w:rsid w:val="00A671D5"/>
    <w:rsid w:val="00A672AE"/>
    <w:rsid w:val="00A676CE"/>
    <w:rsid w:val="00A678DA"/>
    <w:rsid w:val="00A67A25"/>
    <w:rsid w:val="00A67A4C"/>
    <w:rsid w:val="00A67D6C"/>
    <w:rsid w:val="00A7070E"/>
    <w:rsid w:val="00A70B12"/>
    <w:rsid w:val="00A71051"/>
    <w:rsid w:val="00A71525"/>
    <w:rsid w:val="00A71A62"/>
    <w:rsid w:val="00A71FC5"/>
    <w:rsid w:val="00A72362"/>
    <w:rsid w:val="00A72628"/>
    <w:rsid w:val="00A72EB5"/>
    <w:rsid w:val="00A73725"/>
    <w:rsid w:val="00A73CC8"/>
    <w:rsid w:val="00A745D0"/>
    <w:rsid w:val="00A74611"/>
    <w:rsid w:val="00A74934"/>
    <w:rsid w:val="00A74B7D"/>
    <w:rsid w:val="00A74C77"/>
    <w:rsid w:val="00A74E12"/>
    <w:rsid w:val="00A7502D"/>
    <w:rsid w:val="00A7503B"/>
    <w:rsid w:val="00A75100"/>
    <w:rsid w:val="00A754AA"/>
    <w:rsid w:val="00A756C2"/>
    <w:rsid w:val="00A76670"/>
    <w:rsid w:val="00A76774"/>
    <w:rsid w:val="00A76A04"/>
    <w:rsid w:val="00A76D04"/>
    <w:rsid w:val="00A77ADF"/>
    <w:rsid w:val="00A801E4"/>
    <w:rsid w:val="00A80341"/>
    <w:rsid w:val="00A8070F"/>
    <w:rsid w:val="00A812D2"/>
    <w:rsid w:val="00A81AF5"/>
    <w:rsid w:val="00A81D16"/>
    <w:rsid w:val="00A8204A"/>
    <w:rsid w:val="00A82B66"/>
    <w:rsid w:val="00A83ABB"/>
    <w:rsid w:val="00A83F0E"/>
    <w:rsid w:val="00A841DA"/>
    <w:rsid w:val="00A84548"/>
    <w:rsid w:val="00A84624"/>
    <w:rsid w:val="00A847B1"/>
    <w:rsid w:val="00A8487E"/>
    <w:rsid w:val="00A84CE6"/>
    <w:rsid w:val="00A84FE3"/>
    <w:rsid w:val="00A852E5"/>
    <w:rsid w:val="00A85691"/>
    <w:rsid w:val="00A86183"/>
    <w:rsid w:val="00A86266"/>
    <w:rsid w:val="00A8666D"/>
    <w:rsid w:val="00A86811"/>
    <w:rsid w:val="00A8685D"/>
    <w:rsid w:val="00A86A37"/>
    <w:rsid w:val="00A86AFE"/>
    <w:rsid w:val="00A876B0"/>
    <w:rsid w:val="00A87757"/>
    <w:rsid w:val="00A877F4"/>
    <w:rsid w:val="00A87DD7"/>
    <w:rsid w:val="00A9074F"/>
    <w:rsid w:val="00A90A47"/>
    <w:rsid w:val="00A911C1"/>
    <w:rsid w:val="00A911F5"/>
    <w:rsid w:val="00A9137E"/>
    <w:rsid w:val="00A917B9"/>
    <w:rsid w:val="00A919AD"/>
    <w:rsid w:val="00A9210E"/>
    <w:rsid w:val="00A9226D"/>
    <w:rsid w:val="00A929B4"/>
    <w:rsid w:val="00A92B90"/>
    <w:rsid w:val="00A92E19"/>
    <w:rsid w:val="00A936B1"/>
    <w:rsid w:val="00A93CAF"/>
    <w:rsid w:val="00A93D3C"/>
    <w:rsid w:val="00A93E82"/>
    <w:rsid w:val="00A94184"/>
    <w:rsid w:val="00A95738"/>
    <w:rsid w:val="00A95B91"/>
    <w:rsid w:val="00A95D21"/>
    <w:rsid w:val="00A968C8"/>
    <w:rsid w:val="00A973E8"/>
    <w:rsid w:val="00A97633"/>
    <w:rsid w:val="00A97D97"/>
    <w:rsid w:val="00AA0556"/>
    <w:rsid w:val="00AA0A2B"/>
    <w:rsid w:val="00AA0A6B"/>
    <w:rsid w:val="00AA0C4D"/>
    <w:rsid w:val="00AA0F7A"/>
    <w:rsid w:val="00AA1130"/>
    <w:rsid w:val="00AA12A8"/>
    <w:rsid w:val="00AA1729"/>
    <w:rsid w:val="00AA1AB3"/>
    <w:rsid w:val="00AA21DF"/>
    <w:rsid w:val="00AA3255"/>
    <w:rsid w:val="00AA398A"/>
    <w:rsid w:val="00AA4580"/>
    <w:rsid w:val="00AA4DE4"/>
    <w:rsid w:val="00AA4F89"/>
    <w:rsid w:val="00AA5609"/>
    <w:rsid w:val="00AA6657"/>
    <w:rsid w:val="00AA73BA"/>
    <w:rsid w:val="00AA7421"/>
    <w:rsid w:val="00AB03F9"/>
    <w:rsid w:val="00AB04C7"/>
    <w:rsid w:val="00AB05F8"/>
    <w:rsid w:val="00AB0643"/>
    <w:rsid w:val="00AB06E4"/>
    <w:rsid w:val="00AB07D8"/>
    <w:rsid w:val="00AB0DA1"/>
    <w:rsid w:val="00AB158A"/>
    <w:rsid w:val="00AB1717"/>
    <w:rsid w:val="00AB1F0C"/>
    <w:rsid w:val="00AB1F99"/>
    <w:rsid w:val="00AB2326"/>
    <w:rsid w:val="00AB24B2"/>
    <w:rsid w:val="00AB26C9"/>
    <w:rsid w:val="00AB2946"/>
    <w:rsid w:val="00AB2B24"/>
    <w:rsid w:val="00AB30C3"/>
    <w:rsid w:val="00AB3259"/>
    <w:rsid w:val="00AB32BD"/>
    <w:rsid w:val="00AB332A"/>
    <w:rsid w:val="00AB38AE"/>
    <w:rsid w:val="00AB3A42"/>
    <w:rsid w:val="00AB3BC9"/>
    <w:rsid w:val="00AB440E"/>
    <w:rsid w:val="00AB455E"/>
    <w:rsid w:val="00AB4848"/>
    <w:rsid w:val="00AB4B6F"/>
    <w:rsid w:val="00AB4EC2"/>
    <w:rsid w:val="00AB50BA"/>
    <w:rsid w:val="00AB5113"/>
    <w:rsid w:val="00AB54CE"/>
    <w:rsid w:val="00AB556E"/>
    <w:rsid w:val="00AB586B"/>
    <w:rsid w:val="00AB5D77"/>
    <w:rsid w:val="00AB6980"/>
    <w:rsid w:val="00AB6E2E"/>
    <w:rsid w:val="00AB77EE"/>
    <w:rsid w:val="00AB77F3"/>
    <w:rsid w:val="00AB7827"/>
    <w:rsid w:val="00AB7AC1"/>
    <w:rsid w:val="00AB7F65"/>
    <w:rsid w:val="00AC0109"/>
    <w:rsid w:val="00AC0DF3"/>
    <w:rsid w:val="00AC1C11"/>
    <w:rsid w:val="00AC2A2A"/>
    <w:rsid w:val="00AC2BAE"/>
    <w:rsid w:val="00AC2E20"/>
    <w:rsid w:val="00AC2F9A"/>
    <w:rsid w:val="00AC2FC3"/>
    <w:rsid w:val="00AC3022"/>
    <w:rsid w:val="00AC3777"/>
    <w:rsid w:val="00AC37AC"/>
    <w:rsid w:val="00AC3F2D"/>
    <w:rsid w:val="00AC4504"/>
    <w:rsid w:val="00AC4C8B"/>
    <w:rsid w:val="00AC59D8"/>
    <w:rsid w:val="00AC5B39"/>
    <w:rsid w:val="00AC5E94"/>
    <w:rsid w:val="00AC648E"/>
    <w:rsid w:val="00AC6577"/>
    <w:rsid w:val="00AC66F2"/>
    <w:rsid w:val="00AC6F18"/>
    <w:rsid w:val="00AC7729"/>
    <w:rsid w:val="00AC77B4"/>
    <w:rsid w:val="00AD0A2C"/>
    <w:rsid w:val="00AD0E9C"/>
    <w:rsid w:val="00AD13DA"/>
    <w:rsid w:val="00AD164C"/>
    <w:rsid w:val="00AD1A52"/>
    <w:rsid w:val="00AD25EC"/>
    <w:rsid w:val="00AD29CB"/>
    <w:rsid w:val="00AD2C75"/>
    <w:rsid w:val="00AD2E14"/>
    <w:rsid w:val="00AD3125"/>
    <w:rsid w:val="00AD4022"/>
    <w:rsid w:val="00AD4912"/>
    <w:rsid w:val="00AD49C0"/>
    <w:rsid w:val="00AD4AA3"/>
    <w:rsid w:val="00AD5175"/>
    <w:rsid w:val="00AD5564"/>
    <w:rsid w:val="00AD5752"/>
    <w:rsid w:val="00AD5981"/>
    <w:rsid w:val="00AD60FE"/>
    <w:rsid w:val="00AD6709"/>
    <w:rsid w:val="00AD68F4"/>
    <w:rsid w:val="00AD6944"/>
    <w:rsid w:val="00AD6969"/>
    <w:rsid w:val="00AD6DAE"/>
    <w:rsid w:val="00AD6ED3"/>
    <w:rsid w:val="00AE0077"/>
    <w:rsid w:val="00AE03FA"/>
    <w:rsid w:val="00AE0BFA"/>
    <w:rsid w:val="00AE0C8F"/>
    <w:rsid w:val="00AE0CB5"/>
    <w:rsid w:val="00AE200F"/>
    <w:rsid w:val="00AE2287"/>
    <w:rsid w:val="00AE26F2"/>
    <w:rsid w:val="00AE2B49"/>
    <w:rsid w:val="00AE2C4D"/>
    <w:rsid w:val="00AE4122"/>
    <w:rsid w:val="00AE4349"/>
    <w:rsid w:val="00AE57AF"/>
    <w:rsid w:val="00AE58EA"/>
    <w:rsid w:val="00AE5A76"/>
    <w:rsid w:val="00AE5CCD"/>
    <w:rsid w:val="00AE5D7E"/>
    <w:rsid w:val="00AE5FB8"/>
    <w:rsid w:val="00AE674F"/>
    <w:rsid w:val="00AE730F"/>
    <w:rsid w:val="00AE767E"/>
    <w:rsid w:val="00AF01F7"/>
    <w:rsid w:val="00AF05CE"/>
    <w:rsid w:val="00AF06F7"/>
    <w:rsid w:val="00AF084F"/>
    <w:rsid w:val="00AF1175"/>
    <w:rsid w:val="00AF18C2"/>
    <w:rsid w:val="00AF18EF"/>
    <w:rsid w:val="00AF1BA2"/>
    <w:rsid w:val="00AF1F64"/>
    <w:rsid w:val="00AF21F0"/>
    <w:rsid w:val="00AF22DD"/>
    <w:rsid w:val="00AF3146"/>
    <w:rsid w:val="00AF3BB8"/>
    <w:rsid w:val="00AF3DB0"/>
    <w:rsid w:val="00AF3E21"/>
    <w:rsid w:val="00AF4472"/>
    <w:rsid w:val="00AF521B"/>
    <w:rsid w:val="00AF5254"/>
    <w:rsid w:val="00AF5462"/>
    <w:rsid w:val="00AF576C"/>
    <w:rsid w:val="00AF580F"/>
    <w:rsid w:val="00AF5E12"/>
    <w:rsid w:val="00AF63AC"/>
    <w:rsid w:val="00AF6887"/>
    <w:rsid w:val="00AF6C56"/>
    <w:rsid w:val="00AF7497"/>
    <w:rsid w:val="00AF7534"/>
    <w:rsid w:val="00AF79C4"/>
    <w:rsid w:val="00B0026B"/>
    <w:rsid w:val="00B005CD"/>
    <w:rsid w:val="00B00CD4"/>
    <w:rsid w:val="00B014F5"/>
    <w:rsid w:val="00B01B81"/>
    <w:rsid w:val="00B01CDE"/>
    <w:rsid w:val="00B01CE5"/>
    <w:rsid w:val="00B01ED6"/>
    <w:rsid w:val="00B02687"/>
    <w:rsid w:val="00B027ED"/>
    <w:rsid w:val="00B02BC7"/>
    <w:rsid w:val="00B03388"/>
    <w:rsid w:val="00B035F3"/>
    <w:rsid w:val="00B036CA"/>
    <w:rsid w:val="00B03B9F"/>
    <w:rsid w:val="00B03BA0"/>
    <w:rsid w:val="00B03F9C"/>
    <w:rsid w:val="00B04857"/>
    <w:rsid w:val="00B049F9"/>
    <w:rsid w:val="00B05161"/>
    <w:rsid w:val="00B051B0"/>
    <w:rsid w:val="00B05352"/>
    <w:rsid w:val="00B05601"/>
    <w:rsid w:val="00B0577D"/>
    <w:rsid w:val="00B061AD"/>
    <w:rsid w:val="00B061F0"/>
    <w:rsid w:val="00B068A0"/>
    <w:rsid w:val="00B06B5D"/>
    <w:rsid w:val="00B06F93"/>
    <w:rsid w:val="00B07094"/>
    <w:rsid w:val="00B07906"/>
    <w:rsid w:val="00B07FBC"/>
    <w:rsid w:val="00B104AB"/>
    <w:rsid w:val="00B10805"/>
    <w:rsid w:val="00B10D2C"/>
    <w:rsid w:val="00B1107A"/>
    <w:rsid w:val="00B12094"/>
    <w:rsid w:val="00B12341"/>
    <w:rsid w:val="00B12AFC"/>
    <w:rsid w:val="00B12E1C"/>
    <w:rsid w:val="00B12F21"/>
    <w:rsid w:val="00B13430"/>
    <w:rsid w:val="00B13952"/>
    <w:rsid w:val="00B14567"/>
    <w:rsid w:val="00B1456B"/>
    <w:rsid w:val="00B146CB"/>
    <w:rsid w:val="00B1485C"/>
    <w:rsid w:val="00B14A44"/>
    <w:rsid w:val="00B14C15"/>
    <w:rsid w:val="00B15447"/>
    <w:rsid w:val="00B15B5D"/>
    <w:rsid w:val="00B15C5D"/>
    <w:rsid w:val="00B15FE9"/>
    <w:rsid w:val="00B16666"/>
    <w:rsid w:val="00B16800"/>
    <w:rsid w:val="00B16AD8"/>
    <w:rsid w:val="00B1727C"/>
    <w:rsid w:val="00B17AF9"/>
    <w:rsid w:val="00B17C59"/>
    <w:rsid w:val="00B17E14"/>
    <w:rsid w:val="00B20470"/>
    <w:rsid w:val="00B204A9"/>
    <w:rsid w:val="00B20524"/>
    <w:rsid w:val="00B20A54"/>
    <w:rsid w:val="00B20D3C"/>
    <w:rsid w:val="00B20EAB"/>
    <w:rsid w:val="00B20FA9"/>
    <w:rsid w:val="00B2181F"/>
    <w:rsid w:val="00B2187C"/>
    <w:rsid w:val="00B21B0A"/>
    <w:rsid w:val="00B21E17"/>
    <w:rsid w:val="00B223F0"/>
    <w:rsid w:val="00B227C2"/>
    <w:rsid w:val="00B229C7"/>
    <w:rsid w:val="00B22B41"/>
    <w:rsid w:val="00B22B4B"/>
    <w:rsid w:val="00B22DD5"/>
    <w:rsid w:val="00B233AF"/>
    <w:rsid w:val="00B235B7"/>
    <w:rsid w:val="00B2383D"/>
    <w:rsid w:val="00B23B50"/>
    <w:rsid w:val="00B24292"/>
    <w:rsid w:val="00B24683"/>
    <w:rsid w:val="00B247C9"/>
    <w:rsid w:val="00B24A0C"/>
    <w:rsid w:val="00B24F0E"/>
    <w:rsid w:val="00B2501C"/>
    <w:rsid w:val="00B26258"/>
    <w:rsid w:val="00B262DB"/>
    <w:rsid w:val="00B269CD"/>
    <w:rsid w:val="00B26AC7"/>
    <w:rsid w:val="00B27527"/>
    <w:rsid w:val="00B27A08"/>
    <w:rsid w:val="00B27D05"/>
    <w:rsid w:val="00B27E19"/>
    <w:rsid w:val="00B30665"/>
    <w:rsid w:val="00B3079F"/>
    <w:rsid w:val="00B30ABC"/>
    <w:rsid w:val="00B31BED"/>
    <w:rsid w:val="00B320F3"/>
    <w:rsid w:val="00B32398"/>
    <w:rsid w:val="00B325D9"/>
    <w:rsid w:val="00B331EE"/>
    <w:rsid w:val="00B33249"/>
    <w:rsid w:val="00B33825"/>
    <w:rsid w:val="00B33952"/>
    <w:rsid w:val="00B33BB5"/>
    <w:rsid w:val="00B33C1A"/>
    <w:rsid w:val="00B34008"/>
    <w:rsid w:val="00B3417D"/>
    <w:rsid w:val="00B34724"/>
    <w:rsid w:val="00B34900"/>
    <w:rsid w:val="00B34EA0"/>
    <w:rsid w:val="00B3549B"/>
    <w:rsid w:val="00B3568B"/>
    <w:rsid w:val="00B35B87"/>
    <w:rsid w:val="00B35CCF"/>
    <w:rsid w:val="00B367B7"/>
    <w:rsid w:val="00B36DAA"/>
    <w:rsid w:val="00B36FB8"/>
    <w:rsid w:val="00B37000"/>
    <w:rsid w:val="00B37457"/>
    <w:rsid w:val="00B375FE"/>
    <w:rsid w:val="00B3770D"/>
    <w:rsid w:val="00B37A15"/>
    <w:rsid w:val="00B403A0"/>
    <w:rsid w:val="00B40F82"/>
    <w:rsid w:val="00B4150E"/>
    <w:rsid w:val="00B415AF"/>
    <w:rsid w:val="00B42588"/>
    <w:rsid w:val="00B434DF"/>
    <w:rsid w:val="00B4363C"/>
    <w:rsid w:val="00B43B46"/>
    <w:rsid w:val="00B43B9E"/>
    <w:rsid w:val="00B43DDF"/>
    <w:rsid w:val="00B43FB5"/>
    <w:rsid w:val="00B4453B"/>
    <w:rsid w:val="00B44A9A"/>
    <w:rsid w:val="00B4545F"/>
    <w:rsid w:val="00B454AB"/>
    <w:rsid w:val="00B45A33"/>
    <w:rsid w:val="00B46E84"/>
    <w:rsid w:val="00B46EE3"/>
    <w:rsid w:val="00B46F33"/>
    <w:rsid w:val="00B4729F"/>
    <w:rsid w:val="00B47511"/>
    <w:rsid w:val="00B47B2F"/>
    <w:rsid w:val="00B50131"/>
    <w:rsid w:val="00B503C2"/>
    <w:rsid w:val="00B5053A"/>
    <w:rsid w:val="00B509F4"/>
    <w:rsid w:val="00B514E9"/>
    <w:rsid w:val="00B51D9D"/>
    <w:rsid w:val="00B520DD"/>
    <w:rsid w:val="00B52E6C"/>
    <w:rsid w:val="00B53425"/>
    <w:rsid w:val="00B5353D"/>
    <w:rsid w:val="00B53907"/>
    <w:rsid w:val="00B5494E"/>
    <w:rsid w:val="00B549E5"/>
    <w:rsid w:val="00B5572E"/>
    <w:rsid w:val="00B55AD4"/>
    <w:rsid w:val="00B55C67"/>
    <w:rsid w:val="00B5607B"/>
    <w:rsid w:val="00B56490"/>
    <w:rsid w:val="00B565A4"/>
    <w:rsid w:val="00B56AF8"/>
    <w:rsid w:val="00B570E7"/>
    <w:rsid w:val="00B60674"/>
    <w:rsid w:val="00B60971"/>
    <w:rsid w:val="00B60AB0"/>
    <w:rsid w:val="00B61037"/>
    <w:rsid w:val="00B61060"/>
    <w:rsid w:val="00B6145B"/>
    <w:rsid w:val="00B616FE"/>
    <w:rsid w:val="00B6173A"/>
    <w:rsid w:val="00B619B9"/>
    <w:rsid w:val="00B626AA"/>
    <w:rsid w:val="00B62790"/>
    <w:rsid w:val="00B62BEF"/>
    <w:rsid w:val="00B65245"/>
    <w:rsid w:val="00B654CD"/>
    <w:rsid w:val="00B655D9"/>
    <w:rsid w:val="00B65BA0"/>
    <w:rsid w:val="00B65BEC"/>
    <w:rsid w:val="00B65D4C"/>
    <w:rsid w:val="00B65D53"/>
    <w:rsid w:val="00B65F3B"/>
    <w:rsid w:val="00B65FA0"/>
    <w:rsid w:val="00B66128"/>
    <w:rsid w:val="00B665FD"/>
    <w:rsid w:val="00B66631"/>
    <w:rsid w:val="00B670D0"/>
    <w:rsid w:val="00B67BCF"/>
    <w:rsid w:val="00B70499"/>
    <w:rsid w:val="00B707F5"/>
    <w:rsid w:val="00B70E2D"/>
    <w:rsid w:val="00B70F30"/>
    <w:rsid w:val="00B71CAD"/>
    <w:rsid w:val="00B720A2"/>
    <w:rsid w:val="00B7210C"/>
    <w:rsid w:val="00B7261A"/>
    <w:rsid w:val="00B72715"/>
    <w:rsid w:val="00B72AB0"/>
    <w:rsid w:val="00B72C4A"/>
    <w:rsid w:val="00B72C57"/>
    <w:rsid w:val="00B72D89"/>
    <w:rsid w:val="00B72E49"/>
    <w:rsid w:val="00B7316A"/>
    <w:rsid w:val="00B73455"/>
    <w:rsid w:val="00B73860"/>
    <w:rsid w:val="00B73A9F"/>
    <w:rsid w:val="00B73F5E"/>
    <w:rsid w:val="00B74155"/>
    <w:rsid w:val="00B74530"/>
    <w:rsid w:val="00B74863"/>
    <w:rsid w:val="00B752FA"/>
    <w:rsid w:val="00B75310"/>
    <w:rsid w:val="00B757DA"/>
    <w:rsid w:val="00B75909"/>
    <w:rsid w:val="00B75D5E"/>
    <w:rsid w:val="00B7646C"/>
    <w:rsid w:val="00B7684E"/>
    <w:rsid w:val="00B76958"/>
    <w:rsid w:val="00B76994"/>
    <w:rsid w:val="00B76E04"/>
    <w:rsid w:val="00B76EA3"/>
    <w:rsid w:val="00B770D2"/>
    <w:rsid w:val="00B77300"/>
    <w:rsid w:val="00B804F9"/>
    <w:rsid w:val="00B808C0"/>
    <w:rsid w:val="00B80B88"/>
    <w:rsid w:val="00B80BDC"/>
    <w:rsid w:val="00B80FB0"/>
    <w:rsid w:val="00B8103E"/>
    <w:rsid w:val="00B81491"/>
    <w:rsid w:val="00B81A36"/>
    <w:rsid w:val="00B81AC5"/>
    <w:rsid w:val="00B82684"/>
    <w:rsid w:val="00B82EE7"/>
    <w:rsid w:val="00B83D16"/>
    <w:rsid w:val="00B844F3"/>
    <w:rsid w:val="00B84978"/>
    <w:rsid w:val="00B84A52"/>
    <w:rsid w:val="00B84BEB"/>
    <w:rsid w:val="00B850B5"/>
    <w:rsid w:val="00B85658"/>
    <w:rsid w:val="00B85ABA"/>
    <w:rsid w:val="00B86A6B"/>
    <w:rsid w:val="00B87892"/>
    <w:rsid w:val="00B87CCB"/>
    <w:rsid w:val="00B87D7B"/>
    <w:rsid w:val="00B90B46"/>
    <w:rsid w:val="00B90FED"/>
    <w:rsid w:val="00B912CB"/>
    <w:rsid w:val="00B916F8"/>
    <w:rsid w:val="00B918BA"/>
    <w:rsid w:val="00B91A63"/>
    <w:rsid w:val="00B91C2B"/>
    <w:rsid w:val="00B91FD9"/>
    <w:rsid w:val="00B92757"/>
    <w:rsid w:val="00B928C9"/>
    <w:rsid w:val="00B92DB3"/>
    <w:rsid w:val="00B9386A"/>
    <w:rsid w:val="00B93A46"/>
    <w:rsid w:val="00B93B8C"/>
    <w:rsid w:val="00B94084"/>
    <w:rsid w:val="00B942D0"/>
    <w:rsid w:val="00B948AF"/>
    <w:rsid w:val="00B949EC"/>
    <w:rsid w:val="00B94DEB"/>
    <w:rsid w:val="00B94E72"/>
    <w:rsid w:val="00B94EB7"/>
    <w:rsid w:val="00B954B4"/>
    <w:rsid w:val="00B964D1"/>
    <w:rsid w:val="00B96DA1"/>
    <w:rsid w:val="00B97AA8"/>
    <w:rsid w:val="00BA0689"/>
    <w:rsid w:val="00BA07E6"/>
    <w:rsid w:val="00BA14A4"/>
    <w:rsid w:val="00BA17F5"/>
    <w:rsid w:val="00BA24B5"/>
    <w:rsid w:val="00BA2541"/>
    <w:rsid w:val="00BA26ED"/>
    <w:rsid w:val="00BA3197"/>
    <w:rsid w:val="00BA3215"/>
    <w:rsid w:val="00BA356A"/>
    <w:rsid w:val="00BA4133"/>
    <w:rsid w:val="00BA4451"/>
    <w:rsid w:val="00BA508B"/>
    <w:rsid w:val="00BA7032"/>
    <w:rsid w:val="00BA799F"/>
    <w:rsid w:val="00BA7DFB"/>
    <w:rsid w:val="00BB0429"/>
    <w:rsid w:val="00BB0A31"/>
    <w:rsid w:val="00BB0ABF"/>
    <w:rsid w:val="00BB0D7D"/>
    <w:rsid w:val="00BB1692"/>
    <w:rsid w:val="00BB19BF"/>
    <w:rsid w:val="00BB1E42"/>
    <w:rsid w:val="00BB1EDA"/>
    <w:rsid w:val="00BB2AA1"/>
    <w:rsid w:val="00BB36DC"/>
    <w:rsid w:val="00BB4068"/>
    <w:rsid w:val="00BB4C36"/>
    <w:rsid w:val="00BB51B5"/>
    <w:rsid w:val="00BB5508"/>
    <w:rsid w:val="00BB5ECF"/>
    <w:rsid w:val="00BB6050"/>
    <w:rsid w:val="00BB6499"/>
    <w:rsid w:val="00BB6A99"/>
    <w:rsid w:val="00BB74A5"/>
    <w:rsid w:val="00BB7664"/>
    <w:rsid w:val="00BB77AA"/>
    <w:rsid w:val="00BB7EBF"/>
    <w:rsid w:val="00BC006D"/>
    <w:rsid w:val="00BC0ACB"/>
    <w:rsid w:val="00BC0BEB"/>
    <w:rsid w:val="00BC0E12"/>
    <w:rsid w:val="00BC0E1F"/>
    <w:rsid w:val="00BC15EC"/>
    <w:rsid w:val="00BC1612"/>
    <w:rsid w:val="00BC18D9"/>
    <w:rsid w:val="00BC192D"/>
    <w:rsid w:val="00BC20F5"/>
    <w:rsid w:val="00BC260B"/>
    <w:rsid w:val="00BC2702"/>
    <w:rsid w:val="00BC4631"/>
    <w:rsid w:val="00BC464F"/>
    <w:rsid w:val="00BC4BE9"/>
    <w:rsid w:val="00BC4D1F"/>
    <w:rsid w:val="00BC5171"/>
    <w:rsid w:val="00BC520E"/>
    <w:rsid w:val="00BC52CA"/>
    <w:rsid w:val="00BC5360"/>
    <w:rsid w:val="00BC565E"/>
    <w:rsid w:val="00BC57AB"/>
    <w:rsid w:val="00BC595A"/>
    <w:rsid w:val="00BC5DD4"/>
    <w:rsid w:val="00BC656C"/>
    <w:rsid w:val="00BC6740"/>
    <w:rsid w:val="00BC683F"/>
    <w:rsid w:val="00BC71EC"/>
    <w:rsid w:val="00BC73E1"/>
    <w:rsid w:val="00BC79B2"/>
    <w:rsid w:val="00BD09E5"/>
    <w:rsid w:val="00BD0FAC"/>
    <w:rsid w:val="00BD1939"/>
    <w:rsid w:val="00BD19DB"/>
    <w:rsid w:val="00BD19E9"/>
    <w:rsid w:val="00BD1EE0"/>
    <w:rsid w:val="00BD24AA"/>
    <w:rsid w:val="00BD257D"/>
    <w:rsid w:val="00BD279B"/>
    <w:rsid w:val="00BD2B65"/>
    <w:rsid w:val="00BD2C51"/>
    <w:rsid w:val="00BD3C03"/>
    <w:rsid w:val="00BD3C63"/>
    <w:rsid w:val="00BD406C"/>
    <w:rsid w:val="00BD4243"/>
    <w:rsid w:val="00BD42A9"/>
    <w:rsid w:val="00BD4424"/>
    <w:rsid w:val="00BD4459"/>
    <w:rsid w:val="00BD460D"/>
    <w:rsid w:val="00BD4CF4"/>
    <w:rsid w:val="00BD593C"/>
    <w:rsid w:val="00BD66A2"/>
    <w:rsid w:val="00BD6DDE"/>
    <w:rsid w:val="00BD7A13"/>
    <w:rsid w:val="00BD7BC3"/>
    <w:rsid w:val="00BE0061"/>
    <w:rsid w:val="00BE08AE"/>
    <w:rsid w:val="00BE09D0"/>
    <w:rsid w:val="00BE0B30"/>
    <w:rsid w:val="00BE11D3"/>
    <w:rsid w:val="00BE1773"/>
    <w:rsid w:val="00BE1D7F"/>
    <w:rsid w:val="00BE262A"/>
    <w:rsid w:val="00BE2B9F"/>
    <w:rsid w:val="00BE2FD0"/>
    <w:rsid w:val="00BE3218"/>
    <w:rsid w:val="00BE3733"/>
    <w:rsid w:val="00BE4702"/>
    <w:rsid w:val="00BE4B47"/>
    <w:rsid w:val="00BE50B6"/>
    <w:rsid w:val="00BE5511"/>
    <w:rsid w:val="00BE582B"/>
    <w:rsid w:val="00BE58EC"/>
    <w:rsid w:val="00BE62BB"/>
    <w:rsid w:val="00BE6835"/>
    <w:rsid w:val="00BE6AB9"/>
    <w:rsid w:val="00BE714E"/>
    <w:rsid w:val="00BE71FC"/>
    <w:rsid w:val="00BE745A"/>
    <w:rsid w:val="00BF002E"/>
    <w:rsid w:val="00BF0474"/>
    <w:rsid w:val="00BF04DA"/>
    <w:rsid w:val="00BF071D"/>
    <w:rsid w:val="00BF0D7E"/>
    <w:rsid w:val="00BF1172"/>
    <w:rsid w:val="00BF1438"/>
    <w:rsid w:val="00BF1AA1"/>
    <w:rsid w:val="00BF1D13"/>
    <w:rsid w:val="00BF1DEF"/>
    <w:rsid w:val="00BF1F82"/>
    <w:rsid w:val="00BF2183"/>
    <w:rsid w:val="00BF22DC"/>
    <w:rsid w:val="00BF237A"/>
    <w:rsid w:val="00BF293E"/>
    <w:rsid w:val="00BF2A13"/>
    <w:rsid w:val="00BF2A43"/>
    <w:rsid w:val="00BF2B79"/>
    <w:rsid w:val="00BF2F11"/>
    <w:rsid w:val="00BF3258"/>
    <w:rsid w:val="00BF3E9A"/>
    <w:rsid w:val="00BF4092"/>
    <w:rsid w:val="00BF4559"/>
    <w:rsid w:val="00BF47C3"/>
    <w:rsid w:val="00BF4C30"/>
    <w:rsid w:val="00BF4F0A"/>
    <w:rsid w:val="00BF5692"/>
    <w:rsid w:val="00BF573B"/>
    <w:rsid w:val="00BF5795"/>
    <w:rsid w:val="00BF5A07"/>
    <w:rsid w:val="00BF6168"/>
    <w:rsid w:val="00BF65AE"/>
    <w:rsid w:val="00BF6954"/>
    <w:rsid w:val="00C00143"/>
    <w:rsid w:val="00C00614"/>
    <w:rsid w:val="00C00D0D"/>
    <w:rsid w:val="00C01082"/>
    <w:rsid w:val="00C014A4"/>
    <w:rsid w:val="00C01C53"/>
    <w:rsid w:val="00C01EB7"/>
    <w:rsid w:val="00C0232C"/>
    <w:rsid w:val="00C025DE"/>
    <w:rsid w:val="00C02B41"/>
    <w:rsid w:val="00C03B3C"/>
    <w:rsid w:val="00C03C47"/>
    <w:rsid w:val="00C03CC8"/>
    <w:rsid w:val="00C040BC"/>
    <w:rsid w:val="00C048AA"/>
    <w:rsid w:val="00C04A41"/>
    <w:rsid w:val="00C04CC4"/>
    <w:rsid w:val="00C051EA"/>
    <w:rsid w:val="00C05407"/>
    <w:rsid w:val="00C0562F"/>
    <w:rsid w:val="00C05FEF"/>
    <w:rsid w:val="00C06DCB"/>
    <w:rsid w:val="00C06FCF"/>
    <w:rsid w:val="00C073D2"/>
    <w:rsid w:val="00C0772D"/>
    <w:rsid w:val="00C07944"/>
    <w:rsid w:val="00C10DAF"/>
    <w:rsid w:val="00C10E0C"/>
    <w:rsid w:val="00C111BB"/>
    <w:rsid w:val="00C11741"/>
    <w:rsid w:val="00C11821"/>
    <w:rsid w:val="00C123E2"/>
    <w:rsid w:val="00C124C5"/>
    <w:rsid w:val="00C125CB"/>
    <w:rsid w:val="00C1383D"/>
    <w:rsid w:val="00C13F33"/>
    <w:rsid w:val="00C14279"/>
    <w:rsid w:val="00C148D8"/>
    <w:rsid w:val="00C14D3F"/>
    <w:rsid w:val="00C14D48"/>
    <w:rsid w:val="00C15247"/>
    <w:rsid w:val="00C15F50"/>
    <w:rsid w:val="00C16059"/>
    <w:rsid w:val="00C160A1"/>
    <w:rsid w:val="00C16375"/>
    <w:rsid w:val="00C16544"/>
    <w:rsid w:val="00C177A3"/>
    <w:rsid w:val="00C20150"/>
    <w:rsid w:val="00C202CF"/>
    <w:rsid w:val="00C2034A"/>
    <w:rsid w:val="00C20BF4"/>
    <w:rsid w:val="00C20DB6"/>
    <w:rsid w:val="00C21245"/>
    <w:rsid w:val="00C21663"/>
    <w:rsid w:val="00C21A1C"/>
    <w:rsid w:val="00C21C3D"/>
    <w:rsid w:val="00C21DF0"/>
    <w:rsid w:val="00C21E13"/>
    <w:rsid w:val="00C22106"/>
    <w:rsid w:val="00C2210B"/>
    <w:rsid w:val="00C221CA"/>
    <w:rsid w:val="00C2225D"/>
    <w:rsid w:val="00C223DF"/>
    <w:rsid w:val="00C22FF9"/>
    <w:rsid w:val="00C2379F"/>
    <w:rsid w:val="00C239A8"/>
    <w:rsid w:val="00C23ED3"/>
    <w:rsid w:val="00C24683"/>
    <w:rsid w:val="00C24948"/>
    <w:rsid w:val="00C24CCB"/>
    <w:rsid w:val="00C24E38"/>
    <w:rsid w:val="00C25349"/>
    <w:rsid w:val="00C253B6"/>
    <w:rsid w:val="00C25546"/>
    <w:rsid w:val="00C259F5"/>
    <w:rsid w:val="00C26194"/>
    <w:rsid w:val="00C268A0"/>
    <w:rsid w:val="00C26B5D"/>
    <w:rsid w:val="00C26BEF"/>
    <w:rsid w:val="00C26D9D"/>
    <w:rsid w:val="00C2724C"/>
    <w:rsid w:val="00C275EA"/>
    <w:rsid w:val="00C276FB"/>
    <w:rsid w:val="00C30D2F"/>
    <w:rsid w:val="00C313B7"/>
    <w:rsid w:val="00C31A3A"/>
    <w:rsid w:val="00C31C86"/>
    <w:rsid w:val="00C31E81"/>
    <w:rsid w:val="00C3276A"/>
    <w:rsid w:val="00C32773"/>
    <w:rsid w:val="00C3292D"/>
    <w:rsid w:val="00C32B76"/>
    <w:rsid w:val="00C32FA2"/>
    <w:rsid w:val="00C33362"/>
    <w:rsid w:val="00C33886"/>
    <w:rsid w:val="00C3463F"/>
    <w:rsid w:val="00C3494F"/>
    <w:rsid w:val="00C34C79"/>
    <w:rsid w:val="00C34EF4"/>
    <w:rsid w:val="00C353FE"/>
    <w:rsid w:val="00C35AA4"/>
    <w:rsid w:val="00C35BA2"/>
    <w:rsid w:val="00C36028"/>
    <w:rsid w:val="00C3623C"/>
    <w:rsid w:val="00C36421"/>
    <w:rsid w:val="00C36521"/>
    <w:rsid w:val="00C36971"/>
    <w:rsid w:val="00C36DC6"/>
    <w:rsid w:val="00C36E8A"/>
    <w:rsid w:val="00C376A7"/>
    <w:rsid w:val="00C4032F"/>
    <w:rsid w:val="00C407DE"/>
    <w:rsid w:val="00C40B0F"/>
    <w:rsid w:val="00C40B7B"/>
    <w:rsid w:val="00C41109"/>
    <w:rsid w:val="00C419EC"/>
    <w:rsid w:val="00C41EBD"/>
    <w:rsid w:val="00C41F42"/>
    <w:rsid w:val="00C4215D"/>
    <w:rsid w:val="00C42D2B"/>
    <w:rsid w:val="00C42E69"/>
    <w:rsid w:val="00C43796"/>
    <w:rsid w:val="00C43853"/>
    <w:rsid w:val="00C43ADB"/>
    <w:rsid w:val="00C43ECB"/>
    <w:rsid w:val="00C43F4C"/>
    <w:rsid w:val="00C45034"/>
    <w:rsid w:val="00C4511C"/>
    <w:rsid w:val="00C45237"/>
    <w:rsid w:val="00C45BF3"/>
    <w:rsid w:val="00C46F1F"/>
    <w:rsid w:val="00C47252"/>
    <w:rsid w:val="00C47364"/>
    <w:rsid w:val="00C47532"/>
    <w:rsid w:val="00C47833"/>
    <w:rsid w:val="00C50486"/>
    <w:rsid w:val="00C504EA"/>
    <w:rsid w:val="00C50644"/>
    <w:rsid w:val="00C51191"/>
    <w:rsid w:val="00C513BA"/>
    <w:rsid w:val="00C51902"/>
    <w:rsid w:val="00C525ED"/>
    <w:rsid w:val="00C52769"/>
    <w:rsid w:val="00C52880"/>
    <w:rsid w:val="00C535CB"/>
    <w:rsid w:val="00C53861"/>
    <w:rsid w:val="00C539F8"/>
    <w:rsid w:val="00C53C15"/>
    <w:rsid w:val="00C540EB"/>
    <w:rsid w:val="00C5421F"/>
    <w:rsid w:val="00C543B5"/>
    <w:rsid w:val="00C5468A"/>
    <w:rsid w:val="00C548EB"/>
    <w:rsid w:val="00C54AD9"/>
    <w:rsid w:val="00C54E77"/>
    <w:rsid w:val="00C5537A"/>
    <w:rsid w:val="00C55712"/>
    <w:rsid w:val="00C55C16"/>
    <w:rsid w:val="00C55DE1"/>
    <w:rsid w:val="00C55ECE"/>
    <w:rsid w:val="00C5624B"/>
    <w:rsid w:val="00C5638F"/>
    <w:rsid w:val="00C56801"/>
    <w:rsid w:val="00C56887"/>
    <w:rsid w:val="00C57BFE"/>
    <w:rsid w:val="00C57CC1"/>
    <w:rsid w:val="00C57DCF"/>
    <w:rsid w:val="00C57FE3"/>
    <w:rsid w:val="00C6008E"/>
    <w:rsid w:val="00C600CF"/>
    <w:rsid w:val="00C60B90"/>
    <w:rsid w:val="00C61294"/>
    <w:rsid w:val="00C61A7B"/>
    <w:rsid w:val="00C61C9C"/>
    <w:rsid w:val="00C61D39"/>
    <w:rsid w:val="00C61F20"/>
    <w:rsid w:val="00C62263"/>
    <w:rsid w:val="00C622FF"/>
    <w:rsid w:val="00C629F8"/>
    <w:rsid w:val="00C62A65"/>
    <w:rsid w:val="00C63C1D"/>
    <w:rsid w:val="00C64833"/>
    <w:rsid w:val="00C64EC9"/>
    <w:rsid w:val="00C65F1F"/>
    <w:rsid w:val="00C66565"/>
    <w:rsid w:val="00C66954"/>
    <w:rsid w:val="00C67CAC"/>
    <w:rsid w:val="00C67FE9"/>
    <w:rsid w:val="00C70073"/>
    <w:rsid w:val="00C70121"/>
    <w:rsid w:val="00C70ABB"/>
    <w:rsid w:val="00C70B57"/>
    <w:rsid w:val="00C70CA0"/>
    <w:rsid w:val="00C70E6E"/>
    <w:rsid w:val="00C71609"/>
    <w:rsid w:val="00C71941"/>
    <w:rsid w:val="00C72420"/>
    <w:rsid w:val="00C7311B"/>
    <w:rsid w:val="00C73146"/>
    <w:rsid w:val="00C73AE9"/>
    <w:rsid w:val="00C73D41"/>
    <w:rsid w:val="00C74018"/>
    <w:rsid w:val="00C74270"/>
    <w:rsid w:val="00C74D0F"/>
    <w:rsid w:val="00C74F70"/>
    <w:rsid w:val="00C753B8"/>
    <w:rsid w:val="00C7574E"/>
    <w:rsid w:val="00C76293"/>
    <w:rsid w:val="00C762C8"/>
    <w:rsid w:val="00C76843"/>
    <w:rsid w:val="00C769F5"/>
    <w:rsid w:val="00C76BEA"/>
    <w:rsid w:val="00C76CC6"/>
    <w:rsid w:val="00C77CF6"/>
    <w:rsid w:val="00C802EE"/>
    <w:rsid w:val="00C80CDA"/>
    <w:rsid w:val="00C80E8A"/>
    <w:rsid w:val="00C810F8"/>
    <w:rsid w:val="00C81104"/>
    <w:rsid w:val="00C817AC"/>
    <w:rsid w:val="00C81B06"/>
    <w:rsid w:val="00C81B2F"/>
    <w:rsid w:val="00C81DAB"/>
    <w:rsid w:val="00C8245E"/>
    <w:rsid w:val="00C8281E"/>
    <w:rsid w:val="00C8283B"/>
    <w:rsid w:val="00C828AA"/>
    <w:rsid w:val="00C82CD4"/>
    <w:rsid w:val="00C82CDF"/>
    <w:rsid w:val="00C82D1A"/>
    <w:rsid w:val="00C830D5"/>
    <w:rsid w:val="00C83598"/>
    <w:rsid w:val="00C83AC8"/>
    <w:rsid w:val="00C848F1"/>
    <w:rsid w:val="00C84B93"/>
    <w:rsid w:val="00C84D4A"/>
    <w:rsid w:val="00C863FB"/>
    <w:rsid w:val="00C867C2"/>
    <w:rsid w:val="00C86AAA"/>
    <w:rsid w:val="00C86BE4"/>
    <w:rsid w:val="00C86E4D"/>
    <w:rsid w:val="00C86F8E"/>
    <w:rsid w:val="00C87021"/>
    <w:rsid w:val="00C8712F"/>
    <w:rsid w:val="00C87153"/>
    <w:rsid w:val="00C90734"/>
    <w:rsid w:val="00C9076F"/>
    <w:rsid w:val="00C90B06"/>
    <w:rsid w:val="00C90C28"/>
    <w:rsid w:val="00C90CB4"/>
    <w:rsid w:val="00C91250"/>
    <w:rsid w:val="00C91828"/>
    <w:rsid w:val="00C92C8D"/>
    <w:rsid w:val="00C930C2"/>
    <w:rsid w:val="00C934A5"/>
    <w:rsid w:val="00C93765"/>
    <w:rsid w:val="00C937C9"/>
    <w:rsid w:val="00C93874"/>
    <w:rsid w:val="00C93914"/>
    <w:rsid w:val="00C94604"/>
    <w:rsid w:val="00C94743"/>
    <w:rsid w:val="00C947FB"/>
    <w:rsid w:val="00C94A2A"/>
    <w:rsid w:val="00C95756"/>
    <w:rsid w:val="00C95B00"/>
    <w:rsid w:val="00C95B07"/>
    <w:rsid w:val="00C966D5"/>
    <w:rsid w:val="00C96AFC"/>
    <w:rsid w:val="00C96F67"/>
    <w:rsid w:val="00C9759B"/>
    <w:rsid w:val="00C9762E"/>
    <w:rsid w:val="00C978EB"/>
    <w:rsid w:val="00C97B1C"/>
    <w:rsid w:val="00C97B3D"/>
    <w:rsid w:val="00C97DDE"/>
    <w:rsid w:val="00CA00A3"/>
    <w:rsid w:val="00CA00BA"/>
    <w:rsid w:val="00CA02F8"/>
    <w:rsid w:val="00CA096D"/>
    <w:rsid w:val="00CA09BD"/>
    <w:rsid w:val="00CA09D9"/>
    <w:rsid w:val="00CA0B70"/>
    <w:rsid w:val="00CA0D1F"/>
    <w:rsid w:val="00CA0D3F"/>
    <w:rsid w:val="00CA0DC6"/>
    <w:rsid w:val="00CA0E76"/>
    <w:rsid w:val="00CA0EC4"/>
    <w:rsid w:val="00CA1D62"/>
    <w:rsid w:val="00CA1DE3"/>
    <w:rsid w:val="00CA208E"/>
    <w:rsid w:val="00CA2A8B"/>
    <w:rsid w:val="00CA326A"/>
    <w:rsid w:val="00CA355D"/>
    <w:rsid w:val="00CA38B7"/>
    <w:rsid w:val="00CA3C25"/>
    <w:rsid w:val="00CA4248"/>
    <w:rsid w:val="00CA5351"/>
    <w:rsid w:val="00CA5985"/>
    <w:rsid w:val="00CA5DF9"/>
    <w:rsid w:val="00CA5E4B"/>
    <w:rsid w:val="00CA603A"/>
    <w:rsid w:val="00CA605C"/>
    <w:rsid w:val="00CA617F"/>
    <w:rsid w:val="00CA6A6D"/>
    <w:rsid w:val="00CA6BBB"/>
    <w:rsid w:val="00CA6D3C"/>
    <w:rsid w:val="00CA75DA"/>
    <w:rsid w:val="00CA7742"/>
    <w:rsid w:val="00CA7DD4"/>
    <w:rsid w:val="00CB055E"/>
    <w:rsid w:val="00CB0674"/>
    <w:rsid w:val="00CB18AD"/>
    <w:rsid w:val="00CB1926"/>
    <w:rsid w:val="00CB1A22"/>
    <w:rsid w:val="00CB2B1D"/>
    <w:rsid w:val="00CB2DD6"/>
    <w:rsid w:val="00CB2E9B"/>
    <w:rsid w:val="00CB3569"/>
    <w:rsid w:val="00CB3641"/>
    <w:rsid w:val="00CB4121"/>
    <w:rsid w:val="00CB4363"/>
    <w:rsid w:val="00CB47F4"/>
    <w:rsid w:val="00CB5292"/>
    <w:rsid w:val="00CB596B"/>
    <w:rsid w:val="00CB5C46"/>
    <w:rsid w:val="00CB5D83"/>
    <w:rsid w:val="00CB5E5C"/>
    <w:rsid w:val="00CB6358"/>
    <w:rsid w:val="00CB63E5"/>
    <w:rsid w:val="00CB7150"/>
    <w:rsid w:val="00CB7FB8"/>
    <w:rsid w:val="00CC0A44"/>
    <w:rsid w:val="00CC0EE5"/>
    <w:rsid w:val="00CC1134"/>
    <w:rsid w:val="00CC16EE"/>
    <w:rsid w:val="00CC2713"/>
    <w:rsid w:val="00CC284B"/>
    <w:rsid w:val="00CC28BA"/>
    <w:rsid w:val="00CC3B28"/>
    <w:rsid w:val="00CC55F9"/>
    <w:rsid w:val="00CC5A47"/>
    <w:rsid w:val="00CC5D3E"/>
    <w:rsid w:val="00CC60A9"/>
    <w:rsid w:val="00CC6671"/>
    <w:rsid w:val="00CC69FF"/>
    <w:rsid w:val="00CC71D9"/>
    <w:rsid w:val="00CC795D"/>
    <w:rsid w:val="00CD02EF"/>
    <w:rsid w:val="00CD052A"/>
    <w:rsid w:val="00CD05C5"/>
    <w:rsid w:val="00CD14E1"/>
    <w:rsid w:val="00CD26ED"/>
    <w:rsid w:val="00CD271E"/>
    <w:rsid w:val="00CD2725"/>
    <w:rsid w:val="00CD2953"/>
    <w:rsid w:val="00CD2B01"/>
    <w:rsid w:val="00CD3855"/>
    <w:rsid w:val="00CD48E6"/>
    <w:rsid w:val="00CD4B68"/>
    <w:rsid w:val="00CD4F89"/>
    <w:rsid w:val="00CD5469"/>
    <w:rsid w:val="00CD54E0"/>
    <w:rsid w:val="00CD565B"/>
    <w:rsid w:val="00CD56DA"/>
    <w:rsid w:val="00CD5C0A"/>
    <w:rsid w:val="00CD5DA2"/>
    <w:rsid w:val="00CD5DDE"/>
    <w:rsid w:val="00CD6513"/>
    <w:rsid w:val="00CD6978"/>
    <w:rsid w:val="00CD6BA7"/>
    <w:rsid w:val="00CD6E1D"/>
    <w:rsid w:val="00CD6FC1"/>
    <w:rsid w:val="00CD765D"/>
    <w:rsid w:val="00CD7AEB"/>
    <w:rsid w:val="00CD7E5F"/>
    <w:rsid w:val="00CD7E77"/>
    <w:rsid w:val="00CE008A"/>
    <w:rsid w:val="00CE0952"/>
    <w:rsid w:val="00CE1189"/>
    <w:rsid w:val="00CE1335"/>
    <w:rsid w:val="00CE2509"/>
    <w:rsid w:val="00CE2612"/>
    <w:rsid w:val="00CE3069"/>
    <w:rsid w:val="00CE324D"/>
    <w:rsid w:val="00CE3512"/>
    <w:rsid w:val="00CE4250"/>
    <w:rsid w:val="00CE468F"/>
    <w:rsid w:val="00CE46D9"/>
    <w:rsid w:val="00CE4783"/>
    <w:rsid w:val="00CE4D58"/>
    <w:rsid w:val="00CE4E03"/>
    <w:rsid w:val="00CE5338"/>
    <w:rsid w:val="00CE5426"/>
    <w:rsid w:val="00CE58AF"/>
    <w:rsid w:val="00CE596F"/>
    <w:rsid w:val="00CE61B5"/>
    <w:rsid w:val="00CE62C6"/>
    <w:rsid w:val="00CE649F"/>
    <w:rsid w:val="00CE661D"/>
    <w:rsid w:val="00CE6E01"/>
    <w:rsid w:val="00CE7364"/>
    <w:rsid w:val="00CE73BF"/>
    <w:rsid w:val="00CE7A63"/>
    <w:rsid w:val="00CE7C88"/>
    <w:rsid w:val="00CE7D9C"/>
    <w:rsid w:val="00CE7F7E"/>
    <w:rsid w:val="00CF084C"/>
    <w:rsid w:val="00CF14E6"/>
    <w:rsid w:val="00CF1563"/>
    <w:rsid w:val="00CF25CE"/>
    <w:rsid w:val="00CF29D3"/>
    <w:rsid w:val="00CF2B15"/>
    <w:rsid w:val="00CF33F6"/>
    <w:rsid w:val="00CF349D"/>
    <w:rsid w:val="00CF34D6"/>
    <w:rsid w:val="00CF3F70"/>
    <w:rsid w:val="00CF4316"/>
    <w:rsid w:val="00CF43FD"/>
    <w:rsid w:val="00CF4E99"/>
    <w:rsid w:val="00CF4FEC"/>
    <w:rsid w:val="00CF53FC"/>
    <w:rsid w:val="00CF5DE4"/>
    <w:rsid w:val="00CF6997"/>
    <w:rsid w:val="00CF6C1E"/>
    <w:rsid w:val="00CF6DFC"/>
    <w:rsid w:val="00CF6F13"/>
    <w:rsid w:val="00CF73D6"/>
    <w:rsid w:val="00CF7644"/>
    <w:rsid w:val="00CF7DD4"/>
    <w:rsid w:val="00D00C63"/>
    <w:rsid w:val="00D011CE"/>
    <w:rsid w:val="00D0146B"/>
    <w:rsid w:val="00D017AE"/>
    <w:rsid w:val="00D01C59"/>
    <w:rsid w:val="00D02364"/>
    <w:rsid w:val="00D02383"/>
    <w:rsid w:val="00D0260B"/>
    <w:rsid w:val="00D02B45"/>
    <w:rsid w:val="00D0377E"/>
    <w:rsid w:val="00D03A55"/>
    <w:rsid w:val="00D04751"/>
    <w:rsid w:val="00D047E8"/>
    <w:rsid w:val="00D04ACE"/>
    <w:rsid w:val="00D04ECF"/>
    <w:rsid w:val="00D05339"/>
    <w:rsid w:val="00D05C0C"/>
    <w:rsid w:val="00D05CB5"/>
    <w:rsid w:val="00D061DA"/>
    <w:rsid w:val="00D07116"/>
    <w:rsid w:val="00D07B40"/>
    <w:rsid w:val="00D07CC2"/>
    <w:rsid w:val="00D07FC2"/>
    <w:rsid w:val="00D10813"/>
    <w:rsid w:val="00D11323"/>
    <w:rsid w:val="00D11C8A"/>
    <w:rsid w:val="00D12031"/>
    <w:rsid w:val="00D12681"/>
    <w:rsid w:val="00D1284F"/>
    <w:rsid w:val="00D1287F"/>
    <w:rsid w:val="00D130F1"/>
    <w:rsid w:val="00D132F9"/>
    <w:rsid w:val="00D13468"/>
    <w:rsid w:val="00D13515"/>
    <w:rsid w:val="00D1361D"/>
    <w:rsid w:val="00D13737"/>
    <w:rsid w:val="00D139EF"/>
    <w:rsid w:val="00D13CFF"/>
    <w:rsid w:val="00D14093"/>
    <w:rsid w:val="00D14B51"/>
    <w:rsid w:val="00D14C76"/>
    <w:rsid w:val="00D14DF8"/>
    <w:rsid w:val="00D155B2"/>
    <w:rsid w:val="00D159BF"/>
    <w:rsid w:val="00D15B43"/>
    <w:rsid w:val="00D1615A"/>
    <w:rsid w:val="00D16386"/>
    <w:rsid w:val="00D163DE"/>
    <w:rsid w:val="00D167B8"/>
    <w:rsid w:val="00D170E1"/>
    <w:rsid w:val="00D1731D"/>
    <w:rsid w:val="00D1787A"/>
    <w:rsid w:val="00D178C4"/>
    <w:rsid w:val="00D17D24"/>
    <w:rsid w:val="00D2005F"/>
    <w:rsid w:val="00D20303"/>
    <w:rsid w:val="00D20681"/>
    <w:rsid w:val="00D208B9"/>
    <w:rsid w:val="00D20AA2"/>
    <w:rsid w:val="00D20CE2"/>
    <w:rsid w:val="00D20D85"/>
    <w:rsid w:val="00D21360"/>
    <w:rsid w:val="00D2146F"/>
    <w:rsid w:val="00D21486"/>
    <w:rsid w:val="00D21694"/>
    <w:rsid w:val="00D226CA"/>
    <w:rsid w:val="00D235CC"/>
    <w:rsid w:val="00D23A3D"/>
    <w:rsid w:val="00D23F1E"/>
    <w:rsid w:val="00D23F3D"/>
    <w:rsid w:val="00D24301"/>
    <w:rsid w:val="00D244AD"/>
    <w:rsid w:val="00D247BE"/>
    <w:rsid w:val="00D2484D"/>
    <w:rsid w:val="00D24AA4"/>
    <w:rsid w:val="00D251C0"/>
    <w:rsid w:val="00D25400"/>
    <w:rsid w:val="00D2557F"/>
    <w:rsid w:val="00D25B9F"/>
    <w:rsid w:val="00D26C2E"/>
    <w:rsid w:val="00D27BF6"/>
    <w:rsid w:val="00D30619"/>
    <w:rsid w:val="00D30EEF"/>
    <w:rsid w:val="00D30FA8"/>
    <w:rsid w:val="00D310C5"/>
    <w:rsid w:val="00D315E7"/>
    <w:rsid w:val="00D31BF1"/>
    <w:rsid w:val="00D31CF2"/>
    <w:rsid w:val="00D334CC"/>
    <w:rsid w:val="00D33C7E"/>
    <w:rsid w:val="00D344C2"/>
    <w:rsid w:val="00D34781"/>
    <w:rsid w:val="00D34B69"/>
    <w:rsid w:val="00D34B84"/>
    <w:rsid w:val="00D34F8F"/>
    <w:rsid w:val="00D352BE"/>
    <w:rsid w:val="00D357DE"/>
    <w:rsid w:val="00D35C29"/>
    <w:rsid w:val="00D362B9"/>
    <w:rsid w:val="00D36462"/>
    <w:rsid w:val="00D3670C"/>
    <w:rsid w:val="00D37228"/>
    <w:rsid w:val="00D3740C"/>
    <w:rsid w:val="00D376C2"/>
    <w:rsid w:val="00D37C50"/>
    <w:rsid w:val="00D4033E"/>
    <w:rsid w:val="00D4044C"/>
    <w:rsid w:val="00D40822"/>
    <w:rsid w:val="00D40878"/>
    <w:rsid w:val="00D40A70"/>
    <w:rsid w:val="00D40AB2"/>
    <w:rsid w:val="00D40FD8"/>
    <w:rsid w:val="00D41C16"/>
    <w:rsid w:val="00D41C97"/>
    <w:rsid w:val="00D41F72"/>
    <w:rsid w:val="00D42144"/>
    <w:rsid w:val="00D42265"/>
    <w:rsid w:val="00D4248A"/>
    <w:rsid w:val="00D424D0"/>
    <w:rsid w:val="00D4277E"/>
    <w:rsid w:val="00D42E80"/>
    <w:rsid w:val="00D434A0"/>
    <w:rsid w:val="00D43A4C"/>
    <w:rsid w:val="00D442FF"/>
    <w:rsid w:val="00D4460C"/>
    <w:rsid w:val="00D448FD"/>
    <w:rsid w:val="00D44DFB"/>
    <w:rsid w:val="00D450E8"/>
    <w:rsid w:val="00D454BC"/>
    <w:rsid w:val="00D45584"/>
    <w:rsid w:val="00D45902"/>
    <w:rsid w:val="00D45928"/>
    <w:rsid w:val="00D46083"/>
    <w:rsid w:val="00D47191"/>
    <w:rsid w:val="00D50490"/>
    <w:rsid w:val="00D50799"/>
    <w:rsid w:val="00D50CFB"/>
    <w:rsid w:val="00D50EDE"/>
    <w:rsid w:val="00D51743"/>
    <w:rsid w:val="00D518EA"/>
    <w:rsid w:val="00D51FCD"/>
    <w:rsid w:val="00D520D8"/>
    <w:rsid w:val="00D52400"/>
    <w:rsid w:val="00D52B5D"/>
    <w:rsid w:val="00D52BDD"/>
    <w:rsid w:val="00D53310"/>
    <w:rsid w:val="00D53574"/>
    <w:rsid w:val="00D53875"/>
    <w:rsid w:val="00D54390"/>
    <w:rsid w:val="00D54411"/>
    <w:rsid w:val="00D54702"/>
    <w:rsid w:val="00D5499A"/>
    <w:rsid w:val="00D54C23"/>
    <w:rsid w:val="00D54D27"/>
    <w:rsid w:val="00D5590B"/>
    <w:rsid w:val="00D559E5"/>
    <w:rsid w:val="00D55D40"/>
    <w:rsid w:val="00D55FF2"/>
    <w:rsid w:val="00D56174"/>
    <w:rsid w:val="00D563F9"/>
    <w:rsid w:val="00D5662C"/>
    <w:rsid w:val="00D56AD0"/>
    <w:rsid w:val="00D56E9F"/>
    <w:rsid w:val="00D56ECC"/>
    <w:rsid w:val="00D570A0"/>
    <w:rsid w:val="00D57AB5"/>
    <w:rsid w:val="00D57B18"/>
    <w:rsid w:val="00D604B6"/>
    <w:rsid w:val="00D60C61"/>
    <w:rsid w:val="00D6109C"/>
    <w:rsid w:val="00D6139F"/>
    <w:rsid w:val="00D61818"/>
    <w:rsid w:val="00D61C7A"/>
    <w:rsid w:val="00D61E25"/>
    <w:rsid w:val="00D61F60"/>
    <w:rsid w:val="00D62151"/>
    <w:rsid w:val="00D62159"/>
    <w:rsid w:val="00D62751"/>
    <w:rsid w:val="00D63480"/>
    <w:rsid w:val="00D63CF4"/>
    <w:rsid w:val="00D63FD6"/>
    <w:rsid w:val="00D642B6"/>
    <w:rsid w:val="00D64337"/>
    <w:rsid w:val="00D6462E"/>
    <w:rsid w:val="00D64BE0"/>
    <w:rsid w:val="00D6542A"/>
    <w:rsid w:val="00D65B89"/>
    <w:rsid w:val="00D6635E"/>
    <w:rsid w:val="00D664ED"/>
    <w:rsid w:val="00D66647"/>
    <w:rsid w:val="00D66B60"/>
    <w:rsid w:val="00D66D9E"/>
    <w:rsid w:val="00D67612"/>
    <w:rsid w:val="00D67BA8"/>
    <w:rsid w:val="00D67C88"/>
    <w:rsid w:val="00D700C0"/>
    <w:rsid w:val="00D703B5"/>
    <w:rsid w:val="00D704A7"/>
    <w:rsid w:val="00D70F6D"/>
    <w:rsid w:val="00D70FDB"/>
    <w:rsid w:val="00D71B57"/>
    <w:rsid w:val="00D720D7"/>
    <w:rsid w:val="00D72288"/>
    <w:rsid w:val="00D723F7"/>
    <w:rsid w:val="00D72639"/>
    <w:rsid w:val="00D7268A"/>
    <w:rsid w:val="00D72977"/>
    <w:rsid w:val="00D72E59"/>
    <w:rsid w:val="00D72F45"/>
    <w:rsid w:val="00D73235"/>
    <w:rsid w:val="00D732BB"/>
    <w:rsid w:val="00D73389"/>
    <w:rsid w:val="00D7374E"/>
    <w:rsid w:val="00D738C8"/>
    <w:rsid w:val="00D73B78"/>
    <w:rsid w:val="00D74062"/>
    <w:rsid w:val="00D740D1"/>
    <w:rsid w:val="00D749C8"/>
    <w:rsid w:val="00D749D9"/>
    <w:rsid w:val="00D74BB0"/>
    <w:rsid w:val="00D75175"/>
    <w:rsid w:val="00D75739"/>
    <w:rsid w:val="00D75F92"/>
    <w:rsid w:val="00D76008"/>
    <w:rsid w:val="00D762B5"/>
    <w:rsid w:val="00D76FA1"/>
    <w:rsid w:val="00D772C3"/>
    <w:rsid w:val="00D77524"/>
    <w:rsid w:val="00D775F3"/>
    <w:rsid w:val="00D778FD"/>
    <w:rsid w:val="00D80A22"/>
    <w:rsid w:val="00D80BB5"/>
    <w:rsid w:val="00D814D4"/>
    <w:rsid w:val="00D817AA"/>
    <w:rsid w:val="00D818D1"/>
    <w:rsid w:val="00D82E92"/>
    <w:rsid w:val="00D830C8"/>
    <w:rsid w:val="00D838C8"/>
    <w:rsid w:val="00D83D9F"/>
    <w:rsid w:val="00D843BC"/>
    <w:rsid w:val="00D84459"/>
    <w:rsid w:val="00D85109"/>
    <w:rsid w:val="00D853AC"/>
    <w:rsid w:val="00D85488"/>
    <w:rsid w:val="00D85749"/>
    <w:rsid w:val="00D85DF3"/>
    <w:rsid w:val="00D863D2"/>
    <w:rsid w:val="00D86737"/>
    <w:rsid w:val="00D867F7"/>
    <w:rsid w:val="00D86A10"/>
    <w:rsid w:val="00D86C82"/>
    <w:rsid w:val="00D8787D"/>
    <w:rsid w:val="00D87BBF"/>
    <w:rsid w:val="00D90296"/>
    <w:rsid w:val="00D90533"/>
    <w:rsid w:val="00D9054F"/>
    <w:rsid w:val="00D9063A"/>
    <w:rsid w:val="00D90C2B"/>
    <w:rsid w:val="00D91109"/>
    <w:rsid w:val="00D91A6D"/>
    <w:rsid w:val="00D91ADF"/>
    <w:rsid w:val="00D92BA4"/>
    <w:rsid w:val="00D93011"/>
    <w:rsid w:val="00D93090"/>
    <w:rsid w:val="00D93271"/>
    <w:rsid w:val="00D934F4"/>
    <w:rsid w:val="00D9376C"/>
    <w:rsid w:val="00D93A69"/>
    <w:rsid w:val="00D93C83"/>
    <w:rsid w:val="00D93DB5"/>
    <w:rsid w:val="00D944D9"/>
    <w:rsid w:val="00D9450D"/>
    <w:rsid w:val="00D94767"/>
    <w:rsid w:val="00D9537B"/>
    <w:rsid w:val="00D9633C"/>
    <w:rsid w:val="00D963C3"/>
    <w:rsid w:val="00D964D5"/>
    <w:rsid w:val="00D968C1"/>
    <w:rsid w:val="00D97A0A"/>
    <w:rsid w:val="00D97CC6"/>
    <w:rsid w:val="00D97FA9"/>
    <w:rsid w:val="00DA005C"/>
    <w:rsid w:val="00DA0426"/>
    <w:rsid w:val="00DA04E1"/>
    <w:rsid w:val="00DA05F5"/>
    <w:rsid w:val="00DA17CB"/>
    <w:rsid w:val="00DA1DA8"/>
    <w:rsid w:val="00DA2748"/>
    <w:rsid w:val="00DA2AE7"/>
    <w:rsid w:val="00DA2C32"/>
    <w:rsid w:val="00DA2E16"/>
    <w:rsid w:val="00DA2E96"/>
    <w:rsid w:val="00DA4446"/>
    <w:rsid w:val="00DA44FC"/>
    <w:rsid w:val="00DA6258"/>
    <w:rsid w:val="00DA6468"/>
    <w:rsid w:val="00DA65B0"/>
    <w:rsid w:val="00DA6CBD"/>
    <w:rsid w:val="00DA7424"/>
    <w:rsid w:val="00DA7A09"/>
    <w:rsid w:val="00DA7CB1"/>
    <w:rsid w:val="00DB08DF"/>
    <w:rsid w:val="00DB1103"/>
    <w:rsid w:val="00DB120B"/>
    <w:rsid w:val="00DB125B"/>
    <w:rsid w:val="00DB1340"/>
    <w:rsid w:val="00DB1430"/>
    <w:rsid w:val="00DB201F"/>
    <w:rsid w:val="00DB2084"/>
    <w:rsid w:val="00DB2670"/>
    <w:rsid w:val="00DB2E1C"/>
    <w:rsid w:val="00DB3507"/>
    <w:rsid w:val="00DB406E"/>
    <w:rsid w:val="00DB4089"/>
    <w:rsid w:val="00DB50E0"/>
    <w:rsid w:val="00DB5797"/>
    <w:rsid w:val="00DB599C"/>
    <w:rsid w:val="00DB5B26"/>
    <w:rsid w:val="00DB5C23"/>
    <w:rsid w:val="00DB6337"/>
    <w:rsid w:val="00DB6D22"/>
    <w:rsid w:val="00DB6E6D"/>
    <w:rsid w:val="00DB79C6"/>
    <w:rsid w:val="00DB7A33"/>
    <w:rsid w:val="00DB7A60"/>
    <w:rsid w:val="00DB7AFE"/>
    <w:rsid w:val="00DB7E05"/>
    <w:rsid w:val="00DC0572"/>
    <w:rsid w:val="00DC0694"/>
    <w:rsid w:val="00DC0E7E"/>
    <w:rsid w:val="00DC0EA8"/>
    <w:rsid w:val="00DC0F0B"/>
    <w:rsid w:val="00DC1597"/>
    <w:rsid w:val="00DC16FD"/>
    <w:rsid w:val="00DC174B"/>
    <w:rsid w:val="00DC1F33"/>
    <w:rsid w:val="00DC26A5"/>
    <w:rsid w:val="00DC2B59"/>
    <w:rsid w:val="00DC2E5D"/>
    <w:rsid w:val="00DC357C"/>
    <w:rsid w:val="00DC3703"/>
    <w:rsid w:val="00DC39EA"/>
    <w:rsid w:val="00DC3A14"/>
    <w:rsid w:val="00DC3BE7"/>
    <w:rsid w:val="00DC3F20"/>
    <w:rsid w:val="00DC464F"/>
    <w:rsid w:val="00DC4983"/>
    <w:rsid w:val="00DC4EF4"/>
    <w:rsid w:val="00DC4F73"/>
    <w:rsid w:val="00DC526B"/>
    <w:rsid w:val="00DC537D"/>
    <w:rsid w:val="00DC54ED"/>
    <w:rsid w:val="00DC558B"/>
    <w:rsid w:val="00DC5785"/>
    <w:rsid w:val="00DC5D97"/>
    <w:rsid w:val="00DC5FB7"/>
    <w:rsid w:val="00DC6326"/>
    <w:rsid w:val="00DC6B5B"/>
    <w:rsid w:val="00DC70E0"/>
    <w:rsid w:val="00DC747F"/>
    <w:rsid w:val="00DD0217"/>
    <w:rsid w:val="00DD0712"/>
    <w:rsid w:val="00DD0D85"/>
    <w:rsid w:val="00DD1364"/>
    <w:rsid w:val="00DD17D8"/>
    <w:rsid w:val="00DD1D4D"/>
    <w:rsid w:val="00DD1F7A"/>
    <w:rsid w:val="00DD1FA2"/>
    <w:rsid w:val="00DD22CB"/>
    <w:rsid w:val="00DD2EA0"/>
    <w:rsid w:val="00DD41DB"/>
    <w:rsid w:val="00DD5311"/>
    <w:rsid w:val="00DD5BA8"/>
    <w:rsid w:val="00DD5D14"/>
    <w:rsid w:val="00DD6062"/>
    <w:rsid w:val="00DD6A02"/>
    <w:rsid w:val="00DD6B09"/>
    <w:rsid w:val="00DD6FB0"/>
    <w:rsid w:val="00DD7CA4"/>
    <w:rsid w:val="00DE0615"/>
    <w:rsid w:val="00DE07B6"/>
    <w:rsid w:val="00DE10E6"/>
    <w:rsid w:val="00DE1363"/>
    <w:rsid w:val="00DE19E7"/>
    <w:rsid w:val="00DE25D3"/>
    <w:rsid w:val="00DE2602"/>
    <w:rsid w:val="00DE2AC9"/>
    <w:rsid w:val="00DE3323"/>
    <w:rsid w:val="00DE37B5"/>
    <w:rsid w:val="00DE3AEE"/>
    <w:rsid w:val="00DE4059"/>
    <w:rsid w:val="00DE457D"/>
    <w:rsid w:val="00DE46A3"/>
    <w:rsid w:val="00DE46DB"/>
    <w:rsid w:val="00DE4772"/>
    <w:rsid w:val="00DE480C"/>
    <w:rsid w:val="00DE4858"/>
    <w:rsid w:val="00DE4E4D"/>
    <w:rsid w:val="00DE5170"/>
    <w:rsid w:val="00DE5A48"/>
    <w:rsid w:val="00DE6B15"/>
    <w:rsid w:val="00DE6F1B"/>
    <w:rsid w:val="00DE74DC"/>
    <w:rsid w:val="00DE7835"/>
    <w:rsid w:val="00DE7B67"/>
    <w:rsid w:val="00DE7E15"/>
    <w:rsid w:val="00DE7EF4"/>
    <w:rsid w:val="00DF044D"/>
    <w:rsid w:val="00DF0B9B"/>
    <w:rsid w:val="00DF17B5"/>
    <w:rsid w:val="00DF183A"/>
    <w:rsid w:val="00DF19A5"/>
    <w:rsid w:val="00DF2062"/>
    <w:rsid w:val="00DF2295"/>
    <w:rsid w:val="00DF2581"/>
    <w:rsid w:val="00DF25A8"/>
    <w:rsid w:val="00DF2869"/>
    <w:rsid w:val="00DF37DB"/>
    <w:rsid w:val="00DF38C1"/>
    <w:rsid w:val="00DF39A9"/>
    <w:rsid w:val="00DF3D91"/>
    <w:rsid w:val="00DF3E00"/>
    <w:rsid w:val="00DF41E8"/>
    <w:rsid w:val="00DF431B"/>
    <w:rsid w:val="00DF447D"/>
    <w:rsid w:val="00DF47A7"/>
    <w:rsid w:val="00DF4F0D"/>
    <w:rsid w:val="00DF504B"/>
    <w:rsid w:val="00DF5179"/>
    <w:rsid w:val="00DF522D"/>
    <w:rsid w:val="00DF5480"/>
    <w:rsid w:val="00DF5686"/>
    <w:rsid w:val="00DF5ACF"/>
    <w:rsid w:val="00DF5AE4"/>
    <w:rsid w:val="00DF5C42"/>
    <w:rsid w:val="00DF6626"/>
    <w:rsid w:val="00DF6988"/>
    <w:rsid w:val="00DF6BBC"/>
    <w:rsid w:val="00DF6D05"/>
    <w:rsid w:val="00DF70A7"/>
    <w:rsid w:val="00DF763D"/>
    <w:rsid w:val="00DF7C33"/>
    <w:rsid w:val="00E00775"/>
    <w:rsid w:val="00E00C1E"/>
    <w:rsid w:val="00E0128F"/>
    <w:rsid w:val="00E01594"/>
    <w:rsid w:val="00E019DB"/>
    <w:rsid w:val="00E01C9F"/>
    <w:rsid w:val="00E01F54"/>
    <w:rsid w:val="00E022CC"/>
    <w:rsid w:val="00E03212"/>
    <w:rsid w:val="00E033AE"/>
    <w:rsid w:val="00E03B00"/>
    <w:rsid w:val="00E03B94"/>
    <w:rsid w:val="00E03C68"/>
    <w:rsid w:val="00E03DEC"/>
    <w:rsid w:val="00E043F9"/>
    <w:rsid w:val="00E04581"/>
    <w:rsid w:val="00E04E0C"/>
    <w:rsid w:val="00E057E2"/>
    <w:rsid w:val="00E05B12"/>
    <w:rsid w:val="00E064CD"/>
    <w:rsid w:val="00E066D7"/>
    <w:rsid w:val="00E07338"/>
    <w:rsid w:val="00E07877"/>
    <w:rsid w:val="00E07BC0"/>
    <w:rsid w:val="00E1020A"/>
    <w:rsid w:val="00E10C84"/>
    <w:rsid w:val="00E10D4C"/>
    <w:rsid w:val="00E1154C"/>
    <w:rsid w:val="00E11C01"/>
    <w:rsid w:val="00E123FA"/>
    <w:rsid w:val="00E126C2"/>
    <w:rsid w:val="00E127B7"/>
    <w:rsid w:val="00E1284B"/>
    <w:rsid w:val="00E128C9"/>
    <w:rsid w:val="00E130B6"/>
    <w:rsid w:val="00E1350B"/>
    <w:rsid w:val="00E13655"/>
    <w:rsid w:val="00E13709"/>
    <w:rsid w:val="00E137EB"/>
    <w:rsid w:val="00E13A5A"/>
    <w:rsid w:val="00E13E36"/>
    <w:rsid w:val="00E13E77"/>
    <w:rsid w:val="00E143AA"/>
    <w:rsid w:val="00E143CC"/>
    <w:rsid w:val="00E1442C"/>
    <w:rsid w:val="00E14C5D"/>
    <w:rsid w:val="00E1517B"/>
    <w:rsid w:val="00E15CEB"/>
    <w:rsid w:val="00E15DD3"/>
    <w:rsid w:val="00E15DD8"/>
    <w:rsid w:val="00E15E95"/>
    <w:rsid w:val="00E16400"/>
    <w:rsid w:val="00E16A23"/>
    <w:rsid w:val="00E172FF"/>
    <w:rsid w:val="00E20889"/>
    <w:rsid w:val="00E20F37"/>
    <w:rsid w:val="00E2143E"/>
    <w:rsid w:val="00E21577"/>
    <w:rsid w:val="00E21638"/>
    <w:rsid w:val="00E21864"/>
    <w:rsid w:val="00E22AE8"/>
    <w:rsid w:val="00E22C38"/>
    <w:rsid w:val="00E230A7"/>
    <w:rsid w:val="00E23404"/>
    <w:rsid w:val="00E23553"/>
    <w:rsid w:val="00E2391E"/>
    <w:rsid w:val="00E23B69"/>
    <w:rsid w:val="00E244AE"/>
    <w:rsid w:val="00E246B8"/>
    <w:rsid w:val="00E25035"/>
    <w:rsid w:val="00E26090"/>
    <w:rsid w:val="00E260F2"/>
    <w:rsid w:val="00E26821"/>
    <w:rsid w:val="00E26E2A"/>
    <w:rsid w:val="00E26F0C"/>
    <w:rsid w:val="00E27E3A"/>
    <w:rsid w:val="00E27EAF"/>
    <w:rsid w:val="00E302DC"/>
    <w:rsid w:val="00E305CF"/>
    <w:rsid w:val="00E30A93"/>
    <w:rsid w:val="00E30FBE"/>
    <w:rsid w:val="00E3108C"/>
    <w:rsid w:val="00E3161A"/>
    <w:rsid w:val="00E31840"/>
    <w:rsid w:val="00E31C28"/>
    <w:rsid w:val="00E31EAC"/>
    <w:rsid w:val="00E31FA9"/>
    <w:rsid w:val="00E323E0"/>
    <w:rsid w:val="00E32821"/>
    <w:rsid w:val="00E33FEA"/>
    <w:rsid w:val="00E343AC"/>
    <w:rsid w:val="00E3483D"/>
    <w:rsid w:val="00E34C4C"/>
    <w:rsid w:val="00E35F2B"/>
    <w:rsid w:val="00E36928"/>
    <w:rsid w:val="00E37196"/>
    <w:rsid w:val="00E37708"/>
    <w:rsid w:val="00E3797D"/>
    <w:rsid w:val="00E40A83"/>
    <w:rsid w:val="00E40B12"/>
    <w:rsid w:val="00E40DE9"/>
    <w:rsid w:val="00E411BF"/>
    <w:rsid w:val="00E41E8C"/>
    <w:rsid w:val="00E422A6"/>
    <w:rsid w:val="00E42A46"/>
    <w:rsid w:val="00E42F71"/>
    <w:rsid w:val="00E43858"/>
    <w:rsid w:val="00E43A28"/>
    <w:rsid w:val="00E43A36"/>
    <w:rsid w:val="00E43F28"/>
    <w:rsid w:val="00E440D2"/>
    <w:rsid w:val="00E44110"/>
    <w:rsid w:val="00E44A42"/>
    <w:rsid w:val="00E44AB9"/>
    <w:rsid w:val="00E454EF"/>
    <w:rsid w:val="00E4559F"/>
    <w:rsid w:val="00E45852"/>
    <w:rsid w:val="00E45878"/>
    <w:rsid w:val="00E45A45"/>
    <w:rsid w:val="00E45A76"/>
    <w:rsid w:val="00E45E6C"/>
    <w:rsid w:val="00E45EBD"/>
    <w:rsid w:val="00E46218"/>
    <w:rsid w:val="00E47A35"/>
    <w:rsid w:val="00E47F52"/>
    <w:rsid w:val="00E500E4"/>
    <w:rsid w:val="00E5035F"/>
    <w:rsid w:val="00E5040C"/>
    <w:rsid w:val="00E50BBA"/>
    <w:rsid w:val="00E50EB8"/>
    <w:rsid w:val="00E51361"/>
    <w:rsid w:val="00E515EC"/>
    <w:rsid w:val="00E51F58"/>
    <w:rsid w:val="00E52650"/>
    <w:rsid w:val="00E533E1"/>
    <w:rsid w:val="00E5354F"/>
    <w:rsid w:val="00E5367A"/>
    <w:rsid w:val="00E5390E"/>
    <w:rsid w:val="00E53E99"/>
    <w:rsid w:val="00E5427B"/>
    <w:rsid w:val="00E54A9F"/>
    <w:rsid w:val="00E54B1F"/>
    <w:rsid w:val="00E54C06"/>
    <w:rsid w:val="00E554FB"/>
    <w:rsid w:val="00E55EB7"/>
    <w:rsid w:val="00E56012"/>
    <w:rsid w:val="00E56E0D"/>
    <w:rsid w:val="00E57189"/>
    <w:rsid w:val="00E572A9"/>
    <w:rsid w:val="00E57FA7"/>
    <w:rsid w:val="00E614A3"/>
    <w:rsid w:val="00E61635"/>
    <w:rsid w:val="00E61CC9"/>
    <w:rsid w:val="00E61DF7"/>
    <w:rsid w:val="00E62272"/>
    <w:rsid w:val="00E631FC"/>
    <w:rsid w:val="00E63AD1"/>
    <w:rsid w:val="00E640D1"/>
    <w:rsid w:val="00E647A6"/>
    <w:rsid w:val="00E64DF3"/>
    <w:rsid w:val="00E65C4B"/>
    <w:rsid w:val="00E6679C"/>
    <w:rsid w:val="00E669F0"/>
    <w:rsid w:val="00E66AAC"/>
    <w:rsid w:val="00E67520"/>
    <w:rsid w:val="00E6765A"/>
    <w:rsid w:val="00E67B62"/>
    <w:rsid w:val="00E7012D"/>
    <w:rsid w:val="00E70177"/>
    <w:rsid w:val="00E7034E"/>
    <w:rsid w:val="00E70377"/>
    <w:rsid w:val="00E705EB"/>
    <w:rsid w:val="00E70C20"/>
    <w:rsid w:val="00E71651"/>
    <w:rsid w:val="00E716E4"/>
    <w:rsid w:val="00E71C28"/>
    <w:rsid w:val="00E721C1"/>
    <w:rsid w:val="00E72C47"/>
    <w:rsid w:val="00E72CF8"/>
    <w:rsid w:val="00E72E9E"/>
    <w:rsid w:val="00E736EA"/>
    <w:rsid w:val="00E737BE"/>
    <w:rsid w:val="00E7387B"/>
    <w:rsid w:val="00E7390B"/>
    <w:rsid w:val="00E739A7"/>
    <w:rsid w:val="00E73B0E"/>
    <w:rsid w:val="00E73F44"/>
    <w:rsid w:val="00E73FA4"/>
    <w:rsid w:val="00E74914"/>
    <w:rsid w:val="00E74F95"/>
    <w:rsid w:val="00E759F0"/>
    <w:rsid w:val="00E75DFD"/>
    <w:rsid w:val="00E7691F"/>
    <w:rsid w:val="00E76F3E"/>
    <w:rsid w:val="00E77165"/>
    <w:rsid w:val="00E77448"/>
    <w:rsid w:val="00E77961"/>
    <w:rsid w:val="00E77F94"/>
    <w:rsid w:val="00E800DC"/>
    <w:rsid w:val="00E80156"/>
    <w:rsid w:val="00E80865"/>
    <w:rsid w:val="00E80AA6"/>
    <w:rsid w:val="00E80AF5"/>
    <w:rsid w:val="00E811E4"/>
    <w:rsid w:val="00E81E78"/>
    <w:rsid w:val="00E82289"/>
    <w:rsid w:val="00E82A0D"/>
    <w:rsid w:val="00E82A9A"/>
    <w:rsid w:val="00E83E30"/>
    <w:rsid w:val="00E83F39"/>
    <w:rsid w:val="00E84797"/>
    <w:rsid w:val="00E849FE"/>
    <w:rsid w:val="00E84A38"/>
    <w:rsid w:val="00E84E3E"/>
    <w:rsid w:val="00E85493"/>
    <w:rsid w:val="00E85AE0"/>
    <w:rsid w:val="00E85E34"/>
    <w:rsid w:val="00E86369"/>
    <w:rsid w:val="00E86383"/>
    <w:rsid w:val="00E86BED"/>
    <w:rsid w:val="00E87249"/>
    <w:rsid w:val="00E876A3"/>
    <w:rsid w:val="00E9034A"/>
    <w:rsid w:val="00E9051B"/>
    <w:rsid w:val="00E90BF3"/>
    <w:rsid w:val="00E90C74"/>
    <w:rsid w:val="00E91300"/>
    <w:rsid w:val="00E913C4"/>
    <w:rsid w:val="00E9156F"/>
    <w:rsid w:val="00E918DC"/>
    <w:rsid w:val="00E91A2D"/>
    <w:rsid w:val="00E91AF1"/>
    <w:rsid w:val="00E92464"/>
    <w:rsid w:val="00E925AC"/>
    <w:rsid w:val="00E927B6"/>
    <w:rsid w:val="00E92E94"/>
    <w:rsid w:val="00E92EAA"/>
    <w:rsid w:val="00E930EE"/>
    <w:rsid w:val="00E931B2"/>
    <w:rsid w:val="00E9364D"/>
    <w:rsid w:val="00E9364E"/>
    <w:rsid w:val="00E937A2"/>
    <w:rsid w:val="00E9393A"/>
    <w:rsid w:val="00E9489D"/>
    <w:rsid w:val="00E94BFA"/>
    <w:rsid w:val="00E94F95"/>
    <w:rsid w:val="00E954CE"/>
    <w:rsid w:val="00E95A1C"/>
    <w:rsid w:val="00E95FDB"/>
    <w:rsid w:val="00E9603D"/>
    <w:rsid w:val="00E9697C"/>
    <w:rsid w:val="00E96A0B"/>
    <w:rsid w:val="00E96A82"/>
    <w:rsid w:val="00E972CE"/>
    <w:rsid w:val="00E9730C"/>
    <w:rsid w:val="00E97685"/>
    <w:rsid w:val="00E97F1E"/>
    <w:rsid w:val="00EA0F1E"/>
    <w:rsid w:val="00EA12CF"/>
    <w:rsid w:val="00EA14AD"/>
    <w:rsid w:val="00EA154B"/>
    <w:rsid w:val="00EA1732"/>
    <w:rsid w:val="00EA1C33"/>
    <w:rsid w:val="00EA1E1B"/>
    <w:rsid w:val="00EA2010"/>
    <w:rsid w:val="00EA2135"/>
    <w:rsid w:val="00EA23C9"/>
    <w:rsid w:val="00EA2669"/>
    <w:rsid w:val="00EA276A"/>
    <w:rsid w:val="00EA2B71"/>
    <w:rsid w:val="00EA2CC4"/>
    <w:rsid w:val="00EA33A2"/>
    <w:rsid w:val="00EA3510"/>
    <w:rsid w:val="00EA3539"/>
    <w:rsid w:val="00EA35F7"/>
    <w:rsid w:val="00EA3807"/>
    <w:rsid w:val="00EA3941"/>
    <w:rsid w:val="00EA39F4"/>
    <w:rsid w:val="00EA3FC6"/>
    <w:rsid w:val="00EA47A3"/>
    <w:rsid w:val="00EA5278"/>
    <w:rsid w:val="00EA59D2"/>
    <w:rsid w:val="00EA5A1E"/>
    <w:rsid w:val="00EA5A4C"/>
    <w:rsid w:val="00EA5D6F"/>
    <w:rsid w:val="00EA6B64"/>
    <w:rsid w:val="00EA6C4F"/>
    <w:rsid w:val="00EA7128"/>
    <w:rsid w:val="00EA7569"/>
    <w:rsid w:val="00EA780D"/>
    <w:rsid w:val="00EA78DB"/>
    <w:rsid w:val="00EA7D64"/>
    <w:rsid w:val="00EA7EAD"/>
    <w:rsid w:val="00EB0138"/>
    <w:rsid w:val="00EB0CBF"/>
    <w:rsid w:val="00EB0F68"/>
    <w:rsid w:val="00EB1B6F"/>
    <w:rsid w:val="00EB1E7B"/>
    <w:rsid w:val="00EB1E83"/>
    <w:rsid w:val="00EB1EF2"/>
    <w:rsid w:val="00EB285E"/>
    <w:rsid w:val="00EB28D2"/>
    <w:rsid w:val="00EB2B75"/>
    <w:rsid w:val="00EB2F26"/>
    <w:rsid w:val="00EB339C"/>
    <w:rsid w:val="00EB3ABE"/>
    <w:rsid w:val="00EB4791"/>
    <w:rsid w:val="00EB4E2A"/>
    <w:rsid w:val="00EB4F95"/>
    <w:rsid w:val="00EB4F9C"/>
    <w:rsid w:val="00EB5892"/>
    <w:rsid w:val="00EB59ED"/>
    <w:rsid w:val="00EB61B0"/>
    <w:rsid w:val="00EB61D6"/>
    <w:rsid w:val="00EB641C"/>
    <w:rsid w:val="00EB6814"/>
    <w:rsid w:val="00EB6E73"/>
    <w:rsid w:val="00EB7694"/>
    <w:rsid w:val="00EB79C1"/>
    <w:rsid w:val="00EC0A9B"/>
    <w:rsid w:val="00EC0BFE"/>
    <w:rsid w:val="00EC1532"/>
    <w:rsid w:val="00EC17DE"/>
    <w:rsid w:val="00EC1D24"/>
    <w:rsid w:val="00EC1E35"/>
    <w:rsid w:val="00EC2246"/>
    <w:rsid w:val="00EC485A"/>
    <w:rsid w:val="00EC50ED"/>
    <w:rsid w:val="00EC52C4"/>
    <w:rsid w:val="00EC552F"/>
    <w:rsid w:val="00EC5B47"/>
    <w:rsid w:val="00EC5E9D"/>
    <w:rsid w:val="00EC68DE"/>
    <w:rsid w:val="00EC70DF"/>
    <w:rsid w:val="00EC7765"/>
    <w:rsid w:val="00EC7A9C"/>
    <w:rsid w:val="00EC7B0C"/>
    <w:rsid w:val="00ED02FD"/>
    <w:rsid w:val="00ED1AAB"/>
    <w:rsid w:val="00ED1D6E"/>
    <w:rsid w:val="00ED255C"/>
    <w:rsid w:val="00ED2664"/>
    <w:rsid w:val="00ED2699"/>
    <w:rsid w:val="00ED2BF6"/>
    <w:rsid w:val="00ED37D6"/>
    <w:rsid w:val="00ED3A64"/>
    <w:rsid w:val="00ED4C73"/>
    <w:rsid w:val="00ED4E12"/>
    <w:rsid w:val="00ED515E"/>
    <w:rsid w:val="00ED551E"/>
    <w:rsid w:val="00ED5C54"/>
    <w:rsid w:val="00ED5E01"/>
    <w:rsid w:val="00ED6A49"/>
    <w:rsid w:val="00ED6BF9"/>
    <w:rsid w:val="00EE0249"/>
    <w:rsid w:val="00EE02E6"/>
    <w:rsid w:val="00EE0383"/>
    <w:rsid w:val="00EE0B48"/>
    <w:rsid w:val="00EE0E11"/>
    <w:rsid w:val="00EE11E9"/>
    <w:rsid w:val="00EE13D5"/>
    <w:rsid w:val="00EE162C"/>
    <w:rsid w:val="00EE1E1A"/>
    <w:rsid w:val="00EE1EC6"/>
    <w:rsid w:val="00EE1F63"/>
    <w:rsid w:val="00EE1FFB"/>
    <w:rsid w:val="00EE2B09"/>
    <w:rsid w:val="00EE323D"/>
    <w:rsid w:val="00EE32D6"/>
    <w:rsid w:val="00EE3779"/>
    <w:rsid w:val="00EE382D"/>
    <w:rsid w:val="00EE3BF5"/>
    <w:rsid w:val="00EE3CB7"/>
    <w:rsid w:val="00EE5096"/>
    <w:rsid w:val="00EE55B9"/>
    <w:rsid w:val="00EE5935"/>
    <w:rsid w:val="00EE60C8"/>
    <w:rsid w:val="00EE615C"/>
    <w:rsid w:val="00EE6716"/>
    <w:rsid w:val="00EE6EBB"/>
    <w:rsid w:val="00EF01BB"/>
    <w:rsid w:val="00EF0C38"/>
    <w:rsid w:val="00EF1FC5"/>
    <w:rsid w:val="00EF2619"/>
    <w:rsid w:val="00EF26D3"/>
    <w:rsid w:val="00EF2F07"/>
    <w:rsid w:val="00EF2FBF"/>
    <w:rsid w:val="00EF3273"/>
    <w:rsid w:val="00EF3B8F"/>
    <w:rsid w:val="00EF3C33"/>
    <w:rsid w:val="00EF3CF0"/>
    <w:rsid w:val="00EF4A18"/>
    <w:rsid w:val="00EF4D0F"/>
    <w:rsid w:val="00EF4EEC"/>
    <w:rsid w:val="00EF5238"/>
    <w:rsid w:val="00EF55F6"/>
    <w:rsid w:val="00EF5C3C"/>
    <w:rsid w:val="00EF5F5C"/>
    <w:rsid w:val="00EF610D"/>
    <w:rsid w:val="00EF62C2"/>
    <w:rsid w:val="00EF69C7"/>
    <w:rsid w:val="00EF6B8A"/>
    <w:rsid w:val="00EF6DFA"/>
    <w:rsid w:val="00EF710D"/>
    <w:rsid w:val="00EF7121"/>
    <w:rsid w:val="00EF7167"/>
    <w:rsid w:val="00EF72BD"/>
    <w:rsid w:val="00EF7691"/>
    <w:rsid w:val="00EF7C2B"/>
    <w:rsid w:val="00EF7E32"/>
    <w:rsid w:val="00F002B3"/>
    <w:rsid w:val="00F005FD"/>
    <w:rsid w:val="00F00756"/>
    <w:rsid w:val="00F007DE"/>
    <w:rsid w:val="00F00800"/>
    <w:rsid w:val="00F0086B"/>
    <w:rsid w:val="00F0098D"/>
    <w:rsid w:val="00F00E1A"/>
    <w:rsid w:val="00F01233"/>
    <w:rsid w:val="00F01359"/>
    <w:rsid w:val="00F01676"/>
    <w:rsid w:val="00F01749"/>
    <w:rsid w:val="00F01824"/>
    <w:rsid w:val="00F01DF9"/>
    <w:rsid w:val="00F02898"/>
    <w:rsid w:val="00F02914"/>
    <w:rsid w:val="00F02AAD"/>
    <w:rsid w:val="00F02ADF"/>
    <w:rsid w:val="00F0336E"/>
    <w:rsid w:val="00F03C70"/>
    <w:rsid w:val="00F04112"/>
    <w:rsid w:val="00F046D3"/>
    <w:rsid w:val="00F04B33"/>
    <w:rsid w:val="00F0531A"/>
    <w:rsid w:val="00F05589"/>
    <w:rsid w:val="00F06189"/>
    <w:rsid w:val="00F06390"/>
    <w:rsid w:val="00F06558"/>
    <w:rsid w:val="00F06E4F"/>
    <w:rsid w:val="00F07327"/>
    <w:rsid w:val="00F10171"/>
    <w:rsid w:val="00F1025E"/>
    <w:rsid w:val="00F10577"/>
    <w:rsid w:val="00F107AC"/>
    <w:rsid w:val="00F107EB"/>
    <w:rsid w:val="00F10920"/>
    <w:rsid w:val="00F10D84"/>
    <w:rsid w:val="00F115BB"/>
    <w:rsid w:val="00F117D8"/>
    <w:rsid w:val="00F11CE5"/>
    <w:rsid w:val="00F123FE"/>
    <w:rsid w:val="00F12E44"/>
    <w:rsid w:val="00F12ECA"/>
    <w:rsid w:val="00F13180"/>
    <w:rsid w:val="00F13559"/>
    <w:rsid w:val="00F1411B"/>
    <w:rsid w:val="00F14637"/>
    <w:rsid w:val="00F14D9A"/>
    <w:rsid w:val="00F14E62"/>
    <w:rsid w:val="00F15063"/>
    <w:rsid w:val="00F153CB"/>
    <w:rsid w:val="00F16B03"/>
    <w:rsid w:val="00F16B96"/>
    <w:rsid w:val="00F16E9F"/>
    <w:rsid w:val="00F170CE"/>
    <w:rsid w:val="00F1789B"/>
    <w:rsid w:val="00F17CBF"/>
    <w:rsid w:val="00F2097F"/>
    <w:rsid w:val="00F20A06"/>
    <w:rsid w:val="00F20C5C"/>
    <w:rsid w:val="00F20F44"/>
    <w:rsid w:val="00F21157"/>
    <w:rsid w:val="00F216D2"/>
    <w:rsid w:val="00F22728"/>
    <w:rsid w:val="00F22966"/>
    <w:rsid w:val="00F22D9D"/>
    <w:rsid w:val="00F2329F"/>
    <w:rsid w:val="00F23354"/>
    <w:rsid w:val="00F23696"/>
    <w:rsid w:val="00F23941"/>
    <w:rsid w:val="00F244C4"/>
    <w:rsid w:val="00F24AFA"/>
    <w:rsid w:val="00F24E72"/>
    <w:rsid w:val="00F24FFF"/>
    <w:rsid w:val="00F250B0"/>
    <w:rsid w:val="00F251C6"/>
    <w:rsid w:val="00F2520A"/>
    <w:rsid w:val="00F25D85"/>
    <w:rsid w:val="00F260CA"/>
    <w:rsid w:val="00F2662C"/>
    <w:rsid w:val="00F26A3A"/>
    <w:rsid w:val="00F26BAF"/>
    <w:rsid w:val="00F27364"/>
    <w:rsid w:val="00F274F6"/>
    <w:rsid w:val="00F27AE1"/>
    <w:rsid w:val="00F302BC"/>
    <w:rsid w:val="00F30762"/>
    <w:rsid w:val="00F30795"/>
    <w:rsid w:val="00F30AB1"/>
    <w:rsid w:val="00F31078"/>
    <w:rsid w:val="00F311F1"/>
    <w:rsid w:val="00F31929"/>
    <w:rsid w:val="00F32B0C"/>
    <w:rsid w:val="00F32F10"/>
    <w:rsid w:val="00F33194"/>
    <w:rsid w:val="00F33DE4"/>
    <w:rsid w:val="00F33FEC"/>
    <w:rsid w:val="00F34D9F"/>
    <w:rsid w:val="00F35293"/>
    <w:rsid w:val="00F3540F"/>
    <w:rsid w:val="00F355FD"/>
    <w:rsid w:val="00F35734"/>
    <w:rsid w:val="00F35989"/>
    <w:rsid w:val="00F36977"/>
    <w:rsid w:val="00F36A8D"/>
    <w:rsid w:val="00F374AD"/>
    <w:rsid w:val="00F378A3"/>
    <w:rsid w:val="00F378FF"/>
    <w:rsid w:val="00F37967"/>
    <w:rsid w:val="00F37BEE"/>
    <w:rsid w:val="00F40269"/>
    <w:rsid w:val="00F40927"/>
    <w:rsid w:val="00F4126A"/>
    <w:rsid w:val="00F41427"/>
    <w:rsid w:val="00F419FE"/>
    <w:rsid w:val="00F41A35"/>
    <w:rsid w:val="00F41BF7"/>
    <w:rsid w:val="00F41DAB"/>
    <w:rsid w:val="00F4227A"/>
    <w:rsid w:val="00F42406"/>
    <w:rsid w:val="00F42779"/>
    <w:rsid w:val="00F42E3B"/>
    <w:rsid w:val="00F43893"/>
    <w:rsid w:val="00F43C85"/>
    <w:rsid w:val="00F43EBF"/>
    <w:rsid w:val="00F43F09"/>
    <w:rsid w:val="00F43F5A"/>
    <w:rsid w:val="00F43F62"/>
    <w:rsid w:val="00F447E4"/>
    <w:rsid w:val="00F44E19"/>
    <w:rsid w:val="00F44F9C"/>
    <w:rsid w:val="00F44FAD"/>
    <w:rsid w:val="00F452C0"/>
    <w:rsid w:val="00F456BD"/>
    <w:rsid w:val="00F4583C"/>
    <w:rsid w:val="00F4653A"/>
    <w:rsid w:val="00F465A5"/>
    <w:rsid w:val="00F466D1"/>
    <w:rsid w:val="00F46ACF"/>
    <w:rsid w:val="00F46C28"/>
    <w:rsid w:val="00F4713B"/>
    <w:rsid w:val="00F47593"/>
    <w:rsid w:val="00F478DA"/>
    <w:rsid w:val="00F47B52"/>
    <w:rsid w:val="00F50DFC"/>
    <w:rsid w:val="00F517F7"/>
    <w:rsid w:val="00F51835"/>
    <w:rsid w:val="00F51B81"/>
    <w:rsid w:val="00F5260B"/>
    <w:rsid w:val="00F52700"/>
    <w:rsid w:val="00F52C74"/>
    <w:rsid w:val="00F52E43"/>
    <w:rsid w:val="00F536E2"/>
    <w:rsid w:val="00F538C5"/>
    <w:rsid w:val="00F53E2F"/>
    <w:rsid w:val="00F54139"/>
    <w:rsid w:val="00F54EEB"/>
    <w:rsid w:val="00F55D1A"/>
    <w:rsid w:val="00F5620C"/>
    <w:rsid w:val="00F57E82"/>
    <w:rsid w:val="00F60975"/>
    <w:rsid w:val="00F61270"/>
    <w:rsid w:val="00F615A7"/>
    <w:rsid w:val="00F61E90"/>
    <w:rsid w:val="00F62135"/>
    <w:rsid w:val="00F6249B"/>
    <w:rsid w:val="00F6272D"/>
    <w:rsid w:val="00F62E74"/>
    <w:rsid w:val="00F62FBD"/>
    <w:rsid w:val="00F63615"/>
    <w:rsid w:val="00F63C5B"/>
    <w:rsid w:val="00F63F30"/>
    <w:rsid w:val="00F64470"/>
    <w:rsid w:val="00F6483F"/>
    <w:rsid w:val="00F64A8E"/>
    <w:rsid w:val="00F64AA9"/>
    <w:rsid w:val="00F65885"/>
    <w:rsid w:val="00F65D81"/>
    <w:rsid w:val="00F661CE"/>
    <w:rsid w:val="00F6628A"/>
    <w:rsid w:val="00F663F4"/>
    <w:rsid w:val="00F666F0"/>
    <w:rsid w:val="00F66847"/>
    <w:rsid w:val="00F66D76"/>
    <w:rsid w:val="00F66D7E"/>
    <w:rsid w:val="00F67037"/>
    <w:rsid w:val="00F67B6F"/>
    <w:rsid w:val="00F67BE2"/>
    <w:rsid w:val="00F67C70"/>
    <w:rsid w:val="00F67E1D"/>
    <w:rsid w:val="00F704F9"/>
    <w:rsid w:val="00F70835"/>
    <w:rsid w:val="00F70AC1"/>
    <w:rsid w:val="00F70F07"/>
    <w:rsid w:val="00F7119C"/>
    <w:rsid w:val="00F71FAF"/>
    <w:rsid w:val="00F72461"/>
    <w:rsid w:val="00F72789"/>
    <w:rsid w:val="00F72BE8"/>
    <w:rsid w:val="00F72C02"/>
    <w:rsid w:val="00F72CA6"/>
    <w:rsid w:val="00F735A6"/>
    <w:rsid w:val="00F73BA2"/>
    <w:rsid w:val="00F74221"/>
    <w:rsid w:val="00F74559"/>
    <w:rsid w:val="00F754BB"/>
    <w:rsid w:val="00F75AAE"/>
    <w:rsid w:val="00F7603A"/>
    <w:rsid w:val="00F76138"/>
    <w:rsid w:val="00F76160"/>
    <w:rsid w:val="00F764EF"/>
    <w:rsid w:val="00F76890"/>
    <w:rsid w:val="00F76B2B"/>
    <w:rsid w:val="00F76C3C"/>
    <w:rsid w:val="00F76F3B"/>
    <w:rsid w:val="00F7702E"/>
    <w:rsid w:val="00F80E4E"/>
    <w:rsid w:val="00F81408"/>
    <w:rsid w:val="00F81F17"/>
    <w:rsid w:val="00F82190"/>
    <w:rsid w:val="00F82506"/>
    <w:rsid w:val="00F82D6C"/>
    <w:rsid w:val="00F82DA8"/>
    <w:rsid w:val="00F82F51"/>
    <w:rsid w:val="00F82FD8"/>
    <w:rsid w:val="00F83935"/>
    <w:rsid w:val="00F83C11"/>
    <w:rsid w:val="00F840A0"/>
    <w:rsid w:val="00F842CC"/>
    <w:rsid w:val="00F84704"/>
    <w:rsid w:val="00F84B73"/>
    <w:rsid w:val="00F85206"/>
    <w:rsid w:val="00F855A8"/>
    <w:rsid w:val="00F855F9"/>
    <w:rsid w:val="00F861FE"/>
    <w:rsid w:val="00F86516"/>
    <w:rsid w:val="00F8674E"/>
    <w:rsid w:val="00F87011"/>
    <w:rsid w:val="00F8760D"/>
    <w:rsid w:val="00F87946"/>
    <w:rsid w:val="00F87A23"/>
    <w:rsid w:val="00F87CC2"/>
    <w:rsid w:val="00F87E1A"/>
    <w:rsid w:val="00F9052C"/>
    <w:rsid w:val="00F90FBA"/>
    <w:rsid w:val="00F9135C"/>
    <w:rsid w:val="00F91E11"/>
    <w:rsid w:val="00F91FD9"/>
    <w:rsid w:val="00F92607"/>
    <w:rsid w:val="00F92BB2"/>
    <w:rsid w:val="00F93355"/>
    <w:rsid w:val="00F933BF"/>
    <w:rsid w:val="00F93D97"/>
    <w:rsid w:val="00F93DD9"/>
    <w:rsid w:val="00F93E0C"/>
    <w:rsid w:val="00F94D12"/>
    <w:rsid w:val="00F94D91"/>
    <w:rsid w:val="00F950B9"/>
    <w:rsid w:val="00F950FC"/>
    <w:rsid w:val="00F95CE4"/>
    <w:rsid w:val="00F963FF"/>
    <w:rsid w:val="00F9661E"/>
    <w:rsid w:val="00F96954"/>
    <w:rsid w:val="00F96DF9"/>
    <w:rsid w:val="00F96EE8"/>
    <w:rsid w:val="00F97051"/>
    <w:rsid w:val="00FA0045"/>
    <w:rsid w:val="00FA0973"/>
    <w:rsid w:val="00FA0A76"/>
    <w:rsid w:val="00FA0F6D"/>
    <w:rsid w:val="00FA1163"/>
    <w:rsid w:val="00FA13FE"/>
    <w:rsid w:val="00FA1B6A"/>
    <w:rsid w:val="00FA23CB"/>
    <w:rsid w:val="00FA32C8"/>
    <w:rsid w:val="00FA3C76"/>
    <w:rsid w:val="00FA3CBE"/>
    <w:rsid w:val="00FA3DB2"/>
    <w:rsid w:val="00FA407E"/>
    <w:rsid w:val="00FA43A1"/>
    <w:rsid w:val="00FA4525"/>
    <w:rsid w:val="00FA467C"/>
    <w:rsid w:val="00FA4E58"/>
    <w:rsid w:val="00FA4E6F"/>
    <w:rsid w:val="00FA507D"/>
    <w:rsid w:val="00FA5ED1"/>
    <w:rsid w:val="00FA5F8C"/>
    <w:rsid w:val="00FA60EB"/>
    <w:rsid w:val="00FA63D7"/>
    <w:rsid w:val="00FA6EB1"/>
    <w:rsid w:val="00FA7319"/>
    <w:rsid w:val="00FA7961"/>
    <w:rsid w:val="00FB01A8"/>
    <w:rsid w:val="00FB0622"/>
    <w:rsid w:val="00FB0A61"/>
    <w:rsid w:val="00FB186B"/>
    <w:rsid w:val="00FB1B7A"/>
    <w:rsid w:val="00FB1CD7"/>
    <w:rsid w:val="00FB1CE0"/>
    <w:rsid w:val="00FB2644"/>
    <w:rsid w:val="00FB2983"/>
    <w:rsid w:val="00FB2CF8"/>
    <w:rsid w:val="00FB305F"/>
    <w:rsid w:val="00FB317F"/>
    <w:rsid w:val="00FB3444"/>
    <w:rsid w:val="00FB35CD"/>
    <w:rsid w:val="00FB3C0F"/>
    <w:rsid w:val="00FB3F64"/>
    <w:rsid w:val="00FB422E"/>
    <w:rsid w:val="00FB42D6"/>
    <w:rsid w:val="00FB52C2"/>
    <w:rsid w:val="00FB56B6"/>
    <w:rsid w:val="00FB58FA"/>
    <w:rsid w:val="00FB746A"/>
    <w:rsid w:val="00FB75A2"/>
    <w:rsid w:val="00FB764B"/>
    <w:rsid w:val="00FB7DE3"/>
    <w:rsid w:val="00FC006E"/>
    <w:rsid w:val="00FC05EA"/>
    <w:rsid w:val="00FC0BF6"/>
    <w:rsid w:val="00FC1539"/>
    <w:rsid w:val="00FC1E28"/>
    <w:rsid w:val="00FC231F"/>
    <w:rsid w:val="00FC2B68"/>
    <w:rsid w:val="00FC313B"/>
    <w:rsid w:val="00FC329B"/>
    <w:rsid w:val="00FC34C8"/>
    <w:rsid w:val="00FC35CD"/>
    <w:rsid w:val="00FC3935"/>
    <w:rsid w:val="00FC39CD"/>
    <w:rsid w:val="00FC3A6B"/>
    <w:rsid w:val="00FC5235"/>
    <w:rsid w:val="00FC5279"/>
    <w:rsid w:val="00FC533C"/>
    <w:rsid w:val="00FC5406"/>
    <w:rsid w:val="00FC5D78"/>
    <w:rsid w:val="00FC5DC0"/>
    <w:rsid w:val="00FC6109"/>
    <w:rsid w:val="00FC6512"/>
    <w:rsid w:val="00FC6A26"/>
    <w:rsid w:val="00FC6E2C"/>
    <w:rsid w:val="00FC708C"/>
    <w:rsid w:val="00FC73F0"/>
    <w:rsid w:val="00FC7CEC"/>
    <w:rsid w:val="00FD1138"/>
    <w:rsid w:val="00FD138E"/>
    <w:rsid w:val="00FD1618"/>
    <w:rsid w:val="00FD1D81"/>
    <w:rsid w:val="00FD1DE3"/>
    <w:rsid w:val="00FD21AB"/>
    <w:rsid w:val="00FD2AB9"/>
    <w:rsid w:val="00FD2D29"/>
    <w:rsid w:val="00FD3242"/>
    <w:rsid w:val="00FD4042"/>
    <w:rsid w:val="00FD4AA4"/>
    <w:rsid w:val="00FD4B65"/>
    <w:rsid w:val="00FD521F"/>
    <w:rsid w:val="00FD561C"/>
    <w:rsid w:val="00FD5905"/>
    <w:rsid w:val="00FD5A02"/>
    <w:rsid w:val="00FD6369"/>
    <w:rsid w:val="00FD63BC"/>
    <w:rsid w:val="00FD6A0F"/>
    <w:rsid w:val="00FD712E"/>
    <w:rsid w:val="00FD7389"/>
    <w:rsid w:val="00FD795D"/>
    <w:rsid w:val="00FD7A24"/>
    <w:rsid w:val="00FD7CD2"/>
    <w:rsid w:val="00FE045E"/>
    <w:rsid w:val="00FE04C3"/>
    <w:rsid w:val="00FE077A"/>
    <w:rsid w:val="00FE09E4"/>
    <w:rsid w:val="00FE09F3"/>
    <w:rsid w:val="00FE1846"/>
    <w:rsid w:val="00FE1EDA"/>
    <w:rsid w:val="00FE215F"/>
    <w:rsid w:val="00FE2194"/>
    <w:rsid w:val="00FE2FCC"/>
    <w:rsid w:val="00FE3018"/>
    <w:rsid w:val="00FE3165"/>
    <w:rsid w:val="00FE31DF"/>
    <w:rsid w:val="00FE3A38"/>
    <w:rsid w:val="00FE45FA"/>
    <w:rsid w:val="00FE464A"/>
    <w:rsid w:val="00FE4A7E"/>
    <w:rsid w:val="00FE5DA0"/>
    <w:rsid w:val="00FE5DFD"/>
    <w:rsid w:val="00FE5E86"/>
    <w:rsid w:val="00FE5FD9"/>
    <w:rsid w:val="00FE6030"/>
    <w:rsid w:val="00FE6206"/>
    <w:rsid w:val="00FE6F3E"/>
    <w:rsid w:val="00FE7534"/>
    <w:rsid w:val="00FE7A99"/>
    <w:rsid w:val="00FE7B40"/>
    <w:rsid w:val="00FE7EC3"/>
    <w:rsid w:val="00FF01ED"/>
    <w:rsid w:val="00FF0332"/>
    <w:rsid w:val="00FF094B"/>
    <w:rsid w:val="00FF1182"/>
    <w:rsid w:val="00FF1259"/>
    <w:rsid w:val="00FF1966"/>
    <w:rsid w:val="00FF25C5"/>
    <w:rsid w:val="00FF2916"/>
    <w:rsid w:val="00FF2EDB"/>
    <w:rsid w:val="00FF2FFA"/>
    <w:rsid w:val="00FF32A2"/>
    <w:rsid w:val="00FF32AA"/>
    <w:rsid w:val="00FF373D"/>
    <w:rsid w:val="00FF3F8B"/>
    <w:rsid w:val="00FF43BF"/>
    <w:rsid w:val="00FF4C4D"/>
    <w:rsid w:val="00FF58F2"/>
    <w:rsid w:val="00FF59BE"/>
    <w:rsid w:val="00FF5CE2"/>
    <w:rsid w:val="00FF5F79"/>
    <w:rsid w:val="00FF621A"/>
    <w:rsid w:val="00FF6261"/>
    <w:rsid w:val="00FF6A0B"/>
    <w:rsid w:val="00FF72C0"/>
    <w:rsid w:val="00FF7F99"/>
    <w:rsid w:val="046B0762"/>
    <w:rsid w:val="05A3EC37"/>
    <w:rsid w:val="09B05430"/>
    <w:rsid w:val="0C456EAC"/>
    <w:rsid w:val="22320925"/>
    <w:rsid w:val="22AF8C21"/>
    <w:rsid w:val="265F8E6B"/>
    <w:rsid w:val="2A1514BB"/>
    <w:rsid w:val="32A234D3"/>
    <w:rsid w:val="33F98F7B"/>
    <w:rsid w:val="3411FCB9"/>
    <w:rsid w:val="34881947"/>
    <w:rsid w:val="34C5690B"/>
    <w:rsid w:val="37EAE9CE"/>
    <w:rsid w:val="384A35FD"/>
    <w:rsid w:val="3C90779E"/>
    <w:rsid w:val="3D9FD197"/>
    <w:rsid w:val="3EF5E409"/>
    <w:rsid w:val="4277F653"/>
    <w:rsid w:val="4793DE84"/>
    <w:rsid w:val="51D42B67"/>
    <w:rsid w:val="55B74BDF"/>
    <w:rsid w:val="55CF6A6C"/>
    <w:rsid w:val="6F2D73E8"/>
    <w:rsid w:val="72D542B3"/>
    <w:rsid w:val="77DB6984"/>
    <w:rsid w:val="786128CC"/>
    <w:rsid w:val="7909730C"/>
    <w:rsid w:val="7AE289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2B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74"/>
    <w:pPr>
      <w:spacing w:before="160" w:line="336" w:lineRule="auto"/>
    </w:pPr>
    <w:rPr>
      <w:lang w:val="en-AU"/>
    </w:rPr>
  </w:style>
  <w:style w:type="paragraph" w:styleId="Heading1">
    <w:name w:val="heading 1"/>
    <w:basedOn w:val="Normal"/>
    <w:next w:val="Normal"/>
    <w:link w:val="Heading1Char"/>
    <w:uiPriority w:val="9"/>
    <w:qFormat/>
    <w:rsid w:val="002E7385"/>
    <w:pPr>
      <w:keepNext/>
      <w:keepLines/>
      <w:pageBreakBefore/>
      <w:spacing w:before="240" w:after="320"/>
      <w:outlineLvl w:val="0"/>
    </w:pPr>
    <w:rPr>
      <w:rFonts w:ascii="Tahoma" w:eastAsiaTheme="majorEastAsia" w:hAnsi="Tahoma" w:cstheme="majorBidi"/>
      <w:color w:val="CE0058" w:themeColor="accent2"/>
      <w:sz w:val="40"/>
      <w:szCs w:val="32"/>
    </w:rPr>
  </w:style>
  <w:style w:type="paragraph" w:styleId="Heading2">
    <w:name w:val="heading 2"/>
    <w:basedOn w:val="Normal"/>
    <w:next w:val="Normal"/>
    <w:link w:val="Heading2Char"/>
    <w:uiPriority w:val="9"/>
    <w:unhideWhenUsed/>
    <w:qFormat/>
    <w:rsid w:val="002E7385"/>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2E7385"/>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2E7385"/>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semiHidden/>
    <w:unhideWhenUsed/>
    <w:rsid w:val="006A0547"/>
    <w:pPr>
      <w:keepNext/>
      <w:keepLines/>
      <w:spacing w:before="200" w:after="0"/>
      <w:outlineLvl w:val="4"/>
    </w:pPr>
    <w:rPr>
      <w:rFonts w:asciiTheme="majorHAnsi" w:eastAsiaTheme="majorEastAsia" w:hAnsiTheme="majorHAnsi" w:cstheme="majorBidi"/>
      <w: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E03FA"/>
    <w:pPr>
      <w:tabs>
        <w:tab w:val="center" w:pos="4680"/>
        <w:tab w:val="right" w:pos="9360"/>
      </w:tabs>
      <w:spacing w:after="0"/>
    </w:pPr>
  </w:style>
  <w:style w:type="character" w:customStyle="1" w:styleId="HeaderChar">
    <w:name w:val="Header Char"/>
    <w:basedOn w:val="DefaultParagraphFont"/>
    <w:link w:val="Header"/>
    <w:uiPriority w:val="99"/>
    <w:rsid w:val="00812056"/>
    <w:rPr>
      <w:lang w:val="en-AU"/>
    </w:rPr>
  </w:style>
  <w:style w:type="paragraph" w:styleId="Footer">
    <w:name w:val="footer"/>
    <w:basedOn w:val="Normal"/>
    <w:link w:val="FooterChar"/>
    <w:uiPriority w:val="99"/>
    <w:unhideWhenUsed/>
    <w:rsid w:val="00CF34D6"/>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CF34D6"/>
    <w:rPr>
      <w:color w:val="75787B" w:themeColor="background2"/>
    </w:rPr>
  </w:style>
  <w:style w:type="paragraph" w:styleId="Title">
    <w:name w:val="Title"/>
    <w:basedOn w:val="Normal"/>
    <w:next w:val="Normal"/>
    <w:link w:val="TitleChar"/>
    <w:uiPriority w:val="10"/>
    <w:qFormat/>
    <w:rsid w:val="002E7385"/>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rsid w:val="00812056"/>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2E7385"/>
    <w:pPr>
      <w:numPr>
        <w:ilvl w:val="1"/>
      </w:numPr>
      <w:spacing w:after="240"/>
    </w:pPr>
    <w:rPr>
      <w:rFonts w:ascii="Tahoma" w:eastAsiaTheme="minorEastAsia" w:hAnsi="Tahoma"/>
      <w:color w:val="75787B" w:themeColor="background2"/>
      <w:sz w:val="28"/>
    </w:rPr>
  </w:style>
  <w:style w:type="character" w:customStyle="1" w:styleId="SubtitleChar">
    <w:name w:val="Subtitle Char"/>
    <w:basedOn w:val="DefaultParagraphFont"/>
    <w:link w:val="Subtitle"/>
    <w:uiPriority w:val="11"/>
    <w:rsid w:val="002E7385"/>
    <w:rPr>
      <w:rFonts w:ascii="Tahoma" w:eastAsiaTheme="minorEastAsia" w:hAnsi="Tahom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CE0058" w:themeFill="accent2"/>
      <w:vAlign w:val="center"/>
    </w:tcPr>
    <w:tblStylePr w:type="firstCol">
      <w:tblPr/>
      <w:tcPr>
        <w:shd w:val="clear" w:color="auto" w:fill="CE0058" w:themeFill="accent2"/>
      </w:tcPr>
    </w:tblStylePr>
  </w:style>
  <w:style w:type="character" w:customStyle="1" w:styleId="Heading1Char">
    <w:name w:val="Heading 1 Char"/>
    <w:basedOn w:val="DefaultParagraphFont"/>
    <w:link w:val="Heading1"/>
    <w:uiPriority w:val="9"/>
    <w:rsid w:val="002E7385"/>
    <w:rPr>
      <w:rFonts w:ascii="Tahoma" w:eastAsiaTheme="majorEastAsia" w:hAnsi="Tahoma" w:cstheme="majorBidi"/>
      <w:color w:val="CE0058" w:themeColor="accent2"/>
      <w:sz w:val="40"/>
      <w:szCs w:val="32"/>
    </w:rPr>
  </w:style>
  <w:style w:type="character" w:customStyle="1" w:styleId="Heading2Char">
    <w:name w:val="Heading 2 Char"/>
    <w:basedOn w:val="DefaultParagraphFont"/>
    <w:link w:val="Heading2"/>
    <w:uiPriority w:val="9"/>
    <w:rsid w:val="002E7385"/>
    <w:rPr>
      <w:rFonts w:ascii="Tahoma" w:eastAsiaTheme="majorEastAsia" w:hAnsi="Tahoma" w:cstheme="majorBidi"/>
      <w:b/>
      <w:sz w:val="26"/>
      <w:szCs w:val="26"/>
    </w:rPr>
  </w:style>
  <w:style w:type="paragraph" w:styleId="ListBullet">
    <w:name w:val="List Bullet"/>
    <w:basedOn w:val="Normal"/>
    <w:link w:val="ListBulletChar"/>
    <w:uiPriority w:val="99"/>
    <w:unhideWhenUsed/>
    <w:qFormat/>
    <w:rsid w:val="00DC2B59"/>
    <w:pPr>
      <w:numPr>
        <w:numId w:val="1"/>
      </w:numPr>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pPr>
      <w:numPr>
        <w:numId w:val="42"/>
      </w:numPr>
    </w:pPr>
  </w:style>
  <w:style w:type="paragraph" w:customStyle="1" w:styleId="Heading2numbered">
    <w:name w:val="Heading 2 numbered"/>
    <w:basedOn w:val="Heading2"/>
    <w:next w:val="Normal"/>
    <w:qFormat/>
    <w:rsid w:val="005F5578"/>
    <w:pPr>
      <w:numPr>
        <w:ilvl w:val="1"/>
        <w:numId w:val="42"/>
      </w:numPr>
    </w:pPr>
  </w:style>
  <w:style w:type="numbering" w:customStyle="1" w:styleId="Bullet">
    <w:name w:val="Bullet"/>
    <w:uiPriority w:val="99"/>
    <w:rsid w:val="00DC2B59"/>
    <w:pPr>
      <w:numPr>
        <w:numId w:val="2"/>
      </w:numPr>
    </w:pPr>
  </w:style>
  <w:style w:type="numbering" w:customStyle="1" w:styleId="NumberedHeadings">
    <w:name w:val="Numbered Headings"/>
    <w:uiPriority w:val="99"/>
    <w:rsid w:val="005F5578"/>
    <w:pPr>
      <w:numPr>
        <w:numId w:val="3"/>
      </w:numPr>
    </w:pPr>
  </w:style>
  <w:style w:type="paragraph" w:styleId="ListBullet2">
    <w:name w:val="List Bullet 2"/>
    <w:basedOn w:val="Normal"/>
    <w:link w:val="ListBullet2Char"/>
    <w:uiPriority w:val="99"/>
    <w:unhideWhenUsed/>
    <w:qFormat/>
    <w:rsid w:val="00DC2B59"/>
    <w:pPr>
      <w:numPr>
        <w:ilvl w:val="1"/>
        <w:numId w:val="2"/>
      </w:numPr>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812056"/>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CE0058" w:themeFill="accent2"/>
    </w:rPr>
  </w:style>
  <w:style w:type="paragraph" w:customStyle="1" w:styleId="Pull-out">
    <w:name w:val="Pull-out"/>
    <w:basedOn w:val="Normal"/>
    <w:link w:val="Pull-outChar"/>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2E7385"/>
    <w:rPr>
      <w:rFonts w:ascii="Tahoma" w:eastAsiaTheme="majorEastAsia" w:hAnsi="Tahoma" w:cstheme="majorBidi"/>
      <w:b/>
      <w:color w:val="4986A0" w:themeColor="text2"/>
      <w:szCs w:val="24"/>
    </w:rPr>
  </w:style>
  <w:style w:type="paragraph" w:styleId="TOC2">
    <w:name w:val="toc 2"/>
    <w:basedOn w:val="TOC1"/>
    <w:next w:val="Normal"/>
    <w:autoRedefine/>
    <w:uiPriority w:val="39"/>
    <w:rsid w:val="00936B74"/>
    <w:pPr>
      <w:ind w:left="568" w:hanging="284"/>
    </w:pPr>
    <w:rPr>
      <w:b w:val="0"/>
      <w:noProof/>
    </w:rPr>
  </w:style>
  <w:style w:type="paragraph" w:styleId="TOC1">
    <w:name w:val="toc 1"/>
    <w:basedOn w:val="Normal"/>
    <w:next w:val="Normal"/>
    <w:autoRedefine/>
    <w:uiPriority w:val="39"/>
    <w:rsid w:val="00936B74"/>
    <w:pPr>
      <w:tabs>
        <w:tab w:val="right" w:pos="9582"/>
      </w:tabs>
      <w:spacing w:before="40" w:after="40" w:line="288" w:lineRule="auto"/>
      <w:ind w:right="567"/>
      <w:contextualSpacing/>
    </w:pPr>
    <w:rPr>
      <w:b/>
    </w:rPr>
  </w:style>
  <w:style w:type="character" w:styleId="Hyperlink">
    <w:name w:val="Hyperlink"/>
    <w:basedOn w:val="DefaultParagraphFont"/>
    <w:uiPriority w:val="99"/>
    <w:unhideWhenUsed/>
    <w:rsid w:val="00F40927"/>
    <w:rPr>
      <w:color w:val="0000FF"/>
      <w:u w:val="single"/>
    </w:rPr>
  </w:style>
  <w:style w:type="paragraph" w:styleId="TOCHeading">
    <w:name w:val="TOC Heading"/>
    <w:next w:val="Normal"/>
    <w:uiPriority w:val="39"/>
    <w:unhideWhenUsed/>
    <w:qFormat/>
    <w:rsid w:val="002E7385"/>
    <w:pPr>
      <w:spacing w:before="240" w:after="320" w:line="240" w:lineRule="auto"/>
    </w:pPr>
    <w:rPr>
      <w:rFonts w:ascii="Tahoma" w:eastAsiaTheme="majorEastAsia" w:hAnsi="Tahoma" w:cstheme="majorBidi"/>
      <w:color w:val="CE0058" w:themeColor="accent2"/>
      <w:sz w:val="40"/>
      <w:szCs w:val="32"/>
    </w:rPr>
  </w:style>
  <w:style w:type="character" w:styleId="Strong">
    <w:name w:val="Strong"/>
    <w:basedOn w:val="DefaultParagraphFont"/>
    <w:uiPriority w:val="22"/>
    <w:qFormat/>
    <w:rsid w:val="00710792"/>
    <w:rPr>
      <w:b/>
      <w:bCs/>
    </w:rPr>
  </w:style>
  <w:style w:type="paragraph" w:styleId="ListParagraph">
    <w:name w:val="List Paragraph"/>
    <w:basedOn w:val="Normal"/>
    <w:uiPriority w:val="34"/>
    <w:qFormat/>
    <w:rsid w:val="00DC2B59"/>
    <w:pPr>
      <w:numPr>
        <w:ilvl w:val="2"/>
        <w:numId w:val="2"/>
      </w:numPr>
      <w:contextualSpacing/>
    </w:pPr>
  </w:style>
  <w:style w:type="paragraph" w:styleId="ListBullet3">
    <w:name w:val="List Bullet 3"/>
    <w:basedOn w:val="Normal"/>
    <w:uiPriority w:val="99"/>
    <w:unhideWhenUsed/>
    <w:rsid w:val="00DC2B59"/>
    <w:pPr>
      <w:numPr>
        <w:ilvl w:val="3"/>
        <w:numId w:val="2"/>
      </w:numPr>
      <w:contextualSpacing/>
    </w:pPr>
  </w:style>
  <w:style w:type="paragraph" w:styleId="ListNumber">
    <w:name w:val="List Number"/>
    <w:basedOn w:val="Normal"/>
    <w:uiPriority w:val="99"/>
    <w:unhideWhenUsed/>
    <w:rsid w:val="006F29EA"/>
    <w:pPr>
      <w:numPr>
        <w:numId w:val="6"/>
      </w:numPr>
      <w:contextualSpacing/>
    </w:pPr>
  </w:style>
  <w:style w:type="paragraph" w:styleId="ListNumber2">
    <w:name w:val="List Number 2"/>
    <w:basedOn w:val="Normal"/>
    <w:uiPriority w:val="99"/>
    <w:unhideWhenUsed/>
    <w:qFormat/>
    <w:rsid w:val="006F29EA"/>
    <w:pPr>
      <w:numPr>
        <w:ilvl w:val="1"/>
        <w:numId w:val="6"/>
      </w:numPr>
      <w:contextualSpacing/>
    </w:pPr>
  </w:style>
  <w:style w:type="numbering" w:customStyle="1" w:styleId="CustomNumberlist">
    <w:name w:val="Custom Number list"/>
    <w:uiPriority w:val="99"/>
    <w:rsid w:val="006F29EA"/>
    <w:pPr>
      <w:numPr>
        <w:numId w:val="4"/>
      </w:numPr>
    </w:pPr>
  </w:style>
  <w:style w:type="paragraph" w:customStyle="1" w:styleId="ListLetters0">
    <w:name w:val="List Letters"/>
    <w:link w:val="ListLettersChar"/>
    <w:qFormat/>
    <w:rsid w:val="00CF34D6"/>
    <w:pPr>
      <w:numPr>
        <w:numId w:val="7"/>
      </w:numPr>
      <w:spacing w:line="336" w:lineRule="auto"/>
      <w:contextualSpacing/>
    </w:pPr>
  </w:style>
  <w:style w:type="paragraph" w:styleId="ListNumber3">
    <w:name w:val="List Number 3"/>
    <w:basedOn w:val="Normal"/>
    <w:link w:val="ListNumber3Char"/>
    <w:uiPriority w:val="99"/>
    <w:unhideWhenUsed/>
    <w:qFormat/>
    <w:rsid w:val="006F29EA"/>
    <w:pPr>
      <w:numPr>
        <w:ilvl w:val="2"/>
        <w:numId w:val="6"/>
      </w:numPr>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CF34D6"/>
    <w:rPr>
      <w:lang w:val="en-AU"/>
    </w:rPr>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rsid w:val="00812056"/>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rsid w:val="00936B74"/>
    <w:pPr>
      <w:ind w:left="567"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E03B00"/>
    <w:pPr>
      <w:numPr>
        <w:numId w:val="19"/>
      </w:numPr>
      <w:spacing w:after="0"/>
    </w:pPr>
  </w:style>
  <w:style w:type="paragraph" w:customStyle="1" w:styleId="TableBullet2">
    <w:name w:val="Table Bullet 2"/>
    <w:basedOn w:val="ListBullet2"/>
    <w:link w:val="TableBullet2Char"/>
    <w:qFormat/>
    <w:rsid w:val="00E03B00"/>
    <w:pPr>
      <w:numPr>
        <w:numId w:val="19"/>
      </w:numPr>
      <w:spacing w:after="0"/>
    </w:pPr>
  </w:style>
  <w:style w:type="character" w:customStyle="1" w:styleId="ListBulletChar">
    <w:name w:val="List Bullet Char"/>
    <w:basedOn w:val="DefaultParagraphFont"/>
    <w:link w:val="ListBullet"/>
    <w:uiPriority w:val="99"/>
    <w:rsid w:val="00E03B00"/>
    <w:rPr>
      <w:lang w:val="en-AU"/>
    </w:rPr>
  </w:style>
  <w:style w:type="character" w:customStyle="1" w:styleId="TableBulletChar">
    <w:name w:val="Table Bullet Char"/>
    <w:basedOn w:val="ListBulletChar"/>
    <w:link w:val="TableBullet"/>
    <w:rsid w:val="00E03B00"/>
    <w:rPr>
      <w:lang w:val="en-AU"/>
    </w:rPr>
  </w:style>
  <w:style w:type="numbering" w:customStyle="1" w:styleId="TableBullets">
    <w:name w:val="Table Bullets"/>
    <w:uiPriority w:val="99"/>
    <w:rsid w:val="00E03B00"/>
    <w:pPr>
      <w:numPr>
        <w:numId w:val="5"/>
      </w:numPr>
    </w:pPr>
  </w:style>
  <w:style w:type="character" w:customStyle="1" w:styleId="ListBullet2Char">
    <w:name w:val="List Bullet 2 Char"/>
    <w:basedOn w:val="DefaultParagraphFont"/>
    <w:link w:val="ListBullet2"/>
    <w:uiPriority w:val="99"/>
    <w:rsid w:val="00E03B00"/>
    <w:rPr>
      <w:lang w:val="en-AU"/>
    </w:rPr>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basedOn w:val="Normal"/>
    <w:link w:val="FootnoteTextChar"/>
    <w:uiPriority w:val="99"/>
    <w:unhideWhenUsed/>
    <w:rsid w:val="00CF33F6"/>
    <w:pPr>
      <w:spacing w:after="0" w:line="240" w:lineRule="auto"/>
    </w:pPr>
    <w:rPr>
      <w:sz w:val="18"/>
      <w:szCs w:val="20"/>
    </w:rPr>
  </w:style>
  <w:style w:type="character" w:customStyle="1" w:styleId="FootnoteTextChar">
    <w:name w:val="Footnote Text Char"/>
    <w:basedOn w:val="DefaultParagraphFont"/>
    <w:link w:val="FootnoteText"/>
    <w:uiPriority w:val="99"/>
    <w:rsid w:val="00CF33F6"/>
    <w:rPr>
      <w:sz w:val="18"/>
      <w:szCs w:val="20"/>
    </w:rPr>
  </w:style>
  <w:style w:type="character" w:styleId="FootnoteReference">
    <w:name w:val="footnote reference"/>
    <w:basedOn w:val="DefaultParagraphFont"/>
    <w:uiPriority w:val="99"/>
    <w:semiHidden/>
    <w:unhideWhenUsed/>
    <w:rsid w:val="00E9393A"/>
    <w:rPr>
      <w:vertAlign w:val="superscript"/>
    </w:rPr>
  </w:style>
  <w:style w:type="paragraph" w:customStyle="1" w:styleId="Figure-Table-BoxHeading">
    <w:name w:val="Figure-Table-Box Heading"/>
    <w:link w:val="Figure-Table-BoxHeadingChar"/>
    <w:qFormat/>
    <w:rsid w:val="00CF34D6"/>
    <w:pPr>
      <w:numPr>
        <w:ilvl w:val="3"/>
        <w:numId w:val="42"/>
      </w:numPr>
      <w:spacing w:before="120" w:after="120" w:line="432" w:lineRule="auto"/>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numPr>
        <w:ilvl w:val="0"/>
        <w:numId w:val="0"/>
      </w:numPr>
      <w:ind w:left="851"/>
    </w:pPr>
    <w:rPr>
      <w:b w:val="0"/>
    </w:rPr>
  </w:style>
  <w:style w:type="character" w:customStyle="1" w:styleId="Figure-Table-BoxHeadingChar">
    <w:name w:val="Figure-Table-Box Heading Char"/>
    <w:basedOn w:val="Heading3Char"/>
    <w:link w:val="Figure-Table-BoxHeading"/>
    <w:rsid w:val="00CF34D6"/>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pPr>
      <w:numPr>
        <w:ilvl w:val="2"/>
        <w:numId w:val="42"/>
      </w:numPr>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aps w:val="0"/>
      <w:color w:val="4986A0" w:themeColor="text2"/>
      <w:szCs w:val="24"/>
    </w:rPr>
  </w:style>
  <w:style w:type="character" w:customStyle="1" w:styleId="Heading4Char">
    <w:name w:val="Heading 4 Char"/>
    <w:basedOn w:val="DefaultParagraphFont"/>
    <w:link w:val="Heading4"/>
    <w:uiPriority w:val="9"/>
    <w:rsid w:val="002E7385"/>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7"/>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link w:val="Pull-outHeadingChar"/>
    <w:qFormat/>
    <w:rsid w:val="00BD19DB"/>
    <w:rPr>
      <w:b/>
      <w:bCs/>
    </w:rPr>
  </w:style>
  <w:style w:type="paragraph" w:customStyle="1" w:styleId="Pull-outBullet1">
    <w:name w:val="Pull-out Bullet 1"/>
    <w:basedOn w:val="Pull-out"/>
    <w:qFormat/>
    <w:rsid w:val="00BD19DB"/>
    <w:pPr>
      <w:numPr>
        <w:numId w:val="8"/>
      </w:numPr>
    </w:pPr>
  </w:style>
  <w:style w:type="paragraph" w:customStyle="1" w:styleId="Pull-outBullet2">
    <w:name w:val="Pull-out Bullet 2"/>
    <w:basedOn w:val="Pull-outBullet1"/>
    <w:qFormat/>
    <w:rsid w:val="00BD19DB"/>
    <w:pPr>
      <w:numPr>
        <w:ilvl w:val="1"/>
      </w:numPr>
    </w:pPr>
  </w:style>
  <w:style w:type="paragraph" w:customStyle="1" w:styleId="Pull-outListNumber1">
    <w:name w:val="Pull-out List Number 1"/>
    <w:basedOn w:val="Pull-outBullet2"/>
    <w:qFormat/>
    <w:rsid w:val="00BD19DB"/>
    <w:pPr>
      <w:numPr>
        <w:ilvl w:val="2"/>
      </w:numPr>
    </w:pPr>
  </w:style>
  <w:style w:type="paragraph" w:customStyle="1" w:styleId="Pull-outListNumber2">
    <w:name w:val="Pull-out List Number 2"/>
    <w:basedOn w:val="Pull-outListNumber1"/>
    <w:qFormat/>
    <w:rsid w:val="00BD19DB"/>
    <w:pPr>
      <w:numPr>
        <w:ilvl w:val="3"/>
      </w:numPr>
    </w:pPr>
  </w:style>
  <w:style w:type="numbering" w:customStyle="1" w:styleId="Pull-outlists">
    <w:name w:val="Pull-out lists"/>
    <w:uiPriority w:val="99"/>
    <w:rsid w:val="00BD19DB"/>
    <w:pPr>
      <w:numPr>
        <w:numId w:val="8"/>
      </w:numPr>
    </w:pPr>
  </w:style>
  <w:style w:type="paragraph" w:styleId="TOC4">
    <w:name w:val="toc 4"/>
    <w:basedOn w:val="Normal"/>
    <w:next w:val="Normal"/>
    <w:autoRedefine/>
    <w:uiPriority w:val="39"/>
    <w:rsid w:val="00A211EB"/>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rsid w:val="00936B74"/>
    <w:pPr>
      <w:tabs>
        <w:tab w:val="right" w:pos="9582"/>
      </w:tabs>
      <w:spacing w:before="40" w:after="40" w:line="288" w:lineRule="auto"/>
      <w:ind w:left="851" w:right="567"/>
      <w:contextualSpacing/>
    </w:pPr>
  </w:style>
  <w:style w:type="paragraph" w:styleId="TOC6">
    <w:name w:val="toc 6"/>
    <w:basedOn w:val="Normal"/>
    <w:next w:val="Normal"/>
    <w:autoRedefine/>
    <w:uiPriority w:val="39"/>
    <w:rsid w:val="00936B74"/>
    <w:pPr>
      <w:tabs>
        <w:tab w:val="right" w:pos="9582"/>
      </w:tabs>
      <w:spacing w:before="40" w:after="40" w:line="288" w:lineRule="auto"/>
      <w:ind w:left="1702" w:right="567" w:hanging="851"/>
    </w:pPr>
  </w:style>
  <w:style w:type="character" w:customStyle="1" w:styleId="Heading5Char">
    <w:name w:val="Heading 5 Char"/>
    <w:basedOn w:val="DefaultParagraphFont"/>
    <w:link w:val="Heading5"/>
    <w:uiPriority w:val="9"/>
    <w:semiHidden/>
    <w:rsid w:val="006A0547"/>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F260CA"/>
    <w:rPr>
      <w:color w:val="FF4895" w:themeColor="accent2" w:themeTint="99"/>
    </w:rPr>
  </w:style>
  <w:style w:type="paragraph" w:styleId="TOC7">
    <w:name w:val="toc 7"/>
    <w:basedOn w:val="Normal"/>
    <w:next w:val="Normal"/>
    <w:autoRedefine/>
    <w:uiPriority w:val="39"/>
    <w:semiHidden/>
    <w:unhideWhenUsed/>
    <w:rsid w:val="00936B74"/>
    <w:pPr>
      <w:spacing w:before="40" w:after="40" w:line="288" w:lineRule="auto"/>
      <w:ind w:left="1321"/>
    </w:pPr>
  </w:style>
  <w:style w:type="paragraph" w:styleId="TOC8">
    <w:name w:val="toc 8"/>
    <w:basedOn w:val="Normal"/>
    <w:next w:val="Normal"/>
    <w:autoRedefine/>
    <w:uiPriority w:val="39"/>
    <w:semiHidden/>
    <w:unhideWhenUsed/>
    <w:rsid w:val="00936B74"/>
    <w:pPr>
      <w:spacing w:before="40" w:after="40" w:line="288" w:lineRule="auto"/>
      <w:ind w:left="1542"/>
    </w:pPr>
  </w:style>
  <w:style w:type="paragraph" w:styleId="TOC9">
    <w:name w:val="toc 9"/>
    <w:basedOn w:val="Normal"/>
    <w:next w:val="Normal"/>
    <w:autoRedefine/>
    <w:uiPriority w:val="39"/>
    <w:semiHidden/>
    <w:unhideWhenUsed/>
    <w:rsid w:val="00936B74"/>
    <w:pPr>
      <w:spacing w:before="40" w:after="40" w:line="288" w:lineRule="auto"/>
      <w:ind w:left="1758"/>
    </w:pPr>
  </w:style>
  <w:style w:type="character" w:styleId="CommentReference">
    <w:name w:val="annotation reference"/>
    <w:basedOn w:val="DefaultParagraphFont"/>
    <w:uiPriority w:val="99"/>
    <w:semiHidden/>
    <w:unhideWhenUsed/>
    <w:rsid w:val="00C43F4C"/>
    <w:rPr>
      <w:sz w:val="16"/>
      <w:szCs w:val="16"/>
    </w:rPr>
  </w:style>
  <w:style w:type="paragraph" w:styleId="CommentText">
    <w:name w:val="annotation text"/>
    <w:basedOn w:val="Normal"/>
    <w:link w:val="CommentTextChar"/>
    <w:uiPriority w:val="99"/>
    <w:unhideWhenUsed/>
    <w:rsid w:val="00C43F4C"/>
    <w:pPr>
      <w:spacing w:line="240" w:lineRule="auto"/>
    </w:pPr>
    <w:rPr>
      <w:sz w:val="20"/>
      <w:szCs w:val="20"/>
    </w:rPr>
  </w:style>
  <w:style w:type="character" w:customStyle="1" w:styleId="CommentTextChar">
    <w:name w:val="Comment Text Char"/>
    <w:basedOn w:val="DefaultParagraphFont"/>
    <w:link w:val="CommentText"/>
    <w:uiPriority w:val="99"/>
    <w:rsid w:val="00C43F4C"/>
    <w:rPr>
      <w:sz w:val="20"/>
      <w:szCs w:val="20"/>
      <w:lang w:val="en-AU"/>
    </w:rPr>
  </w:style>
  <w:style w:type="character" w:styleId="FollowedHyperlink">
    <w:name w:val="FollowedHyperlink"/>
    <w:basedOn w:val="DefaultParagraphFont"/>
    <w:uiPriority w:val="99"/>
    <w:semiHidden/>
    <w:unhideWhenUsed/>
    <w:rsid w:val="00C43F4C"/>
    <w:rPr>
      <w:color w:val="000000" w:themeColor="followedHyperlink"/>
      <w:u w:val="single"/>
    </w:rPr>
  </w:style>
  <w:style w:type="paragraph" w:styleId="CommentSubject">
    <w:name w:val="annotation subject"/>
    <w:basedOn w:val="CommentText"/>
    <w:next w:val="CommentText"/>
    <w:link w:val="CommentSubjectChar"/>
    <w:uiPriority w:val="99"/>
    <w:semiHidden/>
    <w:unhideWhenUsed/>
    <w:rsid w:val="00C43F4C"/>
    <w:rPr>
      <w:b/>
      <w:bCs/>
    </w:rPr>
  </w:style>
  <w:style w:type="character" w:customStyle="1" w:styleId="CommentSubjectChar">
    <w:name w:val="Comment Subject Char"/>
    <w:basedOn w:val="CommentTextChar"/>
    <w:link w:val="CommentSubject"/>
    <w:uiPriority w:val="99"/>
    <w:semiHidden/>
    <w:rsid w:val="00C43F4C"/>
    <w:rPr>
      <w:b/>
      <w:bCs/>
      <w:sz w:val="20"/>
      <w:szCs w:val="20"/>
      <w:lang w:val="en-AU"/>
    </w:rPr>
  </w:style>
  <w:style w:type="paragraph" w:styleId="NormalWeb">
    <w:name w:val="Normal (Web)"/>
    <w:basedOn w:val="Normal"/>
    <w:uiPriority w:val="99"/>
    <w:unhideWhenUsed/>
    <w:rsid w:val="00C43F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C43F4C"/>
    <w:pPr>
      <w:spacing w:after="0" w:line="240" w:lineRule="auto"/>
    </w:pPr>
    <w:rPr>
      <w:lang w:val="en-AU"/>
    </w:rPr>
  </w:style>
  <w:style w:type="character" w:styleId="UnresolvedMention">
    <w:name w:val="Unresolved Mention"/>
    <w:basedOn w:val="DefaultParagraphFont"/>
    <w:uiPriority w:val="99"/>
    <w:unhideWhenUsed/>
    <w:rsid w:val="00C43F4C"/>
    <w:rPr>
      <w:color w:val="605E5C"/>
      <w:shd w:val="clear" w:color="auto" w:fill="E1DFDD"/>
    </w:rPr>
  </w:style>
  <w:style w:type="character" w:styleId="Mention">
    <w:name w:val="Mention"/>
    <w:basedOn w:val="DefaultParagraphFont"/>
    <w:uiPriority w:val="99"/>
    <w:unhideWhenUsed/>
    <w:rsid w:val="00C43F4C"/>
    <w:rPr>
      <w:color w:val="2B579A"/>
      <w:shd w:val="clear" w:color="auto" w:fill="E1DFDD"/>
    </w:rPr>
  </w:style>
  <w:style w:type="paragraph" w:customStyle="1" w:styleId="Default">
    <w:name w:val="Default"/>
    <w:rsid w:val="00C43F4C"/>
    <w:pPr>
      <w:autoSpaceDE w:val="0"/>
      <w:autoSpaceDN w:val="0"/>
      <w:adjustRightInd w:val="0"/>
      <w:spacing w:after="0" w:line="240" w:lineRule="auto"/>
    </w:pPr>
    <w:rPr>
      <w:rFonts w:ascii="Arial" w:hAnsi="Arial" w:cs="Arial"/>
      <w:color w:val="000000"/>
      <w:sz w:val="24"/>
      <w:szCs w:val="24"/>
      <w:lang w:val="en-AU"/>
    </w:rPr>
  </w:style>
  <w:style w:type="paragraph" w:customStyle="1" w:styleId="Introductionsentence">
    <w:name w:val="Introduction sentence"/>
    <w:basedOn w:val="Normal"/>
    <w:next w:val="Normal"/>
    <w:link w:val="IntroductionsentenceChar"/>
    <w:qFormat/>
    <w:rsid w:val="00C43F4C"/>
    <w:rPr>
      <w:color w:val="838689"/>
      <w:sz w:val="24"/>
      <w:szCs w:val="24"/>
    </w:rPr>
  </w:style>
  <w:style w:type="character" w:customStyle="1" w:styleId="IntroductionsentenceChar">
    <w:name w:val="Introduction sentence Char"/>
    <w:basedOn w:val="DefaultParagraphFont"/>
    <w:link w:val="Introductionsentence"/>
    <w:rsid w:val="00C43F4C"/>
    <w:rPr>
      <w:color w:val="838689"/>
      <w:sz w:val="24"/>
      <w:szCs w:val="24"/>
      <w:lang w:val="en-AU"/>
    </w:rPr>
  </w:style>
  <w:style w:type="paragraph" w:styleId="TableofFigures">
    <w:name w:val="table of figures"/>
    <w:basedOn w:val="Normal"/>
    <w:next w:val="Normal"/>
    <w:uiPriority w:val="99"/>
    <w:unhideWhenUsed/>
    <w:rsid w:val="00C43F4C"/>
    <w:pPr>
      <w:spacing w:after="0"/>
    </w:pPr>
  </w:style>
  <w:style w:type="paragraph" w:customStyle="1" w:styleId="p1">
    <w:name w:val="p1"/>
    <w:basedOn w:val="Normal"/>
    <w:rsid w:val="00C43F4C"/>
    <w:pPr>
      <w:spacing w:before="0" w:after="0" w:line="240" w:lineRule="auto"/>
    </w:pPr>
    <w:rPr>
      <w:rFonts w:ascii=".AppleSystemUIFont" w:eastAsiaTheme="minorEastAsia" w:hAnsi=".AppleSystemUIFont" w:cs="Times New Roman"/>
      <w:sz w:val="26"/>
      <w:szCs w:val="26"/>
      <w:lang w:eastAsia="zh-CN"/>
    </w:rPr>
  </w:style>
  <w:style w:type="paragraph" w:customStyle="1" w:styleId="p2">
    <w:name w:val="p2"/>
    <w:basedOn w:val="Normal"/>
    <w:rsid w:val="00C43F4C"/>
    <w:pPr>
      <w:spacing w:before="0" w:after="0" w:line="240" w:lineRule="auto"/>
    </w:pPr>
    <w:rPr>
      <w:rFonts w:ascii=".AppleSystemUIFont" w:eastAsiaTheme="minorEastAsia" w:hAnsi=".AppleSystemUIFont" w:cs="Times New Roman"/>
      <w:sz w:val="26"/>
      <w:szCs w:val="26"/>
      <w:lang w:eastAsia="zh-CN"/>
    </w:rPr>
  </w:style>
  <w:style w:type="character" w:customStyle="1" w:styleId="s1">
    <w:name w:val="s1"/>
    <w:basedOn w:val="DefaultParagraphFont"/>
    <w:rsid w:val="00C43F4C"/>
    <w:rPr>
      <w:rFonts w:ascii=".SFUI-Regular" w:hAnsi=".SFUI-Regular" w:hint="default"/>
      <w:b w:val="0"/>
      <w:bCs w:val="0"/>
      <w:i w:val="0"/>
      <w:iCs w:val="0"/>
      <w:sz w:val="26"/>
      <w:szCs w:val="26"/>
    </w:rPr>
  </w:style>
  <w:style w:type="paragraph" w:customStyle="1" w:styleId="Pull-out2">
    <w:name w:val="Pull-out 2"/>
    <w:basedOn w:val="Pull-outHeading"/>
    <w:link w:val="Pull-out2Char"/>
    <w:qFormat/>
    <w:rsid w:val="00C43F4C"/>
    <w:pPr>
      <w:pBdr>
        <w:top w:val="single" w:sz="48" w:space="1" w:color="FFD191" w:themeColor="accent4" w:themeTint="66"/>
        <w:left w:val="single" w:sz="48" w:space="4" w:color="FFD191" w:themeColor="accent4" w:themeTint="66"/>
        <w:bottom w:val="single" w:sz="48" w:space="1" w:color="FFD191" w:themeColor="accent4" w:themeTint="66"/>
        <w:right w:val="single" w:sz="48" w:space="4" w:color="FFD191" w:themeColor="accent4" w:themeTint="66"/>
      </w:pBdr>
      <w:shd w:val="clear" w:color="auto" w:fill="FFD191" w:themeFill="accent4" w:themeFillTint="66"/>
    </w:pPr>
    <w:rPr>
      <w:b w:val="0"/>
      <w:bCs w:val="0"/>
    </w:rPr>
  </w:style>
  <w:style w:type="character" w:customStyle="1" w:styleId="Pull-outChar">
    <w:name w:val="Pull-out Char"/>
    <w:basedOn w:val="DefaultParagraphFont"/>
    <w:link w:val="Pull-out"/>
    <w:rsid w:val="00C43F4C"/>
    <w:rPr>
      <w:shd w:val="clear" w:color="auto" w:fill="B2CFDC" w:themeFill="text2" w:themeFillTint="66"/>
      <w:lang w:val="en-AU"/>
    </w:rPr>
  </w:style>
  <w:style w:type="character" w:customStyle="1" w:styleId="Pull-outHeadingChar">
    <w:name w:val="Pull-out Heading Char"/>
    <w:basedOn w:val="Pull-outChar"/>
    <w:link w:val="Pull-outHeading"/>
    <w:rsid w:val="00C43F4C"/>
    <w:rPr>
      <w:b/>
      <w:bCs/>
      <w:shd w:val="clear" w:color="auto" w:fill="B2CFDC" w:themeFill="text2" w:themeFillTint="66"/>
      <w:lang w:val="en-AU"/>
    </w:rPr>
  </w:style>
  <w:style w:type="character" w:customStyle="1" w:styleId="Pull-out2Char">
    <w:name w:val="Pull-out 2 Char"/>
    <w:basedOn w:val="Pull-outHeadingChar"/>
    <w:link w:val="Pull-out2"/>
    <w:rsid w:val="00C43F4C"/>
    <w:rPr>
      <w:b w:val="0"/>
      <w:bCs w:val="0"/>
      <w:shd w:val="clear" w:color="auto" w:fill="FFD191" w:themeFill="accent4" w:themeFillTint="66"/>
      <w:lang w:val="en-AU"/>
    </w:rPr>
  </w:style>
  <w:style w:type="paragraph" w:customStyle="1" w:styleId="Pullout2bold">
    <w:name w:val="Pull out 2 bold"/>
    <w:basedOn w:val="Pull-out2"/>
    <w:link w:val="Pullout2boldChar"/>
    <w:qFormat/>
    <w:rsid w:val="00C43F4C"/>
    <w:rPr>
      <w:rFonts w:ascii="Tahoma" w:hAnsi="Tahoma"/>
      <w:b/>
      <w:bCs/>
      <w:sz w:val="26"/>
    </w:rPr>
  </w:style>
  <w:style w:type="character" w:customStyle="1" w:styleId="Pullout2boldChar">
    <w:name w:val="Pull out 2 bold Char"/>
    <w:basedOn w:val="Pull-out2Char"/>
    <w:link w:val="Pullout2bold"/>
    <w:rsid w:val="00C43F4C"/>
    <w:rPr>
      <w:rFonts w:ascii="Tahoma" w:hAnsi="Tahoma"/>
      <w:b/>
      <w:bCs/>
      <w:sz w:val="26"/>
      <w:shd w:val="clear" w:color="auto" w:fill="FFD191" w:themeFill="accent4" w:themeFillTint="66"/>
      <w:lang w:val="en-AU"/>
    </w:rPr>
  </w:style>
  <w:style w:type="paragraph" w:styleId="EndnoteText">
    <w:name w:val="endnote text"/>
    <w:basedOn w:val="Normal"/>
    <w:link w:val="EndnoteTextChar"/>
    <w:uiPriority w:val="99"/>
    <w:semiHidden/>
    <w:unhideWhenUsed/>
    <w:rsid w:val="00C43F4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43F4C"/>
    <w:rPr>
      <w:sz w:val="20"/>
      <w:szCs w:val="20"/>
      <w:lang w:val="en-AU"/>
    </w:rPr>
  </w:style>
  <w:style w:type="character" w:styleId="EndnoteReference">
    <w:name w:val="endnote reference"/>
    <w:basedOn w:val="DefaultParagraphFont"/>
    <w:uiPriority w:val="99"/>
    <w:semiHidden/>
    <w:unhideWhenUsed/>
    <w:rsid w:val="00C43F4C"/>
    <w:rPr>
      <w:vertAlign w:val="superscript"/>
    </w:rPr>
  </w:style>
  <w:style w:type="table" w:styleId="TableGridLight">
    <w:name w:val="Grid Table Light"/>
    <w:basedOn w:val="TableNormal"/>
    <w:uiPriority w:val="40"/>
    <w:rsid w:val="00C43F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3">
    <w:name w:val="Pull out 3"/>
    <w:basedOn w:val="Pullout2bold"/>
    <w:link w:val="Pullout3Char"/>
    <w:qFormat/>
    <w:rsid w:val="00C43F4C"/>
    <w:pPr>
      <w:pBdr>
        <w:top w:val="single" w:sz="48" w:space="1" w:color="B5DACE" w:themeColor="accent5" w:themeTint="40"/>
        <w:left w:val="single" w:sz="48" w:space="4" w:color="B5DACE" w:themeColor="accent5" w:themeTint="40"/>
        <w:bottom w:val="single" w:sz="48" w:space="1" w:color="B5DACE" w:themeColor="accent5" w:themeTint="40"/>
        <w:right w:val="single" w:sz="48" w:space="4" w:color="B5DACE" w:themeColor="accent5" w:themeTint="40"/>
      </w:pBdr>
      <w:shd w:val="clear" w:color="auto" w:fill="B5DACE" w:themeFill="accent5" w:themeFillTint="40"/>
    </w:pPr>
  </w:style>
  <w:style w:type="paragraph" w:customStyle="1" w:styleId="Pullout3body">
    <w:name w:val="Pull out 3 body"/>
    <w:basedOn w:val="Pull-out"/>
    <w:link w:val="Pullout3bodyChar"/>
    <w:qFormat/>
    <w:rsid w:val="00C43F4C"/>
    <w:pPr>
      <w:pBdr>
        <w:top w:val="single" w:sz="48" w:space="1" w:color="B5DACE" w:themeColor="accent5" w:themeTint="40"/>
        <w:left w:val="single" w:sz="48" w:space="4" w:color="B5DACE" w:themeColor="accent5" w:themeTint="40"/>
        <w:bottom w:val="single" w:sz="48" w:space="1" w:color="B5DACE" w:themeColor="accent5" w:themeTint="40"/>
        <w:right w:val="single" w:sz="48" w:space="4" w:color="B5DACE" w:themeColor="accent5" w:themeTint="40"/>
      </w:pBdr>
      <w:shd w:val="clear" w:color="auto" w:fill="B5DACE" w:themeFill="accent5" w:themeFillTint="40"/>
    </w:pPr>
  </w:style>
  <w:style w:type="character" w:customStyle="1" w:styleId="Pullout3Char">
    <w:name w:val="Pull out 3 Char"/>
    <w:basedOn w:val="Pullout2boldChar"/>
    <w:link w:val="Pullout3"/>
    <w:rsid w:val="00C43F4C"/>
    <w:rPr>
      <w:rFonts w:ascii="Tahoma" w:hAnsi="Tahoma"/>
      <w:b/>
      <w:bCs/>
      <w:sz w:val="26"/>
      <w:shd w:val="clear" w:color="auto" w:fill="B5DACE" w:themeFill="accent5" w:themeFillTint="40"/>
      <w:lang w:val="en-AU"/>
    </w:rPr>
  </w:style>
  <w:style w:type="character" w:customStyle="1" w:styleId="Pullout3bodyChar">
    <w:name w:val="Pull out 3 body Char"/>
    <w:basedOn w:val="Pull-outChar"/>
    <w:link w:val="Pullout3body"/>
    <w:rsid w:val="00C43F4C"/>
    <w:rPr>
      <w:shd w:val="clear" w:color="auto" w:fill="B5DACE" w:themeFill="accent5" w:themeFillTint="40"/>
      <w:lang w:val="en-AU"/>
    </w:rPr>
  </w:style>
  <w:style w:type="paragraph" w:customStyle="1" w:styleId="OrganisationName">
    <w:name w:val="Organisation Name"/>
    <w:basedOn w:val="Title"/>
    <w:qFormat/>
    <w:rsid w:val="00C43F4C"/>
    <w:pPr>
      <w:spacing w:before="0" w:after="40" w:line="264" w:lineRule="auto"/>
      <w:contextualSpacing w:val="0"/>
    </w:pPr>
    <w:rPr>
      <w:rFonts w:asciiTheme="majorHAnsi" w:eastAsia="Times New Roman" w:hAnsiTheme="majorHAnsi" w:cs="Times New Roman"/>
      <w:b/>
      <w:color w:val="auto"/>
      <w:kern w:val="0"/>
      <w:sz w:val="32"/>
      <w:szCs w:val="72"/>
      <w:lang w:eastAsia="en-AU"/>
    </w:rPr>
  </w:style>
  <w:style w:type="paragraph" w:customStyle="1" w:styleId="para">
    <w:name w:val="para"/>
    <w:basedOn w:val="Normal"/>
    <w:link w:val="paraChar"/>
    <w:qFormat/>
    <w:rsid w:val="00C43F4C"/>
    <w:pPr>
      <w:spacing w:before="0" w:after="0" w:line="240" w:lineRule="auto"/>
    </w:pPr>
    <w:rPr>
      <w:rFonts w:ascii="Calibri" w:eastAsia="Times New Roman" w:hAnsi="Calibri" w:cs="Calibri"/>
      <w:sz w:val="24"/>
      <w:szCs w:val="24"/>
    </w:rPr>
  </w:style>
  <w:style w:type="character" w:customStyle="1" w:styleId="paraChar">
    <w:name w:val="para Char"/>
    <w:link w:val="para"/>
    <w:rsid w:val="00C43F4C"/>
    <w:rPr>
      <w:rFonts w:ascii="Calibri" w:eastAsia="Times New Roman" w:hAnsi="Calibri" w:cs="Calibri"/>
      <w:sz w:val="24"/>
      <w:szCs w:val="24"/>
      <w:lang w:val="en-AU"/>
    </w:rPr>
  </w:style>
  <w:style w:type="paragraph" w:customStyle="1" w:styleId="keyfindingcallout">
    <w:name w:val="key finding callout"/>
    <w:basedOn w:val="Pullout2bold"/>
    <w:link w:val="keyfindingcalloutChar"/>
    <w:qFormat/>
    <w:rsid w:val="004425CF"/>
    <w:pPr>
      <w:pBdr>
        <w:top w:val="single" w:sz="24" w:space="1" w:color="FFBA5B" w:themeColor="accent4" w:themeTint="99"/>
        <w:left w:val="single" w:sz="24" w:space="4" w:color="FFBA5B" w:themeColor="accent4" w:themeTint="99"/>
        <w:bottom w:val="single" w:sz="24" w:space="1" w:color="FFBA5B" w:themeColor="accent4" w:themeTint="99"/>
        <w:right w:val="single" w:sz="24" w:space="4" w:color="FFBA5B" w:themeColor="accent4" w:themeTint="99"/>
      </w:pBdr>
      <w:ind w:left="113" w:right="170"/>
    </w:pPr>
    <w:rPr>
      <w:b w:val="0"/>
      <w:bCs w:val="0"/>
    </w:rPr>
  </w:style>
  <w:style w:type="paragraph" w:customStyle="1" w:styleId="keyfindingcalloutheading">
    <w:name w:val="key finding callout heading"/>
    <w:basedOn w:val="Pullout2bold"/>
    <w:link w:val="keyfindingcalloutheadingChar"/>
    <w:qFormat/>
    <w:rsid w:val="00480D5A"/>
    <w:pPr>
      <w:pBdr>
        <w:top w:val="single" w:sz="24" w:space="1" w:color="FFBA5B" w:themeColor="accent4" w:themeTint="99"/>
        <w:left w:val="single" w:sz="24" w:space="4" w:color="FFBA5B" w:themeColor="accent4" w:themeTint="99"/>
        <w:bottom w:val="single" w:sz="24" w:space="1" w:color="FFBA5B" w:themeColor="accent4" w:themeTint="99"/>
        <w:right w:val="single" w:sz="24" w:space="4" w:color="FFBA5B" w:themeColor="accent4" w:themeTint="99"/>
      </w:pBdr>
      <w:ind w:left="113" w:right="170"/>
    </w:pPr>
  </w:style>
  <w:style w:type="character" w:customStyle="1" w:styleId="keyfindingcalloutChar">
    <w:name w:val="key finding callout Char"/>
    <w:basedOn w:val="Pullout2boldChar"/>
    <w:link w:val="keyfindingcallout"/>
    <w:rsid w:val="00F22966"/>
    <w:rPr>
      <w:rFonts w:ascii="Tahoma" w:hAnsi="Tahoma"/>
      <w:b w:val="0"/>
      <w:bCs w:val="0"/>
      <w:sz w:val="26"/>
      <w:shd w:val="clear" w:color="auto" w:fill="FFD191" w:themeFill="accent4" w:themeFillTint="66"/>
      <w:lang w:val="en-AU"/>
    </w:rPr>
  </w:style>
  <w:style w:type="paragraph" w:customStyle="1" w:styleId="Figureheading">
    <w:name w:val="Figure heading"/>
    <w:basedOn w:val="Figure-Table-BoxHeading"/>
    <w:link w:val="FigureheadingChar"/>
    <w:qFormat/>
    <w:rsid w:val="00A15FCB"/>
    <w:pPr>
      <w:numPr>
        <w:ilvl w:val="0"/>
        <w:numId w:val="0"/>
      </w:numPr>
    </w:pPr>
  </w:style>
  <w:style w:type="character" w:customStyle="1" w:styleId="keyfindingcalloutheadingChar">
    <w:name w:val="key finding callout heading Char"/>
    <w:basedOn w:val="Pullout2boldChar"/>
    <w:link w:val="keyfindingcalloutheading"/>
    <w:rsid w:val="00480D5A"/>
    <w:rPr>
      <w:rFonts w:ascii="Tahoma" w:hAnsi="Tahoma"/>
      <w:b/>
      <w:bCs/>
      <w:sz w:val="26"/>
      <w:shd w:val="clear" w:color="auto" w:fill="FFD191" w:themeFill="accent4" w:themeFillTint="66"/>
      <w:lang w:val="en-AU"/>
    </w:rPr>
  </w:style>
  <w:style w:type="paragraph" w:customStyle="1" w:styleId="TABLEBOLD0">
    <w:name w:val="TABLE BOLD"/>
    <w:basedOn w:val="Normal"/>
    <w:link w:val="TABLEBOLDChar0"/>
    <w:qFormat/>
    <w:rsid w:val="00BF573B"/>
    <w:pPr>
      <w:spacing w:before="0" w:after="240" w:line="240" w:lineRule="auto"/>
    </w:pPr>
    <w:rPr>
      <w:b/>
      <w:bCs/>
      <w:lang w:val="en-US"/>
    </w:rPr>
  </w:style>
  <w:style w:type="character" w:customStyle="1" w:styleId="FigureheadingChar">
    <w:name w:val="Figure heading Char"/>
    <w:basedOn w:val="Figure-Table-BoxHeadingChar"/>
    <w:link w:val="Figureheading"/>
    <w:rsid w:val="00A15FCB"/>
    <w:rPr>
      <w:rFonts w:asciiTheme="majorHAnsi" w:eastAsiaTheme="majorEastAsia" w:hAnsiTheme="majorHAnsi" w:cstheme="majorBidi"/>
      <w:b/>
      <w:color w:val="4986A0" w:themeColor="text2"/>
      <w:szCs w:val="24"/>
    </w:rPr>
  </w:style>
  <w:style w:type="paragraph" w:customStyle="1" w:styleId="TABLEBODY0">
    <w:name w:val="TABLE BODY"/>
    <w:basedOn w:val="Normal"/>
    <w:link w:val="TABLEBODYChar0"/>
    <w:qFormat/>
    <w:rsid w:val="00BF573B"/>
    <w:pPr>
      <w:spacing w:before="120" w:after="120" w:line="240" w:lineRule="auto"/>
    </w:pPr>
    <w:rPr>
      <w:sz w:val="18"/>
      <w:szCs w:val="18"/>
      <w:lang w:val="en-US"/>
    </w:rPr>
  </w:style>
  <w:style w:type="character" w:customStyle="1" w:styleId="TABLEBOLDChar0">
    <w:name w:val="TABLE BOLD Char"/>
    <w:basedOn w:val="DefaultParagraphFont"/>
    <w:link w:val="TABLEBOLD0"/>
    <w:rsid w:val="00BF573B"/>
    <w:rPr>
      <w:b/>
      <w:bCs/>
    </w:rPr>
  </w:style>
  <w:style w:type="paragraph" w:customStyle="1" w:styleId="TABLEBULLET0">
    <w:name w:val="TABLE BULLET"/>
    <w:basedOn w:val="TableBullet"/>
    <w:link w:val="TABLEBULLETChar0"/>
    <w:qFormat/>
    <w:rsid w:val="004425CF"/>
    <w:pPr>
      <w:numPr>
        <w:numId w:val="0"/>
      </w:numPr>
      <w:spacing w:line="276" w:lineRule="auto"/>
      <w:ind w:left="567" w:hanging="567"/>
    </w:pPr>
    <w:rPr>
      <w:sz w:val="18"/>
      <w:szCs w:val="18"/>
    </w:rPr>
  </w:style>
  <w:style w:type="character" w:customStyle="1" w:styleId="TABLEBODYChar0">
    <w:name w:val="TABLE BODY Char"/>
    <w:basedOn w:val="DefaultParagraphFont"/>
    <w:link w:val="TABLEBODY0"/>
    <w:rsid w:val="00BF573B"/>
    <w:rPr>
      <w:sz w:val="18"/>
      <w:szCs w:val="18"/>
    </w:rPr>
  </w:style>
  <w:style w:type="character" w:customStyle="1" w:styleId="TABLEBULLETChar0">
    <w:name w:val="TABLE BULLET Char"/>
    <w:basedOn w:val="TableBulletChar"/>
    <w:link w:val="TABLEBULLET0"/>
    <w:rsid w:val="00BF573B"/>
    <w:rPr>
      <w:sz w:val="18"/>
      <w:szCs w:val="18"/>
      <w:lang w:val="en-AU"/>
    </w:rPr>
  </w:style>
  <w:style w:type="paragraph" w:customStyle="1" w:styleId="1">
    <w:name w:val="1"/>
    <w:basedOn w:val="Heading4"/>
    <w:link w:val="1Char"/>
    <w:qFormat/>
    <w:rsid w:val="00B13430"/>
    <w:rPr>
      <w:color w:val="FFFFFF" w:themeColor="background1"/>
    </w:rPr>
  </w:style>
  <w:style w:type="character" w:customStyle="1" w:styleId="1Char">
    <w:name w:val="1 Char"/>
    <w:basedOn w:val="Heading4Char"/>
    <w:link w:val="1"/>
    <w:rsid w:val="00B13430"/>
    <w:rPr>
      <w:rFonts w:ascii="Tahoma" w:eastAsiaTheme="majorEastAsia" w:hAnsi="Tahoma" w:cstheme="majorBidi"/>
      <w:b/>
      <w:iCs/>
      <w:color w:val="FFFFFF" w:themeColor="background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322940">
      <w:bodyDiv w:val="1"/>
      <w:marLeft w:val="0"/>
      <w:marRight w:val="0"/>
      <w:marTop w:val="0"/>
      <w:marBottom w:val="0"/>
      <w:divBdr>
        <w:top w:val="none" w:sz="0" w:space="0" w:color="auto"/>
        <w:left w:val="none" w:sz="0" w:space="0" w:color="auto"/>
        <w:bottom w:val="none" w:sz="0" w:space="0" w:color="auto"/>
        <w:right w:val="none" w:sz="0" w:space="0" w:color="auto"/>
      </w:divBdr>
    </w:div>
    <w:div w:id="279841605">
      <w:bodyDiv w:val="1"/>
      <w:marLeft w:val="0"/>
      <w:marRight w:val="0"/>
      <w:marTop w:val="0"/>
      <w:marBottom w:val="0"/>
      <w:divBdr>
        <w:top w:val="none" w:sz="0" w:space="0" w:color="auto"/>
        <w:left w:val="none" w:sz="0" w:space="0" w:color="auto"/>
        <w:bottom w:val="none" w:sz="0" w:space="0" w:color="auto"/>
        <w:right w:val="none" w:sz="0" w:space="0" w:color="auto"/>
      </w:divBdr>
    </w:div>
    <w:div w:id="467288428">
      <w:bodyDiv w:val="1"/>
      <w:marLeft w:val="0"/>
      <w:marRight w:val="0"/>
      <w:marTop w:val="0"/>
      <w:marBottom w:val="0"/>
      <w:divBdr>
        <w:top w:val="none" w:sz="0" w:space="0" w:color="auto"/>
        <w:left w:val="none" w:sz="0" w:space="0" w:color="auto"/>
        <w:bottom w:val="none" w:sz="0" w:space="0" w:color="auto"/>
        <w:right w:val="none" w:sz="0" w:space="0" w:color="auto"/>
      </w:divBdr>
    </w:div>
    <w:div w:id="469909076">
      <w:bodyDiv w:val="1"/>
      <w:marLeft w:val="0"/>
      <w:marRight w:val="0"/>
      <w:marTop w:val="0"/>
      <w:marBottom w:val="0"/>
      <w:divBdr>
        <w:top w:val="none" w:sz="0" w:space="0" w:color="auto"/>
        <w:left w:val="none" w:sz="0" w:space="0" w:color="auto"/>
        <w:bottom w:val="none" w:sz="0" w:space="0" w:color="auto"/>
        <w:right w:val="none" w:sz="0" w:space="0" w:color="auto"/>
      </w:divBdr>
    </w:div>
    <w:div w:id="485323372">
      <w:bodyDiv w:val="1"/>
      <w:marLeft w:val="0"/>
      <w:marRight w:val="0"/>
      <w:marTop w:val="0"/>
      <w:marBottom w:val="0"/>
      <w:divBdr>
        <w:top w:val="none" w:sz="0" w:space="0" w:color="auto"/>
        <w:left w:val="none" w:sz="0" w:space="0" w:color="auto"/>
        <w:bottom w:val="none" w:sz="0" w:space="0" w:color="auto"/>
        <w:right w:val="none" w:sz="0" w:space="0" w:color="auto"/>
      </w:divBdr>
    </w:div>
    <w:div w:id="611715351">
      <w:bodyDiv w:val="1"/>
      <w:marLeft w:val="0"/>
      <w:marRight w:val="0"/>
      <w:marTop w:val="0"/>
      <w:marBottom w:val="0"/>
      <w:divBdr>
        <w:top w:val="none" w:sz="0" w:space="0" w:color="auto"/>
        <w:left w:val="none" w:sz="0" w:space="0" w:color="auto"/>
        <w:bottom w:val="none" w:sz="0" w:space="0" w:color="auto"/>
        <w:right w:val="none" w:sz="0" w:space="0" w:color="auto"/>
      </w:divBdr>
    </w:div>
    <w:div w:id="740493182">
      <w:bodyDiv w:val="1"/>
      <w:marLeft w:val="0"/>
      <w:marRight w:val="0"/>
      <w:marTop w:val="0"/>
      <w:marBottom w:val="0"/>
      <w:divBdr>
        <w:top w:val="none" w:sz="0" w:space="0" w:color="auto"/>
        <w:left w:val="none" w:sz="0" w:space="0" w:color="auto"/>
        <w:bottom w:val="none" w:sz="0" w:space="0" w:color="auto"/>
        <w:right w:val="none" w:sz="0" w:space="0" w:color="auto"/>
      </w:divBdr>
    </w:div>
    <w:div w:id="982656705">
      <w:bodyDiv w:val="1"/>
      <w:marLeft w:val="0"/>
      <w:marRight w:val="0"/>
      <w:marTop w:val="0"/>
      <w:marBottom w:val="0"/>
      <w:divBdr>
        <w:top w:val="none" w:sz="0" w:space="0" w:color="auto"/>
        <w:left w:val="none" w:sz="0" w:space="0" w:color="auto"/>
        <w:bottom w:val="none" w:sz="0" w:space="0" w:color="auto"/>
        <w:right w:val="none" w:sz="0" w:space="0" w:color="auto"/>
      </w:divBdr>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79995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8.png"/><Relationship Id="rId63" Type="http://schemas.openxmlformats.org/officeDocument/2006/relationships/image" Target="media/image23.png"/><Relationship Id="rId84" Type="http://schemas.openxmlformats.org/officeDocument/2006/relationships/image" Target="media/image36.emf"/><Relationship Id="rId138" Type="http://schemas.openxmlformats.org/officeDocument/2006/relationships/image" Target="media/image72.emf"/><Relationship Id="rId159" Type="http://schemas.openxmlformats.org/officeDocument/2006/relationships/image" Target="media/image92.png"/><Relationship Id="rId170" Type="http://schemas.openxmlformats.org/officeDocument/2006/relationships/image" Target="media/image103.png"/><Relationship Id="rId191" Type="http://schemas.openxmlformats.org/officeDocument/2006/relationships/footer" Target="footer23.xml"/><Relationship Id="rId107" Type="http://schemas.openxmlformats.org/officeDocument/2006/relationships/image" Target="media/image58.emf"/><Relationship Id="rId11" Type="http://schemas.openxmlformats.org/officeDocument/2006/relationships/footer" Target="footer2.xml"/><Relationship Id="rId32" Type="http://schemas.openxmlformats.org/officeDocument/2006/relationships/chart" Target="charts/chart6.xml"/><Relationship Id="rId53" Type="http://schemas.openxmlformats.org/officeDocument/2006/relationships/image" Target="media/image14.png"/><Relationship Id="rId74" Type="http://schemas.openxmlformats.org/officeDocument/2006/relationships/footer" Target="footer13.xml"/><Relationship Id="rId128" Type="http://schemas.openxmlformats.org/officeDocument/2006/relationships/header" Target="header10.xml"/><Relationship Id="rId149" Type="http://schemas.openxmlformats.org/officeDocument/2006/relationships/image" Target="media/image83.png"/><Relationship Id="rId5" Type="http://schemas.openxmlformats.org/officeDocument/2006/relationships/webSettings" Target="webSettings.xml"/><Relationship Id="rId95" Type="http://schemas.openxmlformats.org/officeDocument/2006/relationships/image" Target="media/image47.emf"/><Relationship Id="rId160" Type="http://schemas.openxmlformats.org/officeDocument/2006/relationships/image" Target="media/image93.svg"/><Relationship Id="rId181" Type="http://schemas.openxmlformats.org/officeDocument/2006/relationships/image" Target="media/image114.svg"/><Relationship Id="rId22" Type="http://schemas.openxmlformats.org/officeDocument/2006/relationships/footer" Target="footer7.xml"/><Relationship Id="rId43" Type="http://schemas.openxmlformats.org/officeDocument/2006/relationships/image" Target="media/image9.png"/><Relationship Id="rId64" Type="http://schemas.openxmlformats.org/officeDocument/2006/relationships/image" Target="media/image24.png"/><Relationship Id="rId118" Type="http://schemas.openxmlformats.org/officeDocument/2006/relationships/footer" Target="footer17.xml"/><Relationship Id="rId139" Type="http://schemas.openxmlformats.org/officeDocument/2006/relationships/image" Target="media/image73.emf"/><Relationship Id="rId85" Type="http://schemas.openxmlformats.org/officeDocument/2006/relationships/image" Target="media/image37.emf"/><Relationship Id="rId150" Type="http://schemas.openxmlformats.org/officeDocument/2006/relationships/image" Target="media/image84.emf"/><Relationship Id="rId171" Type="http://schemas.openxmlformats.org/officeDocument/2006/relationships/image" Target="media/image104.svg"/><Relationship Id="rId192"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chart" Target="charts/chart7.xml"/><Relationship Id="rId108" Type="http://schemas.openxmlformats.org/officeDocument/2006/relationships/image" Target="media/image59.emf"/><Relationship Id="rId129" Type="http://schemas.openxmlformats.org/officeDocument/2006/relationships/header" Target="header11.xml"/><Relationship Id="rId54" Type="http://schemas.openxmlformats.org/officeDocument/2006/relationships/image" Target="media/image15.svg"/><Relationship Id="rId75" Type="http://schemas.openxmlformats.org/officeDocument/2006/relationships/image" Target="media/image30.png"/><Relationship Id="rId96" Type="http://schemas.openxmlformats.org/officeDocument/2006/relationships/image" Target="media/image48.emf"/><Relationship Id="rId140" Type="http://schemas.openxmlformats.org/officeDocument/2006/relationships/image" Target="media/image74.png"/><Relationship Id="rId161" Type="http://schemas.openxmlformats.org/officeDocument/2006/relationships/image" Target="media/image94.png"/><Relationship Id="rId182" Type="http://schemas.openxmlformats.org/officeDocument/2006/relationships/image" Target="media/image115.png"/><Relationship Id="rId6" Type="http://schemas.openxmlformats.org/officeDocument/2006/relationships/footnotes" Target="footnotes.xml"/><Relationship Id="rId23" Type="http://schemas.openxmlformats.org/officeDocument/2006/relationships/footer" Target="footer8.xml"/><Relationship Id="rId119" Type="http://schemas.openxmlformats.org/officeDocument/2006/relationships/footer" Target="footer18.xml"/><Relationship Id="rId44" Type="http://schemas.openxmlformats.org/officeDocument/2006/relationships/image" Target="media/image10.png"/><Relationship Id="rId65" Type="http://schemas.openxmlformats.org/officeDocument/2006/relationships/image" Target="media/image25.png"/><Relationship Id="rId86" Type="http://schemas.openxmlformats.org/officeDocument/2006/relationships/image" Target="media/image38.emf"/><Relationship Id="rId130" Type="http://schemas.openxmlformats.org/officeDocument/2006/relationships/footer" Target="footer20.xml"/><Relationship Id="rId151" Type="http://schemas.openxmlformats.org/officeDocument/2006/relationships/hyperlink" Target="https://www.esc.vic.gov.au/electricity-and-gas/inquiries-studies-and-reviews/payment-difficulty-framework-implementation-review-2021" TargetMode="External"/><Relationship Id="rId172" Type="http://schemas.openxmlformats.org/officeDocument/2006/relationships/image" Target="media/image105.png"/><Relationship Id="rId193" Type="http://schemas.openxmlformats.org/officeDocument/2006/relationships/glossaryDocument" Target="glossary/document.xml"/><Relationship Id="rId13" Type="http://schemas.openxmlformats.org/officeDocument/2006/relationships/footer" Target="footer3.xml"/><Relationship Id="rId109" Type="http://schemas.openxmlformats.org/officeDocument/2006/relationships/image" Target="media/image60.emf"/><Relationship Id="rId34" Type="http://schemas.openxmlformats.org/officeDocument/2006/relationships/chart" Target="charts/chart8.xml"/><Relationship Id="rId50" Type="http://schemas.openxmlformats.org/officeDocument/2006/relationships/image" Target="media/image12.png"/><Relationship Id="rId55" Type="http://schemas.openxmlformats.org/officeDocument/2006/relationships/image" Target="media/image16.png"/><Relationship Id="rId76" Type="http://schemas.openxmlformats.org/officeDocument/2006/relationships/image" Target="media/image31.png"/><Relationship Id="rId97" Type="http://schemas.openxmlformats.org/officeDocument/2006/relationships/image" Target="media/image49.emf"/><Relationship Id="rId104" Type="http://schemas.openxmlformats.org/officeDocument/2006/relationships/image" Target="media/image56.emf"/><Relationship Id="rId120" Type="http://schemas.openxmlformats.org/officeDocument/2006/relationships/header" Target="header9.xml"/><Relationship Id="rId125" Type="http://schemas.openxmlformats.org/officeDocument/2006/relationships/image" Target="media/image68.emf"/><Relationship Id="rId141" Type="http://schemas.openxmlformats.org/officeDocument/2006/relationships/image" Target="media/image75.png"/><Relationship Id="rId146" Type="http://schemas.openxmlformats.org/officeDocument/2006/relationships/image" Target="media/image80.emf"/><Relationship Id="rId167" Type="http://schemas.openxmlformats.org/officeDocument/2006/relationships/image" Target="media/image100.png"/><Relationship Id="rId188" Type="http://schemas.openxmlformats.org/officeDocument/2006/relationships/image" Target="media/image121.png"/><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4.emf"/><Relationship Id="rId162" Type="http://schemas.openxmlformats.org/officeDocument/2006/relationships/image" Target="media/image95.svg"/><Relationship Id="rId183" Type="http://schemas.openxmlformats.org/officeDocument/2006/relationships/image" Target="media/image116.svg"/><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header" Target="header7.xml"/><Relationship Id="rId40" Type="http://schemas.openxmlformats.org/officeDocument/2006/relationships/image" Target="media/image6.emf"/><Relationship Id="rId45" Type="http://schemas.openxmlformats.org/officeDocument/2006/relationships/image" Target="media/image11.png"/><Relationship Id="rId66" Type="http://schemas.openxmlformats.org/officeDocument/2006/relationships/image" Target="media/image26.png"/><Relationship Id="rId87" Type="http://schemas.openxmlformats.org/officeDocument/2006/relationships/image" Target="media/image39.emf"/><Relationship Id="rId110" Type="http://schemas.openxmlformats.org/officeDocument/2006/relationships/image" Target="media/image61.emf"/><Relationship Id="rId115" Type="http://schemas.openxmlformats.org/officeDocument/2006/relationships/image" Target="media/image66.emf"/><Relationship Id="rId131" Type="http://schemas.openxmlformats.org/officeDocument/2006/relationships/footer" Target="footer21.xml"/><Relationship Id="rId136" Type="http://schemas.openxmlformats.org/officeDocument/2006/relationships/chart" Target="charts/chart16.xml"/><Relationship Id="rId157" Type="http://schemas.openxmlformats.org/officeDocument/2006/relationships/image" Target="media/image90.png"/><Relationship Id="rId178" Type="http://schemas.openxmlformats.org/officeDocument/2006/relationships/image" Target="media/image111.png"/><Relationship Id="rId61" Type="http://schemas.openxmlformats.org/officeDocument/2006/relationships/image" Target="media/image22.png"/><Relationship Id="rId82" Type="http://schemas.openxmlformats.org/officeDocument/2006/relationships/image" Target="media/image34.png"/><Relationship Id="rId152" Type="http://schemas.openxmlformats.org/officeDocument/2006/relationships/image" Target="media/image85.png"/><Relationship Id="rId173" Type="http://schemas.openxmlformats.org/officeDocument/2006/relationships/image" Target="media/image106.svg"/><Relationship Id="rId194"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yperlink" Target="http://creativecommons.org/licenses/by/4.0/" TargetMode="External"/><Relationship Id="rId30" Type="http://schemas.openxmlformats.org/officeDocument/2006/relationships/chart" Target="charts/chart4.xml"/><Relationship Id="rId35" Type="http://schemas.openxmlformats.org/officeDocument/2006/relationships/chart" Target="charts/chart9.xml"/><Relationship Id="rId56" Type="http://schemas.openxmlformats.org/officeDocument/2006/relationships/image" Target="media/image17.svg"/><Relationship Id="rId77" Type="http://schemas.openxmlformats.org/officeDocument/2006/relationships/chart" Target="charts/chart13.xml"/><Relationship Id="rId100" Type="http://schemas.openxmlformats.org/officeDocument/2006/relationships/image" Target="media/image52.emf"/><Relationship Id="rId105" Type="http://schemas.openxmlformats.org/officeDocument/2006/relationships/image" Target="media/image57.emf"/><Relationship Id="rId126" Type="http://schemas.openxmlformats.org/officeDocument/2006/relationships/image" Target="media/image69.emf"/><Relationship Id="rId147" Type="http://schemas.openxmlformats.org/officeDocument/2006/relationships/image" Target="media/image81.emf"/><Relationship Id="rId168" Type="http://schemas.openxmlformats.org/officeDocument/2006/relationships/image" Target="media/image101.svg"/><Relationship Id="rId8" Type="http://schemas.openxmlformats.org/officeDocument/2006/relationships/header" Target="header1.xml"/><Relationship Id="rId51" Type="http://schemas.openxmlformats.org/officeDocument/2006/relationships/image" Target="media/image13.png"/><Relationship Id="rId72" Type="http://schemas.openxmlformats.org/officeDocument/2006/relationships/hyperlink" Target="https://energyinfohub.org.au/" TargetMode="External"/><Relationship Id="rId93" Type="http://schemas.openxmlformats.org/officeDocument/2006/relationships/image" Target="media/image45.emf"/><Relationship Id="rId98" Type="http://schemas.openxmlformats.org/officeDocument/2006/relationships/image" Target="media/image50.emf"/><Relationship Id="rId121" Type="http://schemas.openxmlformats.org/officeDocument/2006/relationships/footer" Target="footer19.xml"/><Relationship Id="rId142" Type="http://schemas.openxmlformats.org/officeDocument/2006/relationships/image" Target="media/image76.png"/><Relationship Id="rId163" Type="http://schemas.openxmlformats.org/officeDocument/2006/relationships/image" Target="media/image96.png"/><Relationship Id="rId184" Type="http://schemas.openxmlformats.org/officeDocument/2006/relationships/image" Target="media/image117.png"/><Relationship Id="rId189" Type="http://schemas.openxmlformats.org/officeDocument/2006/relationships/image" Target="media/image122.svg"/><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10.xml"/><Relationship Id="rId67" Type="http://schemas.openxmlformats.org/officeDocument/2006/relationships/image" Target="media/image27.png"/><Relationship Id="rId116" Type="http://schemas.openxmlformats.org/officeDocument/2006/relationships/footer" Target="footer16.xml"/><Relationship Id="rId137" Type="http://schemas.openxmlformats.org/officeDocument/2006/relationships/chart" Target="charts/chart17.xml"/><Relationship Id="rId158" Type="http://schemas.openxmlformats.org/officeDocument/2006/relationships/image" Target="media/image91.svg"/><Relationship Id="rId20" Type="http://schemas.openxmlformats.org/officeDocument/2006/relationships/header" Target="header5.xml"/><Relationship Id="rId41" Type="http://schemas.openxmlformats.org/officeDocument/2006/relationships/image" Target="media/image7.emf"/><Relationship Id="rId62" Type="http://schemas.microsoft.com/office/2007/relationships/hdphoto" Target="media/hdphoto1.wdp"/><Relationship Id="rId83" Type="http://schemas.openxmlformats.org/officeDocument/2006/relationships/image" Target="media/image35.emf"/><Relationship Id="rId88" Type="http://schemas.openxmlformats.org/officeDocument/2006/relationships/image" Target="media/image40.png"/><Relationship Id="rId111" Type="http://schemas.openxmlformats.org/officeDocument/2006/relationships/image" Target="media/image62.emf"/><Relationship Id="rId132" Type="http://schemas.openxmlformats.org/officeDocument/2006/relationships/header" Target="header12.xml"/><Relationship Id="rId153" Type="http://schemas.openxmlformats.org/officeDocument/2006/relationships/image" Target="media/image86.png"/><Relationship Id="rId174" Type="http://schemas.openxmlformats.org/officeDocument/2006/relationships/image" Target="media/image107.png"/><Relationship Id="rId179" Type="http://schemas.openxmlformats.org/officeDocument/2006/relationships/image" Target="media/image112.svg"/><Relationship Id="rId190" Type="http://schemas.openxmlformats.org/officeDocument/2006/relationships/header" Target="header13.xml"/><Relationship Id="rId15" Type="http://schemas.openxmlformats.org/officeDocument/2006/relationships/image" Target="media/image2.png"/><Relationship Id="rId36" Type="http://schemas.openxmlformats.org/officeDocument/2006/relationships/chart" Target="charts/chart10.xml"/><Relationship Id="rId57" Type="http://schemas.openxmlformats.org/officeDocument/2006/relationships/image" Target="media/image18.png"/><Relationship Id="rId106" Type="http://schemas.openxmlformats.org/officeDocument/2006/relationships/footer" Target="footer15.xml"/><Relationship Id="rId127" Type="http://schemas.openxmlformats.org/officeDocument/2006/relationships/image" Target="media/image70.png"/><Relationship Id="rId10" Type="http://schemas.openxmlformats.org/officeDocument/2006/relationships/footer" Target="footer1.xml"/><Relationship Id="rId31" Type="http://schemas.openxmlformats.org/officeDocument/2006/relationships/chart" Target="charts/chart5.xml"/><Relationship Id="rId52" Type="http://schemas.openxmlformats.org/officeDocument/2006/relationships/footer" Target="footer11.xml"/><Relationship Id="rId73" Type="http://schemas.openxmlformats.org/officeDocument/2006/relationships/image" Target="media/image29.png"/><Relationship Id="rId78" Type="http://schemas.openxmlformats.org/officeDocument/2006/relationships/chart" Target="charts/chart14.xml"/><Relationship Id="rId94" Type="http://schemas.openxmlformats.org/officeDocument/2006/relationships/image" Target="media/image46.emf"/><Relationship Id="rId99" Type="http://schemas.openxmlformats.org/officeDocument/2006/relationships/image" Target="media/image51.emf"/><Relationship Id="rId101" Type="http://schemas.openxmlformats.org/officeDocument/2006/relationships/image" Target="media/image53.emf"/><Relationship Id="rId122" Type="http://schemas.openxmlformats.org/officeDocument/2006/relationships/hyperlink" Target="mailto:pdfreview@esc.vic.gov.au" TargetMode="External"/><Relationship Id="rId143" Type="http://schemas.openxmlformats.org/officeDocument/2006/relationships/image" Target="media/image77.png"/><Relationship Id="rId148" Type="http://schemas.openxmlformats.org/officeDocument/2006/relationships/image" Target="media/image82.png"/><Relationship Id="rId164" Type="http://schemas.openxmlformats.org/officeDocument/2006/relationships/image" Target="media/image97.svg"/><Relationship Id="rId169" Type="http://schemas.openxmlformats.org/officeDocument/2006/relationships/image" Target="media/image102.png"/><Relationship Id="rId185" Type="http://schemas.openxmlformats.org/officeDocument/2006/relationships/image" Target="media/image118.sv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13.png"/><Relationship Id="rId26" Type="http://schemas.openxmlformats.org/officeDocument/2006/relationships/image" Target="media/image3.png"/><Relationship Id="rId47" Type="http://schemas.openxmlformats.org/officeDocument/2006/relationships/hyperlink" Target="mailto:" TargetMode="External"/><Relationship Id="rId68" Type="http://schemas.openxmlformats.org/officeDocument/2006/relationships/footer" Target="footer12.xml"/><Relationship Id="rId89" Type="http://schemas.openxmlformats.org/officeDocument/2006/relationships/image" Target="media/image41.emf"/><Relationship Id="rId112" Type="http://schemas.openxmlformats.org/officeDocument/2006/relationships/image" Target="media/image63.emf"/><Relationship Id="rId133" Type="http://schemas.openxmlformats.org/officeDocument/2006/relationships/footer" Target="footer22.xml"/><Relationship Id="rId154" Type="http://schemas.openxmlformats.org/officeDocument/2006/relationships/image" Target="media/image87.svg"/><Relationship Id="rId175" Type="http://schemas.openxmlformats.org/officeDocument/2006/relationships/image" Target="media/image108.svg"/><Relationship Id="rId16" Type="http://schemas.openxmlformats.org/officeDocument/2006/relationships/header" Target="header4.xml"/><Relationship Id="rId37" Type="http://schemas.openxmlformats.org/officeDocument/2006/relationships/chart" Target="charts/chart11.xml"/><Relationship Id="rId58" Type="http://schemas.openxmlformats.org/officeDocument/2006/relationships/image" Target="media/image19.svg"/><Relationship Id="rId79" Type="http://schemas.openxmlformats.org/officeDocument/2006/relationships/footer" Target="footer14.xml"/><Relationship Id="rId102" Type="http://schemas.openxmlformats.org/officeDocument/2006/relationships/image" Target="media/image54.emf"/><Relationship Id="rId123" Type="http://schemas.openxmlformats.org/officeDocument/2006/relationships/hyperlink" Target="https://www.esc.vic.gov.au/electricity-and-gas/inquiries-studies-and-reviews/payment-difficulty-framework-implementation-review-2021" TargetMode="External"/><Relationship Id="rId144" Type="http://schemas.openxmlformats.org/officeDocument/2006/relationships/image" Target="media/image78.emf"/><Relationship Id="rId90" Type="http://schemas.openxmlformats.org/officeDocument/2006/relationships/image" Target="media/image42.emf"/><Relationship Id="rId165" Type="http://schemas.openxmlformats.org/officeDocument/2006/relationships/image" Target="media/image98.png"/><Relationship Id="rId186" Type="http://schemas.openxmlformats.org/officeDocument/2006/relationships/image" Target="media/image119.png"/><Relationship Id="rId27" Type="http://schemas.openxmlformats.org/officeDocument/2006/relationships/chart" Target="charts/chart1.xml"/><Relationship Id="rId48" Type="http://schemas.openxmlformats.org/officeDocument/2006/relationships/hyperlink" Target="mailto:pdfreview@esc.vic.gov.au" TargetMode="External"/><Relationship Id="rId69" Type="http://schemas.openxmlformats.org/officeDocument/2006/relationships/hyperlink" Target="https://www.esc.vic.gov.au/its-your-energy" TargetMode="External"/><Relationship Id="rId113" Type="http://schemas.openxmlformats.org/officeDocument/2006/relationships/image" Target="media/image64.emf"/><Relationship Id="rId134" Type="http://schemas.openxmlformats.org/officeDocument/2006/relationships/image" Target="media/image71.emf"/><Relationship Id="rId80" Type="http://schemas.openxmlformats.org/officeDocument/2006/relationships/image" Target="media/image32.png"/><Relationship Id="rId155" Type="http://schemas.openxmlformats.org/officeDocument/2006/relationships/image" Target="media/image88.png"/><Relationship Id="rId176" Type="http://schemas.openxmlformats.org/officeDocument/2006/relationships/image" Target="media/image109.png"/><Relationship Id="rId17" Type="http://schemas.openxmlformats.org/officeDocument/2006/relationships/footer" Target="footer4.xml"/><Relationship Id="rId38" Type="http://schemas.openxmlformats.org/officeDocument/2006/relationships/image" Target="media/image4.emf"/><Relationship Id="rId59" Type="http://schemas.openxmlformats.org/officeDocument/2006/relationships/image" Target="media/image20.png"/><Relationship Id="rId103" Type="http://schemas.openxmlformats.org/officeDocument/2006/relationships/image" Target="media/image55.emf"/><Relationship Id="rId124" Type="http://schemas.openxmlformats.org/officeDocument/2006/relationships/image" Target="media/image67.emf"/><Relationship Id="rId70" Type="http://schemas.openxmlformats.org/officeDocument/2006/relationships/hyperlink" Target="https://www.esc.vic.gov.au/its-your-energy" TargetMode="External"/><Relationship Id="rId91" Type="http://schemas.openxmlformats.org/officeDocument/2006/relationships/image" Target="media/image43.emf"/><Relationship Id="rId145" Type="http://schemas.openxmlformats.org/officeDocument/2006/relationships/image" Target="media/image79.emf"/><Relationship Id="rId166" Type="http://schemas.openxmlformats.org/officeDocument/2006/relationships/image" Target="media/image99.svg"/><Relationship Id="rId187" Type="http://schemas.openxmlformats.org/officeDocument/2006/relationships/image" Target="media/image120.svg"/><Relationship Id="rId1" Type="http://schemas.openxmlformats.org/officeDocument/2006/relationships/customXml" Target="../customXml/item1.xml"/><Relationship Id="rId28" Type="http://schemas.openxmlformats.org/officeDocument/2006/relationships/chart" Target="charts/chart2.xml"/><Relationship Id="rId49" Type="http://schemas.openxmlformats.org/officeDocument/2006/relationships/chart" Target="charts/chart12.xml"/><Relationship Id="rId114" Type="http://schemas.openxmlformats.org/officeDocument/2006/relationships/image" Target="media/image65.emf"/><Relationship Id="rId60" Type="http://schemas.openxmlformats.org/officeDocument/2006/relationships/image" Target="media/image21.svg"/><Relationship Id="rId81" Type="http://schemas.openxmlformats.org/officeDocument/2006/relationships/image" Target="media/image33.png"/><Relationship Id="rId135" Type="http://schemas.openxmlformats.org/officeDocument/2006/relationships/chart" Target="charts/chart15.xml"/><Relationship Id="rId156" Type="http://schemas.openxmlformats.org/officeDocument/2006/relationships/image" Target="media/image89.svg"/><Relationship Id="rId177" Type="http://schemas.openxmlformats.org/officeDocument/2006/relationships/image" Target="media/image110.svg"/><Relationship Id="rId18" Type="http://schemas.openxmlformats.org/officeDocument/2006/relationships/footer" Target="footer5.xml"/><Relationship Id="rId39"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https://www.esc.vic.gov.au/electricity-and-gas/codes-guidelines-and-policies/energy-retail-code-practice" TargetMode="External"/><Relationship Id="rId2" Type="http://schemas.openxmlformats.org/officeDocument/2006/relationships/hyperlink" Target="https://www.esc.vic.gov.au/sites/default/files/documents/Slides%20and%20poll%20results%20-%20PDF%20review%20-%20early%20findings%20webinar%20-%207%20April%202022.pdf" TargetMode="External"/><Relationship Id="rId1" Type="http://schemas.openxmlformats.org/officeDocument/2006/relationships/hyperlink" Target="https://www.esc.vic.gov.au/electricity-and-gas/electricity-and-gas-codes-guidelines-policies-and-manuals/compliance-and-performance-reporting-guideline" TargetMode="External"/><Relationship Id="rId5" Type="http://schemas.openxmlformats.org/officeDocument/2006/relationships/hyperlink" Target="https://www.accc.gov.au/regulated-infrastructure/energy/electricity-market-monitoring-2018-2025" TargetMode="External"/><Relationship Id="rId4" Type="http://schemas.openxmlformats.org/officeDocument/2006/relationships/hyperlink" Target="https://www.esc.vic.gov.au/electricity-and-gas/codes-guidelines-and-policies/compliance-and-enforcement-polic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https://escvic-my.sharepoint.com/personal/aaron_yuen_esc_vic_gov_au/Documents/Desktop/PDF/PDF%20random%20chart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escvic-my.sharepoint.com/personal/aaron_yuen_esc_vic_gov_au/Documents/Desktop/PDF/PDF%20random%20charts.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oleObject" Target="https://escvic-my.sharepoint.com/personal/aaron_yuen_esc_vic_gov_au/Documents/PDF%20random%20charts.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oleObject" Target="https://escvic-my.sharepoint.com/personal/andrew_senangsyah_esc_vic_gov_au/Documents/VEMR/2020-21/Annual/VEMR%202020-21%20data%20and%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escvic-my.sharepoint.com/personal/aaron_yuen_esc_vic_gov_au/Documents/PDF%20random%20charts.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2.xml"/></Relationships>
</file>

<file path=word/charts/_rels/chart14.xml.rels><?xml version="1.0" encoding="UTF-8" standalone="yes"?>
<Relationships xmlns="http://schemas.openxmlformats.org/package/2006/relationships"><Relationship Id="rId3" Type="http://schemas.openxmlformats.org/officeDocument/2006/relationships/oleObject" Target="https://escvic-my.sharepoint.com/personal/aaron_yuen_esc_vic_gov_au/Documents/PDF%20random%20charts.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3.xml"/></Relationships>
</file>

<file path=word/charts/_rels/chart15.xml.rels><?xml version="1.0" encoding="UTF-8" standalone="yes"?>
<Relationships xmlns="http://schemas.openxmlformats.org/package/2006/relationships"><Relationship Id="rId3" Type="http://schemas.openxmlformats.org/officeDocument/2006/relationships/oleObject" Target="https://escvic-my.sharepoint.com/personal/andrew_senangsyah_esc_vic_gov_au/Documents/VEMR/2020-21/Annual/VEMR%202020-21%20data%20and%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escvic-my.sharepoint.com/personal/andrew_senangsyah_esc_vic_gov_au/Documents/VEMR/2020-21/Annual/VEMR%202020-21%20data%20and%20char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escvic-my.sharepoint.com/personal/andrew_senangsyah_esc_vic_gov_au/Documents/VEMR/2020-21/Annual/VEMR%202020-21%20data%20and%20chart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escvic-my.sharepoint.com/personal/aaron_yuen_esc_vic_gov_au/Documents/Desktop/PDF/PDF%20random%20chart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escvic-my.sharepoint.com/personal/aaron_yuen_esc_vic_gov_au/Documents/Desktop/PDF/PDF%20random%20chart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https://escvic-my.sharepoint.com/personal/aaron_yuen_esc_vic_gov_au/Documents/Desktop/PDF/PDF%20random%20chart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https://escvic-my.sharepoint.com/personal/aaron_yuen_esc_vic_gov_au/Documents/Desktop/PDF/PDF%20random%20chart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https://escvic-my.sharepoint.com/personal/aaron_yuen_esc_vic_gov_au/Documents/PDF%20random%20chart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https://escvic-my.sharepoint.com/personal/aaron_yuen_esc_vic_gov_au/Documents/PDF%20random%20charts.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https://escvic-my.sharepoint.com/personal/aaron_yuen_esc_vic_gov_au/Documents/Desktop/PDF/PDF%20random%20chart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https://escvic-my.sharepoint.com/personal/aaron_yuen_esc_vic_gov_au/Documents/PDF%20random%20charts.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938492063492064E-2"/>
          <c:y val="0.30790988988786744"/>
          <c:w val="0.96220238095238098"/>
          <c:h val="0.4424837525675994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'key findings at a glance'!$B$3:$C$3</c:f>
              <c:strCache>
                <c:ptCount val="2"/>
                <c:pt idx="0">
                  <c:v>2017-18                                  monthly average</c:v>
                </c:pt>
                <c:pt idx="1">
                  <c:v>2020-21                                   monthly average</c:v>
                </c:pt>
              </c:strCache>
            </c:strRef>
          </c:cat>
          <c:val>
            <c:numRef>
              <c:f>'key findings at a glance'!$B$4:$C$4</c:f>
              <c:numCache>
                <c:formatCode>#,##0</c:formatCode>
                <c:ptCount val="2"/>
                <c:pt idx="0">
                  <c:v>42354</c:v>
                </c:pt>
                <c:pt idx="1">
                  <c:v>64931</c:v>
                </c:pt>
              </c:numCache>
            </c:numRef>
          </c:val>
          <c:extLst>
            <c:ext xmlns:c16="http://schemas.microsoft.com/office/drawing/2014/chart" uri="{C3380CC4-5D6E-409C-BE32-E72D297353CC}">
              <c16:uniqueId val="{00000000-ED1C-4032-95CC-1A51CA8A0712}"/>
            </c:ext>
          </c:extLst>
        </c:ser>
        <c:dLbls>
          <c:showLegendKey val="0"/>
          <c:showVal val="0"/>
          <c:showCatName val="0"/>
          <c:showSerName val="0"/>
          <c:showPercent val="0"/>
          <c:showBubbleSize val="0"/>
        </c:dLbls>
        <c:gapWidth val="96"/>
        <c:axId val="1379677663"/>
        <c:axId val="1379684319"/>
      </c:barChart>
      <c:catAx>
        <c:axId val="1379677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684319"/>
        <c:crosses val="autoZero"/>
        <c:auto val="1"/>
        <c:lblAlgn val="ctr"/>
        <c:lblOffset val="100"/>
        <c:noMultiLvlLbl val="0"/>
      </c:catAx>
      <c:valAx>
        <c:axId val="1379684319"/>
        <c:scaling>
          <c:orientation val="minMax"/>
        </c:scaling>
        <c:delete val="1"/>
        <c:axPos val="l"/>
        <c:numFmt formatCode="#,##0" sourceLinked="1"/>
        <c:majorTickMark val="none"/>
        <c:minorTickMark val="none"/>
        <c:tickLblPos val="nextTo"/>
        <c:crossAx val="1379677663"/>
        <c:crosses val="autoZero"/>
        <c:crossBetween val="between"/>
        <c:majorUnit val="15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8128654970761E-2"/>
          <c:y val="6.2330508474576274E-2"/>
          <c:w val="0.93501461988304091"/>
          <c:h val="0.860304008609093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44-4439-8722-D826969E2E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44-4439-8722-D826969E2EA4}"/>
              </c:ext>
            </c:extLst>
          </c:dPt>
          <c:val>
            <c:numRef>
              <c:f>'key findings at a glance'!$B$54:$C$54</c:f>
              <c:numCache>
                <c:formatCode>General</c:formatCode>
                <c:ptCount val="2"/>
                <c:pt idx="0">
                  <c:v>0</c:v>
                </c:pt>
              </c:numCache>
            </c:numRef>
          </c:val>
          <c:extLst>
            <c:ext xmlns:c16="http://schemas.microsoft.com/office/drawing/2014/chart" uri="{C3380CC4-5D6E-409C-BE32-E72D297353CC}">
              <c16:uniqueId val="{00000004-CA44-4439-8722-D826969E2EA4}"/>
            </c:ext>
          </c:extLst>
        </c:ser>
        <c:ser>
          <c:idx val="1"/>
          <c:order val="1"/>
          <c:explosion val="3"/>
          <c:dPt>
            <c:idx val="0"/>
            <c:bubble3D val="0"/>
            <c:spPr>
              <a:solidFill>
                <a:schemeClr val="accent2"/>
              </a:solidFill>
              <a:ln w="19050">
                <a:solidFill>
                  <a:schemeClr val="lt1"/>
                </a:solidFill>
              </a:ln>
              <a:effectLst/>
            </c:spPr>
            <c:extLst>
              <c:ext xmlns:c16="http://schemas.microsoft.com/office/drawing/2014/chart" uri="{C3380CC4-5D6E-409C-BE32-E72D297353CC}">
                <c16:uniqueId val="{00000006-CA44-4439-8722-D826969E2EA4}"/>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8-CA44-4439-8722-D826969E2EA4}"/>
              </c:ext>
            </c:extLst>
          </c:dPt>
          <c:val>
            <c:numRef>
              <c:f>'key findings at a glance'!$B$55:$C$55</c:f>
              <c:numCache>
                <c:formatCode>0%</c:formatCode>
                <c:ptCount val="2"/>
                <c:pt idx="0">
                  <c:v>0.38</c:v>
                </c:pt>
                <c:pt idx="1">
                  <c:v>0.62</c:v>
                </c:pt>
              </c:numCache>
            </c:numRef>
          </c:val>
          <c:extLst>
            <c:ext xmlns:c16="http://schemas.microsoft.com/office/drawing/2014/chart" uri="{C3380CC4-5D6E-409C-BE32-E72D297353CC}">
              <c16:uniqueId val="{00000009-CA44-4439-8722-D826969E2EA4}"/>
            </c:ext>
          </c:extLst>
        </c:ser>
        <c:dLbls>
          <c:showLegendKey val="0"/>
          <c:showVal val="0"/>
          <c:showCatName val="0"/>
          <c:showSerName val="0"/>
          <c:showPercent val="0"/>
          <c:showBubbleSize val="0"/>
          <c:showLeaderLines val="1"/>
        </c:dLbls>
        <c:firstSliceAng val="0"/>
        <c:holeSize val="48"/>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8128654970761E-2"/>
          <c:y val="6.2330508474576274E-2"/>
          <c:w val="0.93501461988304091"/>
          <c:h val="0.860304008609093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03-49E6-AF05-D1C0ED4FBE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03-49E6-AF05-D1C0ED4FBED2}"/>
              </c:ext>
            </c:extLst>
          </c:dPt>
          <c:val>
            <c:numRef>
              <c:f>'key findings at a glance'!$B$50:$C$50</c:f>
              <c:numCache>
                <c:formatCode>General</c:formatCode>
                <c:ptCount val="2"/>
                <c:pt idx="0">
                  <c:v>0</c:v>
                </c:pt>
              </c:numCache>
            </c:numRef>
          </c:val>
          <c:extLst>
            <c:ext xmlns:c16="http://schemas.microsoft.com/office/drawing/2014/chart" uri="{C3380CC4-5D6E-409C-BE32-E72D297353CC}">
              <c16:uniqueId val="{00000004-2B03-49E6-AF05-D1C0ED4FBED2}"/>
            </c:ext>
          </c:extLst>
        </c:ser>
        <c:ser>
          <c:idx val="1"/>
          <c:order val="1"/>
          <c:explosion val="3"/>
          <c:dPt>
            <c:idx val="0"/>
            <c:bubble3D val="0"/>
            <c:spPr>
              <a:solidFill>
                <a:schemeClr val="accent2"/>
              </a:solidFill>
              <a:ln w="19050">
                <a:solidFill>
                  <a:schemeClr val="lt1"/>
                </a:solidFill>
              </a:ln>
              <a:effectLst/>
            </c:spPr>
            <c:extLst>
              <c:ext xmlns:c16="http://schemas.microsoft.com/office/drawing/2014/chart" uri="{C3380CC4-5D6E-409C-BE32-E72D297353CC}">
                <c16:uniqueId val="{00000006-2B03-49E6-AF05-D1C0ED4FBED2}"/>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8-2B03-49E6-AF05-D1C0ED4FBED2}"/>
              </c:ext>
            </c:extLst>
          </c:dPt>
          <c:val>
            <c:numRef>
              <c:f>'key findings at a glance'!$B$51:$C$51</c:f>
              <c:numCache>
                <c:formatCode>0%</c:formatCode>
                <c:ptCount val="2"/>
                <c:pt idx="0">
                  <c:v>0.56000000000000005</c:v>
                </c:pt>
                <c:pt idx="1">
                  <c:v>0.43999999999999995</c:v>
                </c:pt>
              </c:numCache>
            </c:numRef>
          </c:val>
          <c:extLst>
            <c:ext xmlns:c16="http://schemas.microsoft.com/office/drawing/2014/chart" uri="{C3380CC4-5D6E-409C-BE32-E72D297353CC}">
              <c16:uniqueId val="{00000009-2B03-49E6-AF05-D1C0ED4FBED2}"/>
            </c:ext>
          </c:extLst>
        </c:ser>
        <c:dLbls>
          <c:showLegendKey val="0"/>
          <c:showVal val="0"/>
          <c:showCatName val="0"/>
          <c:showSerName val="0"/>
          <c:showPercent val="0"/>
          <c:showBubbleSize val="0"/>
          <c:showLeaderLines val="1"/>
        </c:dLbls>
        <c:firstSliceAng val="0"/>
        <c:holeSize val="48"/>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650085064538534E-2"/>
          <c:y val="5.3249475890985325E-2"/>
          <c:w val="0.79349347031856654"/>
          <c:h val="0.70411052979229793"/>
        </c:manualLayout>
      </c:layout>
      <c:barChart>
        <c:barDir val="bar"/>
        <c:grouping val="clustered"/>
        <c:varyColors val="0"/>
        <c:ser>
          <c:idx val="0"/>
          <c:order val="0"/>
          <c:tx>
            <c:strRef>
              <c:f>Figure1!$B$2</c:f>
              <c:strCache>
                <c:ptCount val="1"/>
                <c:pt idx="0">
                  <c:v>Hardship customers</c:v>
                </c:pt>
              </c:strCache>
            </c:strRef>
          </c:tx>
          <c:spPr>
            <a:solidFill>
              <a:schemeClr val="accent2"/>
            </a:solidFill>
            <a:ln>
              <a:noFill/>
            </a:ln>
            <a:effectLst/>
          </c:spPr>
          <c:invertIfNegative val="0"/>
          <c:cat>
            <c:strRef>
              <c:f>Figure1!$A$3:$A$12</c:f>
              <c:strCache>
                <c:ptCount val="10"/>
                <c:pt idx="0">
                  <c:v>2008-09</c:v>
                </c:pt>
                <c:pt idx="1">
                  <c:v>2009-10</c:v>
                </c:pt>
                <c:pt idx="2">
                  <c:v>2010-11</c:v>
                </c:pt>
                <c:pt idx="3">
                  <c:v>2011-12</c:v>
                </c:pt>
                <c:pt idx="4">
                  <c:v>2012-13</c:v>
                </c:pt>
                <c:pt idx="5">
                  <c:v>2013-14</c:v>
                </c:pt>
                <c:pt idx="6">
                  <c:v>2014-15</c:v>
                </c:pt>
                <c:pt idx="7">
                  <c:v>2015-16</c:v>
                </c:pt>
                <c:pt idx="8">
                  <c:v>2016-17</c:v>
                </c:pt>
                <c:pt idx="9">
                  <c:v>2017-18</c:v>
                </c:pt>
              </c:strCache>
            </c:strRef>
          </c:cat>
          <c:val>
            <c:numRef>
              <c:f>Figure1!$B$3:$B$12</c:f>
              <c:numCache>
                <c:formatCode>#,##0</c:formatCode>
                <c:ptCount val="10"/>
                <c:pt idx="0">
                  <c:v>14173</c:v>
                </c:pt>
                <c:pt idx="1">
                  <c:v>14227</c:v>
                </c:pt>
                <c:pt idx="2">
                  <c:v>11227</c:v>
                </c:pt>
                <c:pt idx="3">
                  <c:v>11496</c:v>
                </c:pt>
                <c:pt idx="4">
                  <c:v>13493</c:v>
                </c:pt>
                <c:pt idx="5">
                  <c:v>21603</c:v>
                </c:pt>
                <c:pt idx="6">
                  <c:v>29626</c:v>
                </c:pt>
                <c:pt idx="7">
                  <c:v>31528</c:v>
                </c:pt>
                <c:pt idx="8">
                  <c:v>32664</c:v>
                </c:pt>
                <c:pt idx="9">
                  <c:v>39453</c:v>
                </c:pt>
              </c:numCache>
            </c:numRef>
          </c:val>
          <c:extLst>
            <c:ext xmlns:c16="http://schemas.microsoft.com/office/drawing/2014/chart" uri="{C3380CC4-5D6E-409C-BE32-E72D297353CC}">
              <c16:uniqueId val="{00000000-9788-47D4-B3EB-17D8FE91BC23}"/>
            </c:ext>
          </c:extLst>
        </c:ser>
        <c:ser>
          <c:idx val="1"/>
          <c:order val="1"/>
          <c:tx>
            <c:strRef>
              <c:f>Figure1!$C$2</c:f>
              <c:strCache>
                <c:ptCount val="1"/>
                <c:pt idx="0">
                  <c:v>Disconnections for non-payment</c:v>
                </c:pt>
              </c:strCache>
            </c:strRef>
          </c:tx>
          <c:spPr>
            <a:solidFill>
              <a:schemeClr val="tx2"/>
            </a:solidFill>
            <a:ln>
              <a:noFill/>
            </a:ln>
            <a:effectLst/>
          </c:spPr>
          <c:invertIfNegative val="0"/>
          <c:cat>
            <c:strRef>
              <c:f>Figure1!$A$3:$A$12</c:f>
              <c:strCache>
                <c:ptCount val="10"/>
                <c:pt idx="0">
                  <c:v>2008-09</c:v>
                </c:pt>
                <c:pt idx="1">
                  <c:v>2009-10</c:v>
                </c:pt>
                <c:pt idx="2">
                  <c:v>2010-11</c:v>
                </c:pt>
                <c:pt idx="3">
                  <c:v>2011-12</c:v>
                </c:pt>
                <c:pt idx="4">
                  <c:v>2012-13</c:v>
                </c:pt>
                <c:pt idx="5">
                  <c:v>2013-14</c:v>
                </c:pt>
                <c:pt idx="6">
                  <c:v>2014-15</c:v>
                </c:pt>
                <c:pt idx="7">
                  <c:v>2015-16</c:v>
                </c:pt>
                <c:pt idx="8">
                  <c:v>2016-17</c:v>
                </c:pt>
                <c:pt idx="9">
                  <c:v>2017-18</c:v>
                </c:pt>
              </c:strCache>
            </c:strRef>
          </c:cat>
          <c:val>
            <c:numRef>
              <c:f>Figure1!$C$3:$C$12</c:f>
              <c:numCache>
                <c:formatCode>#,##0</c:formatCode>
                <c:ptCount val="10"/>
                <c:pt idx="0">
                  <c:v>19688</c:v>
                </c:pt>
                <c:pt idx="1">
                  <c:v>28959</c:v>
                </c:pt>
                <c:pt idx="2">
                  <c:v>31612</c:v>
                </c:pt>
                <c:pt idx="3">
                  <c:v>44288</c:v>
                </c:pt>
                <c:pt idx="4">
                  <c:v>42233</c:v>
                </c:pt>
                <c:pt idx="5">
                  <c:v>58503</c:v>
                </c:pt>
                <c:pt idx="6">
                  <c:v>56740</c:v>
                </c:pt>
                <c:pt idx="7">
                  <c:v>56510</c:v>
                </c:pt>
                <c:pt idx="8">
                  <c:v>46083</c:v>
                </c:pt>
                <c:pt idx="9">
                  <c:v>55474</c:v>
                </c:pt>
              </c:numCache>
            </c:numRef>
          </c:val>
          <c:extLst>
            <c:ext xmlns:c16="http://schemas.microsoft.com/office/drawing/2014/chart" uri="{C3380CC4-5D6E-409C-BE32-E72D297353CC}">
              <c16:uniqueId val="{00000001-9788-47D4-B3EB-17D8FE91BC23}"/>
            </c:ext>
          </c:extLst>
        </c:ser>
        <c:dLbls>
          <c:showLegendKey val="0"/>
          <c:showVal val="0"/>
          <c:showCatName val="0"/>
          <c:showSerName val="0"/>
          <c:showPercent val="0"/>
          <c:showBubbleSize val="0"/>
        </c:dLbls>
        <c:gapWidth val="182"/>
        <c:axId val="568911296"/>
        <c:axId val="568916704"/>
      </c:barChart>
      <c:catAx>
        <c:axId val="568911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68916704"/>
        <c:crosses val="autoZero"/>
        <c:auto val="1"/>
        <c:lblAlgn val="ctr"/>
        <c:lblOffset val="100"/>
        <c:noMultiLvlLbl val="0"/>
      </c:catAx>
      <c:valAx>
        <c:axId val="568916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68911296"/>
        <c:crosses val="autoZero"/>
        <c:crossBetween val="between"/>
      </c:valAx>
      <c:spPr>
        <a:noFill/>
        <a:ln>
          <a:noFill/>
        </a:ln>
        <a:effectLst/>
      </c:spPr>
    </c:plotArea>
    <c:legend>
      <c:legendPos val="b"/>
      <c:layout>
        <c:manualLayout>
          <c:xMode val="edge"/>
          <c:yMode val="edge"/>
          <c:x val="0"/>
          <c:y val="0.81235429769392031"/>
          <c:w val="1"/>
          <c:h val="0.187645702306079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732584444207112E-2"/>
          <c:y val="1.3995801259622114E-2"/>
          <c:w val="0.89925965097831839"/>
          <c:h val="0.98294797687861268"/>
        </c:manualLayout>
      </c:layout>
      <c:doughnutChart>
        <c:varyColors val="1"/>
        <c:ser>
          <c:idx val="0"/>
          <c:order val="0"/>
          <c:tx>
            <c:strRef>
              <c:f>'SA vs TA'!$A$3</c:f>
              <c:strCache>
                <c:ptCount val="1"/>
                <c:pt idx="0">
                  <c:v>Customers</c:v>
                </c:pt>
              </c:strCache>
            </c:strRef>
          </c:tx>
          <c:dPt>
            <c:idx val="0"/>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1-C2BD-4B27-87C9-F617EDF637BB}"/>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C2BD-4B27-87C9-F617EDF637BB}"/>
              </c:ext>
            </c:extLst>
          </c:dPt>
          <c:cat>
            <c:multiLvlStrRef>
              <c:f>'SA vs TA'!$B$1:$C$2</c:f>
              <c:multiLvlStrCache>
                <c:ptCount val="2"/>
                <c:lvl>
                  <c:pt idx="0">
                    <c:v>Total Victorian customers</c:v>
                  </c:pt>
                  <c:pt idx="1">
                    <c:v>Standard assistance</c:v>
                  </c:pt>
                </c:lvl>
                <c:lvl>
                  <c:pt idx="0">
                    <c:v>Oct-Dec 2021 (electricity)</c:v>
                  </c:pt>
                </c:lvl>
              </c:multiLvlStrCache>
            </c:multiLvlStrRef>
          </c:cat>
          <c:val>
            <c:numRef>
              <c:f>'SA vs TA'!$B$3:$C$3</c:f>
              <c:numCache>
                <c:formatCode>#,##0</c:formatCode>
                <c:ptCount val="2"/>
                <c:pt idx="0">
                  <c:v>2686934</c:v>
                </c:pt>
                <c:pt idx="1">
                  <c:v>95699</c:v>
                </c:pt>
              </c:numCache>
            </c:numRef>
          </c:val>
          <c:extLst>
            <c:ext xmlns:c16="http://schemas.microsoft.com/office/drawing/2014/chart" uri="{C3380CC4-5D6E-409C-BE32-E72D297353CC}">
              <c16:uniqueId val="{00000004-C2BD-4B27-87C9-F617EDF637B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17270624518119"/>
          <c:y val="0.13020133883915977"/>
          <c:w val="0.55796538347124491"/>
          <c:h val="0.47145348688091515"/>
        </c:manualLayout>
      </c:layout>
      <c:doughnutChart>
        <c:varyColors val="1"/>
        <c:ser>
          <c:idx val="0"/>
          <c:order val="0"/>
          <c:tx>
            <c:strRef>
              <c:f>'SA vs TA'!$A$3</c:f>
              <c:strCache>
                <c:ptCount val="1"/>
                <c:pt idx="0">
                  <c:v>Customers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82-4923-A2AD-CFD0633F0814}"/>
              </c:ext>
            </c:extLst>
          </c:dPt>
          <c:dPt>
            <c:idx val="1"/>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3-3A82-4923-A2AD-CFD0633F0814}"/>
              </c:ext>
            </c:extLst>
          </c:dPt>
          <c:cat>
            <c:strRef>
              <c:f>'SA vs TA'!$D$1:$E$2</c:f>
              <c:strCache>
                <c:ptCount val="2"/>
                <c:pt idx="0">
                  <c:v>Previously accessed standard assistance commencing tailored assistance</c:v>
                </c:pt>
                <c:pt idx="1">
                  <c:v>Commencing tailored assistance</c:v>
                </c:pt>
              </c:strCache>
            </c:strRef>
          </c:cat>
          <c:val>
            <c:numRef>
              <c:f>'SA vs TA'!$D$3:$E$3</c:f>
              <c:numCache>
                <c:formatCode>General</c:formatCode>
                <c:ptCount val="2"/>
                <c:pt idx="0">
                  <c:v>2373.0666666666666</c:v>
                </c:pt>
                <c:pt idx="1">
                  <c:v>14831.666666666666</c:v>
                </c:pt>
              </c:numCache>
            </c:numRef>
          </c:val>
          <c:extLst>
            <c:ext xmlns:c16="http://schemas.microsoft.com/office/drawing/2014/chart" uri="{C3380CC4-5D6E-409C-BE32-E72D297353CC}">
              <c16:uniqueId val="{00000004-3A82-4923-A2AD-CFD0633F0814}"/>
            </c:ext>
          </c:extLst>
        </c:ser>
        <c:dLbls>
          <c:showLegendKey val="0"/>
          <c:showVal val="0"/>
          <c:showCatName val="0"/>
          <c:showSerName val="0"/>
          <c:showPercent val="0"/>
          <c:showBubbleSize val="0"/>
          <c:showLeaderLines val="1"/>
        </c:dLbls>
        <c:firstSliceAng val="0"/>
        <c:holeSize val="71"/>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Figure31!$D$3</c:f>
              <c:strCache>
                <c:ptCount val="1"/>
                <c:pt idx="0">
                  <c:v>Residential accounts commencing tailored assistance</c:v>
                </c:pt>
              </c:strCache>
            </c:strRef>
          </c:tx>
          <c:spPr>
            <a:solidFill>
              <a:schemeClr val="accent4"/>
            </a:solidFill>
            <a:ln>
              <a:solidFill>
                <a:schemeClr val="bg1"/>
              </a:solidFill>
            </a:ln>
            <a:effectLst/>
          </c:spPr>
          <c:invertIfNegative val="0"/>
          <c:dPt>
            <c:idx val="0"/>
            <c:invertIfNegative val="0"/>
            <c:bubble3D val="0"/>
            <c:spPr>
              <a:solidFill>
                <a:schemeClr val="accent4"/>
              </a:solidFill>
              <a:ln>
                <a:solidFill>
                  <a:schemeClr val="bg1"/>
                </a:solidFill>
              </a:ln>
              <a:effectLst/>
            </c:spPr>
            <c:extLst>
              <c:ext xmlns:c16="http://schemas.microsoft.com/office/drawing/2014/chart" uri="{C3380CC4-5D6E-409C-BE32-E72D297353CC}">
                <c16:uniqueId val="{00000001-71FF-4E7A-8843-E860F3E1A87A}"/>
              </c:ext>
            </c:extLst>
          </c:dPt>
          <c:dPt>
            <c:idx val="1"/>
            <c:invertIfNegative val="0"/>
            <c:bubble3D val="0"/>
            <c:spPr>
              <a:solidFill>
                <a:schemeClr val="accent4"/>
              </a:solidFill>
              <a:ln>
                <a:solidFill>
                  <a:schemeClr val="bg1"/>
                </a:solidFill>
              </a:ln>
              <a:effectLst/>
            </c:spPr>
            <c:extLst>
              <c:ext xmlns:c16="http://schemas.microsoft.com/office/drawing/2014/chart" uri="{C3380CC4-5D6E-409C-BE32-E72D297353CC}">
                <c16:uniqueId val="{00000003-71FF-4E7A-8843-E860F3E1A87A}"/>
              </c:ext>
            </c:extLst>
          </c:dPt>
          <c:dPt>
            <c:idx val="2"/>
            <c:invertIfNegative val="0"/>
            <c:bubble3D val="0"/>
            <c:spPr>
              <a:solidFill>
                <a:schemeClr val="accent4"/>
              </a:solidFill>
              <a:ln>
                <a:solidFill>
                  <a:schemeClr val="bg1"/>
                </a:solidFill>
              </a:ln>
              <a:effectLst/>
            </c:spPr>
            <c:extLst>
              <c:ext xmlns:c16="http://schemas.microsoft.com/office/drawing/2014/chart" uri="{C3380CC4-5D6E-409C-BE32-E72D297353CC}">
                <c16:uniqueId val="{00000005-71FF-4E7A-8843-E860F3E1A87A}"/>
              </c:ext>
            </c:extLst>
          </c:dPt>
          <c:cat>
            <c:multiLvlStrRef>
              <c:f>Figure31!$A$4:$B$18</c:f>
              <c:multiLvlStrCache>
                <c:ptCount val="15"/>
                <c:lvl>
                  <c:pt idx="0">
                    <c:v>Apr</c:v>
                  </c:pt>
                  <c:pt idx="1">
                    <c:v>May</c:v>
                  </c:pt>
                  <c:pt idx="2">
                    <c:v>Jun</c:v>
                  </c:pt>
                  <c:pt idx="3">
                    <c:v>Jul</c:v>
                  </c:pt>
                  <c:pt idx="4">
                    <c:v>Aug</c:v>
                  </c:pt>
                  <c:pt idx="5">
                    <c:v>Sep</c:v>
                  </c:pt>
                  <c:pt idx="6">
                    <c:v>Oct</c:v>
                  </c:pt>
                  <c:pt idx="7">
                    <c:v>Nov</c:v>
                  </c:pt>
                  <c:pt idx="8">
                    <c:v>Dec</c:v>
                  </c:pt>
                  <c:pt idx="9">
                    <c:v>Jan</c:v>
                  </c:pt>
                  <c:pt idx="10">
                    <c:v>Feb</c:v>
                  </c:pt>
                  <c:pt idx="11">
                    <c:v>Mar</c:v>
                  </c:pt>
                  <c:pt idx="12">
                    <c:v>Apr</c:v>
                  </c:pt>
                  <c:pt idx="13">
                    <c:v>May</c:v>
                  </c:pt>
                  <c:pt idx="14">
                    <c:v>Jun</c:v>
                  </c:pt>
                </c:lvl>
                <c:lvl>
                  <c:pt idx="0">
                    <c:v>2020</c:v>
                  </c:pt>
                  <c:pt idx="9">
                    <c:v>2021</c:v>
                  </c:pt>
                </c:lvl>
              </c:multiLvlStrCache>
            </c:multiLvlStrRef>
          </c:cat>
          <c:val>
            <c:numRef>
              <c:f>Figure31!$D$4:$D$18</c:f>
              <c:numCache>
                <c:formatCode>#,##0</c:formatCode>
                <c:ptCount val="15"/>
                <c:pt idx="0">
                  <c:v>12421</c:v>
                </c:pt>
                <c:pt idx="1">
                  <c:v>13529</c:v>
                </c:pt>
                <c:pt idx="2">
                  <c:v>13457</c:v>
                </c:pt>
                <c:pt idx="3">
                  <c:v>16257</c:v>
                </c:pt>
                <c:pt idx="4">
                  <c:v>15315</c:v>
                </c:pt>
                <c:pt idx="5">
                  <c:v>16544</c:v>
                </c:pt>
                <c:pt idx="6">
                  <c:v>15053</c:v>
                </c:pt>
                <c:pt idx="7">
                  <c:v>14165</c:v>
                </c:pt>
                <c:pt idx="8">
                  <c:v>12830</c:v>
                </c:pt>
                <c:pt idx="9">
                  <c:v>13852</c:v>
                </c:pt>
                <c:pt idx="10">
                  <c:v>17113</c:v>
                </c:pt>
                <c:pt idx="11">
                  <c:v>16224</c:v>
                </c:pt>
                <c:pt idx="12">
                  <c:v>13655</c:v>
                </c:pt>
                <c:pt idx="13">
                  <c:v>14080</c:v>
                </c:pt>
                <c:pt idx="14">
                  <c:v>14067</c:v>
                </c:pt>
              </c:numCache>
            </c:numRef>
          </c:val>
          <c:extLst>
            <c:ext xmlns:c16="http://schemas.microsoft.com/office/drawing/2014/chart" uri="{C3380CC4-5D6E-409C-BE32-E72D297353CC}">
              <c16:uniqueId val="{00000006-71FF-4E7A-8843-E860F3E1A87A}"/>
            </c:ext>
          </c:extLst>
        </c:ser>
        <c:ser>
          <c:idx val="2"/>
          <c:order val="2"/>
          <c:tx>
            <c:strRef>
              <c:f>Figure31!$E$3</c:f>
              <c:strCache>
                <c:ptCount val="1"/>
                <c:pt idx="0">
                  <c:v>Residential accounts offered practical assistance measures</c:v>
                </c:pt>
              </c:strCache>
            </c:strRef>
          </c:tx>
          <c:spPr>
            <a:solidFill>
              <a:schemeClr val="accent3"/>
            </a:solidFill>
            <a:ln>
              <a:solidFill>
                <a:schemeClr val="bg1"/>
              </a:solidFill>
            </a:ln>
            <a:effectLst/>
          </c:spPr>
          <c:invertIfNegative val="0"/>
          <c:dPt>
            <c:idx val="0"/>
            <c:invertIfNegative val="0"/>
            <c:bubble3D val="0"/>
            <c:spPr>
              <a:solidFill>
                <a:schemeClr val="accent3"/>
              </a:solidFill>
              <a:ln>
                <a:solidFill>
                  <a:schemeClr val="bg1"/>
                </a:solidFill>
              </a:ln>
              <a:effectLst/>
            </c:spPr>
            <c:extLst>
              <c:ext xmlns:c16="http://schemas.microsoft.com/office/drawing/2014/chart" uri="{C3380CC4-5D6E-409C-BE32-E72D297353CC}">
                <c16:uniqueId val="{00000008-71FF-4E7A-8843-E860F3E1A87A}"/>
              </c:ext>
            </c:extLst>
          </c:dPt>
          <c:dPt>
            <c:idx val="1"/>
            <c:invertIfNegative val="0"/>
            <c:bubble3D val="0"/>
            <c:spPr>
              <a:solidFill>
                <a:schemeClr val="accent3"/>
              </a:solidFill>
              <a:ln>
                <a:solidFill>
                  <a:schemeClr val="bg1"/>
                </a:solidFill>
              </a:ln>
              <a:effectLst/>
            </c:spPr>
            <c:extLst>
              <c:ext xmlns:c16="http://schemas.microsoft.com/office/drawing/2014/chart" uri="{C3380CC4-5D6E-409C-BE32-E72D297353CC}">
                <c16:uniqueId val="{0000000A-71FF-4E7A-8843-E860F3E1A87A}"/>
              </c:ext>
            </c:extLst>
          </c:dPt>
          <c:dPt>
            <c:idx val="2"/>
            <c:invertIfNegative val="0"/>
            <c:bubble3D val="0"/>
            <c:spPr>
              <a:solidFill>
                <a:schemeClr val="accent3"/>
              </a:solidFill>
              <a:ln>
                <a:solidFill>
                  <a:schemeClr val="bg1"/>
                </a:solidFill>
              </a:ln>
              <a:effectLst/>
            </c:spPr>
            <c:extLst>
              <c:ext xmlns:c16="http://schemas.microsoft.com/office/drawing/2014/chart" uri="{C3380CC4-5D6E-409C-BE32-E72D297353CC}">
                <c16:uniqueId val="{0000000C-71FF-4E7A-8843-E860F3E1A87A}"/>
              </c:ext>
            </c:extLst>
          </c:dPt>
          <c:cat>
            <c:multiLvlStrRef>
              <c:f>Figure31!$A$4:$B$18</c:f>
              <c:multiLvlStrCache>
                <c:ptCount val="15"/>
                <c:lvl>
                  <c:pt idx="0">
                    <c:v>Apr</c:v>
                  </c:pt>
                  <c:pt idx="1">
                    <c:v>May</c:v>
                  </c:pt>
                  <c:pt idx="2">
                    <c:v>Jun</c:v>
                  </c:pt>
                  <c:pt idx="3">
                    <c:v>Jul</c:v>
                  </c:pt>
                  <c:pt idx="4">
                    <c:v>Aug</c:v>
                  </c:pt>
                  <c:pt idx="5">
                    <c:v>Sep</c:v>
                  </c:pt>
                  <c:pt idx="6">
                    <c:v>Oct</c:v>
                  </c:pt>
                  <c:pt idx="7">
                    <c:v>Nov</c:v>
                  </c:pt>
                  <c:pt idx="8">
                    <c:v>Dec</c:v>
                  </c:pt>
                  <c:pt idx="9">
                    <c:v>Jan</c:v>
                  </c:pt>
                  <c:pt idx="10">
                    <c:v>Feb</c:v>
                  </c:pt>
                  <c:pt idx="11">
                    <c:v>Mar</c:v>
                  </c:pt>
                  <c:pt idx="12">
                    <c:v>Apr</c:v>
                  </c:pt>
                  <c:pt idx="13">
                    <c:v>May</c:v>
                  </c:pt>
                  <c:pt idx="14">
                    <c:v>Jun</c:v>
                  </c:pt>
                </c:lvl>
                <c:lvl>
                  <c:pt idx="0">
                    <c:v>2020</c:v>
                  </c:pt>
                  <c:pt idx="9">
                    <c:v>2021</c:v>
                  </c:pt>
                </c:lvl>
              </c:multiLvlStrCache>
            </c:multiLvlStrRef>
          </c:cat>
          <c:val>
            <c:numRef>
              <c:f>Figure31!$E$4:$E$18</c:f>
              <c:numCache>
                <c:formatCode>#,##0</c:formatCode>
                <c:ptCount val="15"/>
                <c:pt idx="0">
                  <c:v>34879</c:v>
                </c:pt>
                <c:pt idx="1">
                  <c:v>35463</c:v>
                </c:pt>
                <c:pt idx="2">
                  <c:v>37291</c:v>
                </c:pt>
                <c:pt idx="3">
                  <c:v>40074</c:v>
                </c:pt>
                <c:pt idx="4">
                  <c:v>42130</c:v>
                </c:pt>
                <c:pt idx="5">
                  <c:v>43533</c:v>
                </c:pt>
                <c:pt idx="6">
                  <c:v>43682</c:v>
                </c:pt>
                <c:pt idx="7">
                  <c:v>43760</c:v>
                </c:pt>
                <c:pt idx="8">
                  <c:v>43165</c:v>
                </c:pt>
                <c:pt idx="9">
                  <c:v>42661</c:v>
                </c:pt>
                <c:pt idx="10">
                  <c:v>44668</c:v>
                </c:pt>
                <c:pt idx="11">
                  <c:v>46199</c:v>
                </c:pt>
                <c:pt idx="12">
                  <c:v>45077</c:v>
                </c:pt>
                <c:pt idx="13">
                  <c:v>45484</c:v>
                </c:pt>
                <c:pt idx="14">
                  <c:v>44895</c:v>
                </c:pt>
              </c:numCache>
            </c:numRef>
          </c:val>
          <c:extLst>
            <c:ext xmlns:c16="http://schemas.microsoft.com/office/drawing/2014/chart" uri="{C3380CC4-5D6E-409C-BE32-E72D297353CC}">
              <c16:uniqueId val="{0000000D-71FF-4E7A-8843-E860F3E1A87A}"/>
            </c:ext>
          </c:extLst>
        </c:ser>
        <c:dLbls>
          <c:showLegendKey val="0"/>
          <c:showVal val="0"/>
          <c:showCatName val="0"/>
          <c:showSerName val="0"/>
          <c:showPercent val="0"/>
          <c:showBubbleSize val="0"/>
        </c:dLbls>
        <c:gapWidth val="150"/>
        <c:overlap val="100"/>
        <c:axId val="443111151"/>
        <c:axId val="443109487"/>
      </c:barChart>
      <c:lineChart>
        <c:grouping val="standard"/>
        <c:varyColors val="0"/>
        <c:ser>
          <c:idx val="0"/>
          <c:order val="0"/>
          <c:tx>
            <c:strRef>
              <c:f>Figure31!$C$3</c:f>
              <c:strCache>
                <c:ptCount val="1"/>
                <c:pt idx="0">
                  <c:v>Customers enquiring assistance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0"/>
            <c:marker>
              <c:symbol val="circle"/>
              <c:size val="5"/>
              <c:spPr>
                <a:solidFill>
                  <a:schemeClr val="accent2"/>
                </a:solidFill>
                <a:ln w="9525">
                  <a:solidFill>
                    <a:schemeClr val="accent2"/>
                  </a:solidFill>
                </a:ln>
                <a:effectLst/>
              </c:spPr>
            </c:marker>
            <c:bubble3D val="0"/>
            <c:extLst>
              <c:ext xmlns:c16="http://schemas.microsoft.com/office/drawing/2014/chart" uri="{C3380CC4-5D6E-409C-BE32-E72D297353CC}">
                <c16:uniqueId val="{0000000E-71FF-4E7A-8843-E860F3E1A87A}"/>
              </c:ext>
            </c:extLst>
          </c:dPt>
          <c:dPt>
            <c:idx val="1"/>
            <c:marker>
              <c:symbol val="circle"/>
              <c:size val="5"/>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10-71FF-4E7A-8843-E860F3E1A87A}"/>
              </c:ext>
            </c:extLst>
          </c:dPt>
          <c:dPt>
            <c:idx val="2"/>
            <c:marker>
              <c:symbol val="circle"/>
              <c:size val="5"/>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12-71FF-4E7A-8843-E860F3E1A87A}"/>
              </c:ext>
            </c:extLst>
          </c:dPt>
          <c:cat>
            <c:multiLvlStrRef>
              <c:f>Figure31!$A$4:$B$18</c:f>
              <c:multiLvlStrCache>
                <c:ptCount val="15"/>
                <c:lvl>
                  <c:pt idx="0">
                    <c:v>Apr</c:v>
                  </c:pt>
                  <c:pt idx="1">
                    <c:v>May</c:v>
                  </c:pt>
                  <c:pt idx="2">
                    <c:v>Jun</c:v>
                  </c:pt>
                  <c:pt idx="3">
                    <c:v>Jul</c:v>
                  </c:pt>
                  <c:pt idx="4">
                    <c:v>Aug</c:v>
                  </c:pt>
                  <c:pt idx="5">
                    <c:v>Sep</c:v>
                  </c:pt>
                  <c:pt idx="6">
                    <c:v>Oct</c:v>
                  </c:pt>
                  <c:pt idx="7">
                    <c:v>Nov</c:v>
                  </c:pt>
                  <c:pt idx="8">
                    <c:v>Dec</c:v>
                  </c:pt>
                  <c:pt idx="9">
                    <c:v>Jan</c:v>
                  </c:pt>
                  <c:pt idx="10">
                    <c:v>Feb</c:v>
                  </c:pt>
                  <c:pt idx="11">
                    <c:v>Mar</c:v>
                  </c:pt>
                  <c:pt idx="12">
                    <c:v>Apr</c:v>
                  </c:pt>
                  <c:pt idx="13">
                    <c:v>May</c:v>
                  </c:pt>
                  <c:pt idx="14">
                    <c:v>Jun</c:v>
                  </c:pt>
                </c:lvl>
                <c:lvl>
                  <c:pt idx="0">
                    <c:v>2020</c:v>
                  </c:pt>
                  <c:pt idx="9">
                    <c:v>2021</c:v>
                  </c:pt>
                </c:lvl>
              </c:multiLvlStrCache>
            </c:multiLvlStrRef>
          </c:cat>
          <c:val>
            <c:numRef>
              <c:f>Figure31!$C$4:$C$18</c:f>
              <c:numCache>
                <c:formatCode>#,##0</c:formatCode>
                <c:ptCount val="15"/>
                <c:pt idx="0">
                  <c:v>25191</c:v>
                </c:pt>
                <c:pt idx="1">
                  <c:v>35668</c:v>
                </c:pt>
                <c:pt idx="2">
                  <c:v>23049</c:v>
                </c:pt>
                <c:pt idx="3">
                  <c:v>21210.296399999999</c:v>
                </c:pt>
                <c:pt idx="4">
                  <c:v>25479.923999999999</c:v>
                </c:pt>
                <c:pt idx="5">
                  <c:v>16209.4172</c:v>
                </c:pt>
                <c:pt idx="6">
                  <c:v>13576.9794</c:v>
                </c:pt>
                <c:pt idx="7">
                  <c:v>17596.653200000001</c:v>
                </c:pt>
                <c:pt idx="8">
                  <c:v>15352</c:v>
                </c:pt>
                <c:pt idx="9">
                  <c:v>18342</c:v>
                </c:pt>
                <c:pt idx="10">
                  <c:v>19985</c:v>
                </c:pt>
                <c:pt idx="11">
                  <c:v>16490</c:v>
                </c:pt>
                <c:pt idx="12">
                  <c:v>15070</c:v>
                </c:pt>
                <c:pt idx="13">
                  <c:v>22602</c:v>
                </c:pt>
                <c:pt idx="14">
                  <c:v>16950</c:v>
                </c:pt>
              </c:numCache>
            </c:numRef>
          </c:val>
          <c:smooth val="0"/>
          <c:extLst>
            <c:ext xmlns:c16="http://schemas.microsoft.com/office/drawing/2014/chart" uri="{C3380CC4-5D6E-409C-BE32-E72D297353CC}">
              <c16:uniqueId val="{00000013-71FF-4E7A-8843-E860F3E1A87A}"/>
            </c:ext>
          </c:extLst>
        </c:ser>
        <c:dLbls>
          <c:showLegendKey val="0"/>
          <c:showVal val="0"/>
          <c:showCatName val="0"/>
          <c:showSerName val="0"/>
          <c:showPercent val="0"/>
          <c:showBubbleSize val="0"/>
        </c:dLbls>
        <c:marker val="1"/>
        <c:smooth val="0"/>
        <c:axId val="1969689407"/>
        <c:axId val="1969682335"/>
      </c:lineChart>
      <c:catAx>
        <c:axId val="443111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3109487"/>
        <c:crosses val="autoZero"/>
        <c:auto val="1"/>
        <c:lblAlgn val="ctr"/>
        <c:lblOffset val="100"/>
        <c:noMultiLvlLbl val="0"/>
      </c:catAx>
      <c:valAx>
        <c:axId val="443109487"/>
        <c:scaling>
          <c:orientation val="minMax"/>
        </c:scaling>
        <c:delete val="0"/>
        <c:axPos val="l"/>
        <c:majorGridlines>
          <c:spPr>
            <a:ln w="9525" cap="flat" cmpd="sng" algn="ctr">
              <a:solidFill>
                <a:schemeClr val="tx1">
                  <a:lumMod val="15000"/>
                  <a:lumOff val="85000"/>
                </a:schemeClr>
              </a:solidFill>
              <a:round/>
            </a:ln>
            <a:effectLst/>
          </c:spPr>
        </c:majorGridlines>
        <c:title>
          <c:tx>
            <c:strRef>
              <c:f>Figure31!$G$3</c:f>
              <c:strCache>
                <c:ptCount val="1"/>
                <c:pt idx="0">
                  <c:v>Residential accounts commencing TA and offered practical assistance</c:v>
                </c:pt>
              </c:strCache>
            </c:strRef>
          </c:tx>
          <c:layout>
            <c:manualLayout>
              <c:xMode val="edge"/>
              <c:yMode val="edge"/>
              <c:x val="1.2453360342405332E-2"/>
              <c:y val="0.1777814444997148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3111151"/>
        <c:crosses val="autoZero"/>
        <c:crossBetween val="between"/>
      </c:valAx>
      <c:valAx>
        <c:axId val="1969682335"/>
        <c:scaling>
          <c:orientation val="minMax"/>
        </c:scaling>
        <c:delete val="0"/>
        <c:axPos val="r"/>
        <c:title>
          <c:tx>
            <c:strRef>
              <c:f>Figure31!$C$3</c:f>
              <c:strCache>
                <c:ptCount val="1"/>
                <c:pt idx="0">
                  <c:v>Customers enquiring assistance</c:v>
                </c:pt>
              </c:strCache>
            </c:strRef>
          </c:tx>
          <c:layout>
            <c:manualLayout>
              <c:xMode val="edge"/>
              <c:yMode val="edge"/>
              <c:x val="0.96638987813245325"/>
              <c:y val="0.1916906688666998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69689407"/>
        <c:crosses val="max"/>
        <c:crossBetween val="between"/>
      </c:valAx>
      <c:catAx>
        <c:axId val="1969689407"/>
        <c:scaling>
          <c:orientation val="minMax"/>
        </c:scaling>
        <c:delete val="1"/>
        <c:axPos val="b"/>
        <c:numFmt formatCode="General" sourceLinked="1"/>
        <c:majorTickMark val="out"/>
        <c:minorTickMark val="none"/>
        <c:tickLblPos val="nextTo"/>
        <c:crossAx val="1969682335"/>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'Figure 12'!$B$2</c:f>
              <c:strCache>
                <c:ptCount val="1"/>
                <c:pt idx="0">
                  <c:v>Annual Electricity Concessions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4"/>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12'!$A$3:$A$6</c:f>
              <c:strCache>
                <c:ptCount val="4"/>
                <c:pt idx="0">
                  <c:v>FY17-18</c:v>
                </c:pt>
                <c:pt idx="1">
                  <c:v>FY18-19</c:v>
                </c:pt>
                <c:pt idx="2">
                  <c:v>FY19-20</c:v>
                </c:pt>
                <c:pt idx="3">
                  <c:v>FY20-21</c:v>
                </c:pt>
              </c:strCache>
            </c:strRef>
          </c:cat>
          <c:val>
            <c:numRef>
              <c:f>'Figure 12'!$B$3:$B$6</c:f>
              <c:numCache>
                <c:formatCode>_-* #,##0_-;\-* #,##0_-;_-* "-"??_-;_-@_-</c:formatCode>
                <c:ptCount val="4"/>
                <c:pt idx="0">
                  <c:v>917715</c:v>
                </c:pt>
                <c:pt idx="1">
                  <c:v>919886</c:v>
                </c:pt>
                <c:pt idx="2">
                  <c:v>896142</c:v>
                </c:pt>
                <c:pt idx="3">
                  <c:v>1006842</c:v>
                </c:pt>
              </c:numCache>
            </c:numRef>
          </c:val>
          <c:extLst>
            <c:ext xmlns:c16="http://schemas.microsoft.com/office/drawing/2014/chart" uri="{C3380CC4-5D6E-409C-BE32-E72D297353CC}">
              <c16:uniqueId val="{00000000-0342-4925-87B7-B738D436CE76}"/>
            </c:ext>
          </c:extLst>
        </c:ser>
        <c:ser>
          <c:idx val="1"/>
          <c:order val="1"/>
          <c:tx>
            <c:strRef>
              <c:f>'Figure 12'!$C$2</c:f>
              <c:strCache>
                <c:ptCount val="1"/>
                <c:pt idx="0">
                  <c:v>Winter Gas Concessions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12'!$A$3:$A$6</c:f>
              <c:strCache>
                <c:ptCount val="4"/>
                <c:pt idx="0">
                  <c:v>FY17-18</c:v>
                </c:pt>
                <c:pt idx="1">
                  <c:v>FY18-19</c:v>
                </c:pt>
                <c:pt idx="2">
                  <c:v>FY19-20</c:v>
                </c:pt>
                <c:pt idx="3">
                  <c:v>FY20-21</c:v>
                </c:pt>
              </c:strCache>
            </c:strRef>
          </c:cat>
          <c:val>
            <c:numRef>
              <c:f>'Figure 12'!$C$3:$C$6</c:f>
              <c:numCache>
                <c:formatCode>_-* #,##0_-;\-* #,##0_-;_-* "-"??_-;_-@_-</c:formatCode>
                <c:ptCount val="4"/>
                <c:pt idx="0">
                  <c:v>670808</c:v>
                </c:pt>
                <c:pt idx="1">
                  <c:v>679217</c:v>
                </c:pt>
                <c:pt idx="2">
                  <c:v>645017</c:v>
                </c:pt>
                <c:pt idx="3">
                  <c:v>704468</c:v>
                </c:pt>
              </c:numCache>
            </c:numRef>
          </c:val>
          <c:extLst>
            <c:ext xmlns:c16="http://schemas.microsoft.com/office/drawing/2014/chart" uri="{C3380CC4-5D6E-409C-BE32-E72D297353CC}">
              <c16:uniqueId val="{00000001-0342-4925-87B7-B738D436CE76}"/>
            </c:ext>
          </c:extLst>
        </c:ser>
        <c:dLbls>
          <c:dLblPos val="outEnd"/>
          <c:showLegendKey val="0"/>
          <c:showVal val="1"/>
          <c:showCatName val="0"/>
          <c:showSerName val="0"/>
          <c:showPercent val="0"/>
          <c:showBubbleSize val="0"/>
        </c:dLbls>
        <c:gapWidth val="219"/>
        <c:overlap val="-27"/>
        <c:axId val="97925167"/>
        <c:axId val="97940559"/>
      </c:barChart>
      <c:catAx>
        <c:axId val="979251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940559"/>
        <c:crosses val="autoZero"/>
        <c:auto val="0"/>
        <c:lblAlgn val="ctr"/>
        <c:lblOffset val="100"/>
        <c:noMultiLvlLbl val="0"/>
      </c:catAx>
      <c:valAx>
        <c:axId val="979405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9251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'Figure 13'!$B$2</c:f>
              <c:strCache>
                <c:ptCount val="1"/>
                <c:pt idx="0">
                  <c:v>Electricity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4"/>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13'!$A$3:$A$6</c:f>
              <c:strCache>
                <c:ptCount val="4"/>
                <c:pt idx="0">
                  <c:v>FY17-18</c:v>
                </c:pt>
                <c:pt idx="1">
                  <c:v>FY18-19</c:v>
                </c:pt>
                <c:pt idx="2">
                  <c:v>FY19-20</c:v>
                </c:pt>
                <c:pt idx="3">
                  <c:v>FY20-21</c:v>
                </c:pt>
              </c:strCache>
            </c:strRef>
          </c:cat>
          <c:val>
            <c:numRef>
              <c:f>'Figure 13'!$B$3:$B$6</c:f>
              <c:numCache>
                <c:formatCode>_-* #,##0_-;\-* #,##0_-;_-* "-"??_-;_-@_-</c:formatCode>
                <c:ptCount val="4"/>
                <c:pt idx="0">
                  <c:v>18467</c:v>
                </c:pt>
                <c:pt idx="1">
                  <c:v>16530</c:v>
                </c:pt>
                <c:pt idx="2">
                  <c:v>28412</c:v>
                </c:pt>
                <c:pt idx="3">
                  <c:v>40466</c:v>
                </c:pt>
              </c:numCache>
            </c:numRef>
          </c:val>
          <c:extLst>
            <c:ext xmlns:c16="http://schemas.microsoft.com/office/drawing/2014/chart" uri="{C3380CC4-5D6E-409C-BE32-E72D297353CC}">
              <c16:uniqueId val="{00000000-7333-4D21-9168-D17DCEE8F43B}"/>
            </c:ext>
          </c:extLst>
        </c:ser>
        <c:ser>
          <c:idx val="1"/>
          <c:order val="1"/>
          <c:tx>
            <c:strRef>
              <c:f>'Figure 13'!$C$2</c:f>
              <c:strCache>
                <c:ptCount val="1"/>
                <c:pt idx="0">
                  <c:v>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13'!$A$3:$A$6</c:f>
              <c:strCache>
                <c:ptCount val="4"/>
                <c:pt idx="0">
                  <c:v>FY17-18</c:v>
                </c:pt>
                <c:pt idx="1">
                  <c:v>FY18-19</c:v>
                </c:pt>
                <c:pt idx="2">
                  <c:v>FY19-20</c:v>
                </c:pt>
                <c:pt idx="3">
                  <c:v>FY20-21</c:v>
                </c:pt>
              </c:strCache>
            </c:strRef>
          </c:cat>
          <c:val>
            <c:numRef>
              <c:f>'Figure 13'!$C$3:$C$6</c:f>
              <c:numCache>
                <c:formatCode>_-* #,##0_-;\-* #,##0_-;_-* "-"??_-;_-@_-</c:formatCode>
                <c:ptCount val="4"/>
                <c:pt idx="0">
                  <c:v>14096</c:v>
                </c:pt>
                <c:pt idx="1">
                  <c:v>12578</c:v>
                </c:pt>
                <c:pt idx="2">
                  <c:v>22005</c:v>
                </c:pt>
                <c:pt idx="3">
                  <c:v>31514</c:v>
                </c:pt>
              </c:numCache>
            </c:numRef>
          </c:val>
          <c:extLst>
            <c:ext xmlns:c16="http://schemas.microsoft.com/office/drawing/2014/chart" uri="{C3380CC4-5D6E-409C-BE32-E72D297353CC}">
              <c16:uniqueId val="{00000001-7333-4D21-9168-D17DCEE8F43B}"/>
            </c:ext>
          </c:extLst>
        </c:ser>
        <c:dLbls>
          <c:dLblPos val="outEnd"/>
          <c:showLegendKey val="0"/>
          <c:showVal val="1"/>
          <c:showCatName val="0"/>
          <c:showSerName val="0"/>
          <c:showPercent val="0"/>
          <c:showBubbleSize val="0"/>
        </c:dLbls>
        <c:gapWidth val="219"/>
        <c:overlap val="-27"/>
        <c:axId val="97925167"/>
        <c:axId val="97940559"/>
      </c:barChart>
      <c:catAx>
        <c:axId val="979251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940559"/>
        <c:crosses val="autoZero"/>
        <c:auto val="0"/>
        <c:lblAlgn val="ctr"/>
        <c:lblOffset val="100"/>
        <c:noMultiLvlLbl val="0"/>
      </c:catAx>
      <c:valAx>
        <c:axId val="979405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9251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938492063492064E-2"/>
          <c:y val="0.18831309050913697"/>
          <c:w val="0.96220238095238098"/>
          <c:h val="0.5620802739256055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'key findings at a glance'!$B$11:$C$11</c:f>
              <c:strCache>
                <c:ptCount val="2"/>
                <c:pt idx="0">
                  <c:v>July 2013 to                             June 2014</c:v>
                </c:pt>
                <c:pt idx="1">
                  <c:v>April 2019 to                         March 2020</c:v>
                </c:pt>
              </c:strCache>
            </c:strRef>
          </c:cat>
          <c:val>
            <c:numRef>
              <c:f>'key findings at a glance'!$B$12:$C$12</c:f>
              <c:numCache>
                <c:formatCode>_-* #,##0_-;\-* #,##0_-;_-* "-"??_-;_-@_-</c:formatCode>
                <c:ptCount val="2"/>
                <c:pt idx="0">
                  <c:v>34496</c:v>
                </c:pt>
                <c:pt idx="1">
                  <c:v>22795</c:v>
                </c:pt>
              </c:numCache>
            </c:numRef>
          </c:val>
          <c:extLst>
            <c:ext xmlns:c16="http://schemas.microsoft.com/office/drawing/2014/chart" uri="{C3380CC4-5D6E-409C-BE32-E72D297353CC}">
              <c16:uniqueId val="{00000000-D8AC-4B20-B737-D50210D4EB7A}"/>
            </c:ext>
          </c:extLst>
        </c:ser>
        <c:dLbls>
          <c:showLegendKey val="0"/>
          <c:showVal val="0"/>
          <c:showCatName val="0"/>
          <c:showSerName val="0"/>
          <c:showPercent val="0"/>
          <c:showBubbleSize val="0"/>
        </c:dLbls>
        <c:gapWidth val="96"/>
        <c:axId val="1379677663"/>
        <c:axId val="1379684319"/>
      </c:barChart>
      <c:catAx>
        <c:axId val="1379677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684319"/>
        <c:crosses val="autoZero"/>
        <c:auto val="1"/>
        <c:lblAlgn val="ctr"/>
        <c:lblOffset val="100"/>
        <c:noMultiLvlLbl val="0"/>
      </c:catAx>
      <c:valAx>
        <c:axId val="1379684319"/>
        <c:scaling>
          <c:orientation val="minMax"/>
        </c:scaling>
        <c:delete val="1"/>
        <c:axPos val="l"/>
        <c:numFmt formatCode="_-* #,##0_-;\-* #,##0_-;_-* &quot;-&quot;??_-;_-@_-" sourceLinked="1"/>
        <c:majorTickMark val="none"/>
        <c:minorTickMark val="none"/>
        <c:tickLblPos val="nextTo"/>
        <c:crossAx val="1379677663"/>
        <c:crosses val="autoZero"/>
        <c:crossBetween val="between"/>
        <c:majorUnit val="15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27333871401668014"/>
          <c:w val="0.98859647698676845"/>
          <c:h val="0.4504959519957484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'key findings at a glance'!$B$7:$C$7</c:f>
              <c:strCache>
                <c:ptCount val="2"/>
                <c:pt idx="0">
                  <c:v>2018-19                (electricity)</c:v>
                </c:pt>
                <c:pt idx="1">
                  <c:v>2021-22 (Jul-Dec 2021) (electricity)</c:v>
                </c:pt>
              </c:strCache>
            </c:strRef>
          </c:cat>
          <c:val>
            <c:numRef>
              <c:f>'key findings at a glance'!$B$8:$C$8</c:f>
              <c:numCache>
                <c:formatCode>0%</c:formatCode>
                <c:ptCount val="2"/>
                <c:pt idx="0">
                  <c:v>0.43</c:v>
                </c:pt>
                <c:pt idx="1">
                  <c:v>0.77</c:v>
                </c:pt>
              </c:numCache>
            </c:numRef>
          </c:val>
          <c:extLst>
            <c:ext xmlns:c16="http://schemas.microsoft.com/office/drawing/2014/chart" uri="{C3380CC4-5D6E-409C-BE32-E72D297353CC}">
              <c16:uniqueId val="{00000000-D1F5-4115-9020-8380E9F05E7D}"/>
            </c:ext>
          </c:extLst>
        </c:ser>
        <c:dLbls>
          <c:showLegendKey val="0"/>
          <c:showVal val="0"/>
          <c:showCatName val="0"/>
          <c:showSerName val="0"/>
          <c:showPercent val="0"/>
          <c:showBubbleSize val="0"/>
        </c:dLbls>
        <c:gapWidth val="96"/>
        <c:axId val="2024191407"/>
        <c:axId val="2024184751"/>
      </c:barChart>
      <c:catAx>
        <c:axId val="2024191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184751"/>
        <c:crosses val="autoZero"/>
        <c:auto val="1"/>
        <c:lblAlgn val="ctr"/>
        <c:lblOffset val="100"/>
        <c:noMultiLvlLbl val="0"/>
      </c:catAx>
      <c:valAx>
        <c:axId val="2024184751"/>
        <c:scaling>
          <c:orientation val="minMax"/>
        </c:scaling>
        <c:delete val="1"/>
        <c:axPos val="l"/>
        <c:numFmt formatCode="0%" sourceLinked="1"/>
        <c:majorTickMark val="none"/>
        <c:minorTickMark val="none"/>
        <c:tickLblPos val="nextTo"/>
        <c:crossAx val="20241914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4522160594940584"/>
          <c:w val="0.98847814126326994"/>
          <c:h val="0.5116670646839798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'key findings at a glance'!$B$21:$C$21</c:f>
              <c:strCache>
                <c:ptCount val="2"/>
                <c:pt idx="0">
                  <c:v>Tailored assistance customers*                      2019 and 2020</c:v>
                </c:pt>
                <c:pt idx="1">
                  <c:v>Customers not receiving assistance                                2019 and 2020</c:v>
                </c:pt>
              </c:strCache>
            </c:strRef>
          </c:cat>
          <c:val>
            <c:numRef>
              <c:f>'key findings at a glance'!$B$22:$C$22</c:f>
              <c:numCache>
                <c:formatCode>"$"#,##0.00</c:formatCode>
                <c:ptCount val="2"/>
                <c:pt idx="0">
                  <c:v>0.3</c:v>
                </c:pt>
                <c:pt idx="1">
                  <c:v>0.33</c:v>
                </c:pt>
              </c:numCache>
            </c:numRef>
          </c:val>
          <c:extLst>
            <c:ext xmlns:c16="http://schemas.microsoft.com/office/drawing/2014/chart" uri="{C3380CC4-5D6E-409C-BE32-E72D297353CC}">
              <c16:uniqueId val="{00000000-C7F8-4E06-A6B0-8381F331AC07}"/>
            </c:ext>
          </c:extLst>
        </c:ser>
        <c:dLbls>
          <c:showLegendKey val="0"/>
          <c:showVal val="0"/>
          <c:showCatName val="0"/>
          <c:showSerName val="0"/>
          <c:showPercent val="0"/>
          <c:showBubbleSize val="0"/>
        </c:dLbls>
        <c:gapWidth val="96"/>
        <c:axId val="2024191407"/>
        <c:axId val="2024184751"/>
      </c:barChart>
      <c:catAx>
        <c:axId val="2024191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184751"/>
        <c:crosses val="autoZero"/>
        <c:auto val="1"/>
        <c:lblAlgn val="ctr"/>
        <c:lblOffset val="100"/>
        <c:noMultiLvlLbl val="0"/>
      </c:catAx>
      <c:valAx>
        <c:axId val="2024184751"/>
        <c:scaling>
          <c:orientation val="minMax"/>
          <c:min val="0"/>
        </c:scaling>
        <c:delete val="1"/>
        <c:axPos val="l"/>
        <c:numFmt formatCode="&quot;$&quot;#,##0.00" sourceLinked="1"/>
        <c:majorTickMark val="none"/>
        <c:minorTickMark val="none"/>
        <c:tickLblPos val="nextTo"/>
        <c:crossAx val="20241914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8128654970761E-2"/>
          <c:y val="6.2330508474576274E-2"/>
          <c:w val="0.93501461988304091"/>
          <c:h val="0.860304008609093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35-4672-941C-D2313BE7ED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35-4672-941C-D2313BE7ED84}"/>
              </c:ext>
            </c:extLst>
          </c:dPt>
          <c:val>
            <c:numRef>
              <c:f>'key findings at a glance'!$B$26:$C$26</c:f>
              <c:numCache>
                <c:formatCode>General</c:formatCode>
                <c:ptCount val="2"/>
                <c:pt idx="0">
                  <c:v>0</c:v>
                </c:pt>
              </c:numCache>
            </c:numRef>
          </c:val>
          <c:extLst>
            <c:ext xmlns:c16="http://schemas.microsoft.com/office/drawing/2014/chart" uri="{C3380CC4-5D6E-409C-BE32-E72D297353CC}">
              <c16:uniqueId val="{00000004-B135-4672-941C-D2313BE7ED84}"/>
            </c:ext>
          </c:extLst>
        </c:ser>
        <c:ser>
          <c:idx val="1"/>
          <c:order val="1"/>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6-B135-4672-941C-D2313BE7ED84}"/>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8-B135-4672-941C-D2313BE7ED84}"/>
              </c:ext>
            </c:extLst>
          </c:dPt>
          <c:val>
            <c:numRef>
              <c:f>'key findings at a glance'!$B$27:$C$27</c:f>
              <c:numCache>
                <c:formatCode>0%</c:formatCode>
                <c:ptCount val="2"/>
                <c:pt idx="0">
                  <c:v>0.3</c:v>
                </c:pt>
                <c:pt idx="1">
                  <c:v>0.7</c:v>
                </c:pt>
              </c:numCache>
            </c:numRef>
          </c:val>
          <c:extLst>
            <c:ext xmlns:c16="http://schemas.microsoft.com/office/drawing/2014/chart" uri="{C3380CC4-5D6E-409C-BE32-E72D297353CC}">
              <c16:uniqueId val="{00000009-B135-4672-941C-D2313BE7ED84}"/>
            </c:ext>
          </c:extLst>
        </c:ser>
        <c:dLbls>
          <c:showLegendKey val="0"/>
          <c:showVal val="0"/>
          <c:showCatName val="0"/>
          <c:showSerName val="0"/>
          <c:showPercent val="0"/>
          <c:showBubbleSize val="0"/>
          <c:showLeaderLines val="1"/>
        </c:dLbls>
        <c:firstSliceAng val="0"/>
        <c:holeSize val="48"/>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8128654970761E-2"/>
          <c:y val="6.2330508474576274E-2"/>
          <c:w val="0.93501461988304091"/>
          <c:h val="0.860304008609093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87-4AA4-A71D-B6A0FC0F04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87-4AA4-A71D-B6A0FC0F0428}"/>
              </c:ext>
            </c:extLst>
          </c:dPt>
          <c:val>
            <c:numRef>
              <c:f>'key findings at a glance'!$B$35:$C$35</c:f>
              <c:numCache>
                <c:formatCode>General</c:formatCode>
                <c:ptCount val="2"/>
                <c:pt idx="0">
                  <c:v>0</c:v>
                </c:pt>
              </c:numCache>
            </c:numRef>
          </c:val>
          <c:extLst>
            <c:ext xmlns:c16="http://schemas.microsoft.com/office/drawing/2014/chart" uri="{C3380CC4-5D6E-409C-BE32-E72D297353CC}">
              <c16:uniqueId val="{00000004-D287-4AA4-A71D-B6A0FC0F0428}"/>
            </c:ext>
          </c:extLst>
        </c:ser>
        <c:ser>
          <c:idx val="1"/>
          <c:order val="1"/>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6-D287-4AA4-A71D-B6A0FC0F0428}"/>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8-D287-4AA4-A71D-B6A0FC0F0428}"/>
              </c:ext>
            </c:extLst>
          </c:dPt>
          <c:val>
            <c:numRef>
              <c:f>'key findings at a glance'!$B$36:$C$36</c:f>
              <c:numCache>
                <c:formatCode>0%</c:formatCode>
                <c:ptCount val="2"/>
                <c:pt idx="0">
                  <c:v>0.75</c:v>
                </c:pt>
                <c:pt idx="1">
                  <c:v>0.25</c:v>
                </c:pt>
              </c:numCache>
            </c:numRef>
          </c:val>
          <c:extLst>
            <c:ext xmlns:c16="http://schemas.microsoft.com/office/drawing/2014/chart" uri="{C3380CC4-5D6E-409C-BE32-E72D297353CC}">
              <c16:uniqueId val="{00000009-D287-4AA4-A71D-B6A0FC0F0428}"/>
            </c:ext>
          </c:extLst>
        </c:ser>
        <c:dLbls>
          <c:showLegendKey val="0"/>
          <c:showVal val="0"/>
          <c:showCatName val="0"/>
          <c:showSerName val="0"/>
          <c:showPercent val="0"/>
          <c:showBubbleSize val="0"/>
          <c:showLeaderLines val="1"/>
        </c:dLbls>
        <c:firstSliceAng val="0"/>
        <c:holeSize val="48"/>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8128654970761E-2"/>
          <c:y val="6.2330508474576274E-2"/>
          <c:w val="0.93501461988304091"/>
          <c:h val="0.860304008609093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6A-4F5E-A7F8-767BB12A21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6A-4F5E-A7F8-767BB12A2153}"/>
              </c:ext>
            </c:extLst>
          </c:dPt>
          <c:val>
            <c:numRef>
              <c:f>'key findings at a glance'!$B$31:$C$31</c:f>
              <c:numCache>
                <c:formatCode>General</c:formatCode>
                <c:ptCount val="2"/>
                <c:pt idx="0">
                  <c:v>0</c:v>
                </c:pt>
              </c:numCache>
            </c:numRef>
          </c:val>
          <c:extLst>
            <c:ext xmlns:c16="http://schemas.microsoft.com/office/drawing/2014/chart" uri="{C3380CC4-5D6E-409C-BE32-E72D297353CC}">
              <c16:uniqueId val="{00000004-F46A-4F5E-A7F8-767BB12A2153}"/>
            </c:ext>
          </c:extLst>
        </c:ser>
        <c:ser>
          <c:idx val="1"/>
          <c:order val="1"/>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6-F46A-4F5E-A7F8-767BB12A2153}"/>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8-F46A-4F5E-A7F8-767BB12A2153}"/>
              </c:ext>
            </c:extLst>
          </c:dPt>
          <c:val>
            <c:numRef>
              <c:f>'key findings at a glance'!$B$32:$C$32</c:f>
              <c:numCache>
                <c:formatCode>0%</c:formatCode>
                <c:ptCount val="2"/>
                <c:pt idx="0">
                  <c:v>0.98</c:v>
                </c:pt>
                <c:pt idx="1">
                  <c:v>2.0000000000000018E-2</c:v>
                </c:pt>
              </c:numCache>
            </c:numRef>
          </c:val>
          <c:extLst>
            <c:ext xmlns:c16="http://schemas.microsoft.com/office/drawing/2014/chart" uri="{C3380CC4-5D6E-409C-BE32-E72D297353CC}">
              <c16:uniqueId val="{00000009-F46A-4F5E-A7F8-767BB12A2153}"/>
            </c:ext>
          </c:extLst>
        </c:ser>
        <c:dLbls>
          <c:showLegendKey val="0"/>
          <c:showVal val="0"/>
          <c:showCatName val="0"/>
          <c:showSerName val="0"/>
          <c:showPercent val="0"/>
          <c:showBubbleSize val="0"/>
          <c:showLeaderLines val="1"/>
        </c:dLbls>
        <c:firstSliceAng val="0"/>
        <c:holeSize val="48"/>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126615616346913E-3"/>
          <c:y val="0.19646695166948641"/>
          <c:w val="0.98053810284023779"/>
          <c:h val="0.48170275170110355"/>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'key findings at a glance'!$B$41:$C$41</c:f>
              <c:strCache>
                <c:ptCount val="2"/>
                <c:pt idx="0">
                  <c:v>Tailored assistance customers*                         2019 to 2020</c:v>
                </c:pt>
                <c:pt idx="1">
                  <c:v>Customers not receiving assistance                                   2019 to 2020</c:v>
                </c:pt>
              </c:strCache>
            </c:strRef>
          </c:cat>
          <c:val>
            <c:numRef>
              <c:f>'key findings at a glance'!$B$42:$C$42</c:f>
              <c:numCache>
                <c:formatCode>General</c:formatCode>
                <c:ptCount val="2"/>
                <c:pt idx="0">
                  <c:v>15.6</c:v>
                </c:pt>
                <c:pt idx="1">
                  <c:v>10.6</c:v>
                </c:pt>
              </c:numCache>
            </c:numRef>
          </c:val>
          <c:extLst>
            <c:ext xmlns:c16="http://schemas.microsoft.com/office/drawing/2014/chart" uri="{C3380CC4-5D6E-409C-BE32-E72D297353CC}">
              <c16:uniqueId val="{00000000-19C2-4BE7-B863-C9DC9952C7B2}"/>
            </c:ext>
          </c:extLst>
        </c:ser>
        <c:dLbls>
          <c:showLegendKey val="0"/>
          <c:showVal val="0"/>
          <c:showCatName val="0"/>
          <c:showSerName val="0"/>
          <c:showPercent val="0"/>
          <c:showBubbleSize val="0"/>
        </c:dLbls>
        <c:gapWidth val="158"/>
        <c:axId val="2024191407"/>
        <c:axId val="2024184751"/>
      </c:barChart>
      <c:catAx>
        <c:axId val="2024191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184751"/>
        <c:crosses val="autoZero"/>
        <c:auto val="1"/>
        <c:lblAlgn val="ctr"/>
        <c:lblOffset val="100"/>
        <c:noMultiLvlLbl val="0"/>
      </c:catAx>
      <c:valAx>
        <c:axId val="2024184751"/>
        <c:scaling>
          <c:orientation val="minMax"/>
          <c:min val="0"/>
        </c:scaling>
        <c:delete val="1"/>
        <c:axPos val="l"/>
        <c:numFmt formatCode="General" sourceLinked="1"/>
        <c:majorTickMark val="none"/>
        <c:minorTickMark val="none"/>
        <c:tickLblPos val="nextTo"/>
        <c:crossAx val="20241914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938492063492064E-2"/>
          <c:y val="0.29935683739098223"/>
          <c:w val="0.96220238095238098"/>
          <c:h val="0.45103680506448462"/>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'key findings at a glance'!$B$46:$C$46</c:f>
              <c:strCache>
                <c:ptCount val="2"/>
                <c:pt idx="0">
                  <c:v>2018-2019</c:v>
                </c:pt>
                <c:pt idx="1">
                  <c:v>2020-21</c:v>
                </c:pt>
              </c:strCache>
            </c:strRef>
          </c:cat>
          <c:val>
            <c:numRef>
              <c:f>'key findings at a glance'!$B$47:$C$47</c:f>
              <c:numCache>
                <c:formatCode>"$"#,##0_);\("$"#,##0\)</c:formatCode>
                <c:ptCount val="2"/>
                <c:pt idx="0">
                  <c:v>1161</c:v>
                </c:pt>
                <c:pt idx="1">
                  <c:v>1343</c:v>
                </c:pt>
              </c:numCache>
            </c:numRef>
          </c:val>
          <c:extLst>
            <c:ext xmlns:c16="http://schemas.microsoft.com/office/drawing/2014/chart" uri="{C3380CC4-5D6E-409C-BE32-E72D297353CC}">
              <c16:uniqueId val="{00000000-80BD-4E44-9545-93EEF899992A}"/>
            </c:ext>
          </c:extLst>
        </c:ser>
        <c:dLbls>
          <c:showLegendKey val="0"/>
          <c:showVal val="0"/>
          <c:showCatName val="0"/>
          <c:showSerName val="0"/>
          <c:showPercent val="0"/>
          <c:showBubbleSize val="0"/>
        </c:dLbls>
        <c:gapWidth val="158"/>
        <c:axId val="1379677663"/>
        <c:axId val="1379684319"/>
      </c:barChart>
      <c:catAx>
        <c:axId val="13796776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684319"/>
        <c:crosses val="autoZero"/>
        <c:auto val="1"/>
        <c:lblAlgn val="ctr"/>
        <c:lblOffset val="100"/>
        <c:noMultiLvlLbl val="0"/>
      </c:catAx>
      <c:valAx>
        <c:axId val="1379684319"/>
        <c:scaling>
          <c:orientation val="minMax"/>
          <c:min val="0"/>
        </c:scaling>
        <c:delete val="1"/>
        <c:axPos val="l"/>
        <c:numFmt formatCode="&quot;$&quot;#,##0_);\(&quot;$&quot;#,##0\)" sourceLinked="1"/>
        <c:majorTickMark val="out"/>
        <c:minorTickMark val="none"/>
        <c:tickLblPos val="nextTo"/>
        <c:crossAx val="1379677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0.00945</cdr:x>
      <cdr:y>0.01622</cdr:y>
    </cdr:from>
    <cdr:to>
      <cdr:x>0.49137</cdr:x>
      <cdr:y>0.45242</cdr:y>
    </cdr:to>
    <cdr:sp macro="" textlink="">
      <cdr:nvSpPr>
        <cdr:cNvPr id="2" name="TextBox 1">
          <a:extLst xmlns:a="http://schemas.openxmlformats.org/drawingml/2006/main">
            <a:ext uri="{FF2B5EF4-FFF2-40B4-BE49-F238E27FC236}">
              <a16:creationId xmlns:a16="http://schemas.microsoft.com/office/drawing/2014/main" id="{05D87A16-2C41-4521-830F-390D2A092E37}"/>
            </a:ext>
          </a:extLst>
        </cdr:cNvPr>
        <cdr:cNvSpPr txBox="1"/>
      </cdr:nvSpPr>
      <cdr:spPr>
        <a:xfrm xmlns:a="http://schemas.openxmlformats.org/drawingml/2006/main">
          <a:off x="26195" y="24110"/>
          <a:ext cx="1335883" cy="6485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b="1"/>
            <a:t>hardship program customers</a:t>
          </a:r>
        </a:p>
        <a:p xmlns:a="http://schemas.openxmlformats.org/drawingml/2006/main">
          <a:pPr algn="ctr"/>
          <a:r>
            <a:rPr lang="en-AU" sz="900" b="0"/>
            <a:t>(pre-framework)</a:t>
          </a:r>
        </a:p>
      </cdr:txBody>
    </cdr:sp>
  </cdr:relSizeAnchor>
  <cdr:relSizeAnchor xmlns:cdr="http://schemas.openxmlformats.org/drawingml/2006/chartDrawing">
    <cdr:from>
      <cdr:x>0.49294</cdr:x>
      <cdr:y>0.00855</cdr:y>
    </cdr:from>
    <cdr:to>
      <cdr:x>0.97486</cdr:x>
      <cdr:y>0.44476</cdr:y>
    </cdr:to>
    <cdr:sp macro="" textlink="">
      <cdr:nvSpPr>
        <cdr:cNvPr id="3" name="TextBox 1">
          <a:extLst xmlns:a="http://schemas.openxmlformats.org/drawingml/2006/main">
            <a:ext uri="{FF2B5EF4-FFF2-40B4-BE49-F238E27FC236}">
              <a16:creationId xmlns:a16="http://schemas.microsoft.com/office/drawing/2014/main" id="{A4185969-4192-4821-8071-1CBB8BD38EFD}"/>
            </a:ext>
          </a:extLst>
        </cdr:cNvPr>
        <cdr:cNvSpPr txBox="1"/>
      </cdr:nvSpPr>
      <cdr:spPr>
        <a:xfrm xmlns:a="http://schemas.openxmlformats.org/drawingml/2006/main">
          <a:off x="993775" y="12700"/>
          <a:ext cx="971550" cy="647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t>tailored assistance customers</a:t>
          </a:r>
        </a:p>
      </cdr:txBody>
    </cdr:sp>
  </cdr:relSizeAnchor>
</c:userShapes>
</file>

<file path=word/drawings/drawing10.xml><?xml version="1.0" encoding="utf-8"?>
<c:userShapes xmlns:c="http://schemas.openxmlformats.org/drawingml/2006/chart">
  <cdr:relSizeAnchor xmlns:cdr="http://schemas.openxmlformats.org/drawingml/2006/chartDrawing">
    <cdr:from>
      <cdr:x>0.26438</cdr:x>
      <cdr:y>0.16027</cdr:y>
    </cdr:from>
    <cdr:to>
      <cdr:x>0.78855</cdr:x>
      <cdr:y>0.6984</cdr:y>
    </cdr:to>
    <cdr:sp macro="" textlink="">
      <cdr:nvSpPr>
        <cdr:cNvPr id="2" name="TextBox 1">
          <a:extLst xmlns:a="http://schemas.openxmlformats.org/drawingml/2006/main">
            <a:ext uri="{FF2B5EF4-FFF2-40B4-BE49-F238E27FC236}">
              <a16:creationId xmlns:a16="http://schemas.microsoft.com/office/drawing/2014/main" id="{02A1C320-D7AE-40F5-9906-E86117793F38}"/>
            </a:ext>
          </a:extLst>
        </cdr:cNvPr>
        <cdr:cNvSpPr txBox="1"/>
      </cdr:nvSpPr>
      <cdr:spPr>
        <a:xfrm xmlns:a="http://schemas.openxmlformats.org/drawingml/2006/main">
          <a:off x="523462" y="238251"/>
          <a:ext cx="1037820" cy="7999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800" b="1"/>
            <a:t>38%</a:t>
          </a:r>
          <a:endParaRPr lang="en-AU" sz="800" b="1"/>
        </a:p>
        <a:p xmlns:a="http://schemas.openxmlformats.org/drawingml/2006/main">
          <a:pPr algn="ctr"/>
          <a:r>
            <a:rPr lang="en-AU" sz="800" b="0" baseline="0"/>
            <a:t>customers exited tailored assistance for not making their payments</a:t>
          </a:r>
        </a:p>
        <a:p xmlns:a="http://schemas.openxmlformats.org/drawingml/2006/main">
          <a:pPr algn="ctr"/>
          <a:r>
            <a:rPr lang="en-AU" sz="800" b="0" baseline="0"/>
            <a:t>(2020-21)</a:t>
          </a:r>
          <a:endParaRPr lang="en-AU" sz="800" b="0"/>
        </a:p>
      </cdr:txBody>
    </cdr:sp>
  </cdr:relSizeAnchor>
</c:userShapes>
</file>

<file path=word/drawings/drawing11.xml><?xml version="1.0" encoding="utf-8"?>
<c:userShapes xmlns:c="http://schemas.openxmlformats.org/drawingml/2006/chart">
  <cdr:relSizeAnchor xmlns:cdr="http://schemas.openxmlformats.org/drawingml/2006/chartDrawing">
    <cdr:from>
      <cdr:x>0.26194</cdr:x>
      <cdr:y>0.19731</cdr:y>
    </cdr:from>
    <cdr:to>
      <cdr:x>0.78581</cdr:x>
      <cdr:y>0.71611</cdr:y>
    </cdr:to>
    <cdr:sp macro="" textlink="">
      <cdr:nvSpPr>
        <cdr:cNvPr id="2" name="TextBox 1">
          <a:extLst xmlns:a="http://schemas.openxmlformats.org/drawingml/2006/main">
            <a:ext uri="{FF2B5EF4-FFF2-40B4-BE49-F238E27FC236}">
              <a16:creationId xmlns:a16="http://schemas.microsoft.com/office/drawing/2014/main" id="{02A1C320-D7AE-40F5-9906-E86117793F38}"/>
            </a:ext>
          </a:extLst>
        </cdr:cNvPr>
        <cdr:cNvSpPr txBox="1"/>
      </cdr:nvSpPr>
      <cdr:spPr>
        <a:xfrm xmlns:a="http://schemas.openxmlformats.org/drawingml/2006/main">
          <a:off x="518615" y="293312"/>
          <a:ext cx="1037229" cy="7712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800" b="1"/>
            <a:t>56%</a:t>
          </a:r>
          <a:endParaRPr lang="en-AU" sz="800" b="1"/>
        </a:p>
        <a:p xmlns:a="http://schemas.openxmlformats.org/drawingml/2006/main">
          <a:pPr algn="ctr"/>
          <a:r>
            <a:rPr lang="en-AU" sz="800" b="0"/>
            <a:t>of</a:t>
          </a:r>
          <a:r>
            <a:rPr lang="en-AU" sz="800" b="0" baseline="0"/>
            <a:t> disconnected had not previously received assistance** </a:t>
          </a:r>
          <a:endParaRPr lang="en-AU" sz="800" b="0"/>
        </a:p>
      </cdr:txBody>
    </cdr:sp>
  </cdr:relSizeAnchor>
</c:userShapes>
</file>

<file path=word/drawings/drawing12.xml><?xml version="1.0" encoding="utf-8"?>
<c:userShapes xmlns:c="http://schemas.openxmlformats.org/drawingml/2006/chart">
  <cdr:relSizeAnchor xmlns:cdr="http://schemas.openxmlformats.org/drawingml/2006/chartDrawing">
    <cdr:from>
      <cdr:x>0.28269</cdr:x>
      <cdr:y>0.34201</cdr:y>
    </cdr:from>
    <cdr:to>
      <cdr:x>0.62191</cdr:x>
      <cdr:y>0.67535</cdr:y>
    </cdr:to>
    <cdr:sp macro="" textlink="">
      <cdr:nvSpPr>
        <cdr:cNvPr id="2" name="TextBox 1">
          <a:extLst xmlns:a="http://schemas.openxmlformats.org/drawingml/2006/main">
            <a:ext uri="{FF2B5EF4-FFF2-40B4-BE49-F238E27FC236}">
              <a16:creationId xmlns:a16="http://schemas.microsoft.com/office/drawing/2014/main" id="{3F702593-BFD3-40F5-BC5B-4F5B430647A8}"/>
            </a:ext>
          </a:extLst>
        </cdr:cNvPr>
        <cdr:cNvSpPr txBox="1"/>
      </cdr:nvSpPr>
      <cdr:spPr>
        <a:xfrm xmlns:a="http://schemas.openxmlformats.org/drawingml/2006/main">
          <a:off x="762000" y="9382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0.12603</cdr:x>
      <cdr:y>0.21958</cdr:y>
    </cdr:from>
    <cdr:to>
      <cdr:x>0.80448</cdr:x>
      <cdr:y>0.80985</cdr:y>
    </cdr:to>
    <cdr:sp macro="" textlink="">
      <cdr:nvSpPr>
        <cdr:cNvPr id="3" name="TextBox 2">
          <a:extLst xmlns:a="http://schemas.openxmlformats.org/drawingml/2006/main">
            <a:ext uri="{FF2B5EF4-FFF2-40B4-BE49-F238E27FC236}">
              <a16:creationId xmlns:a16="http://schemas.microsoft.com/office/drawing/2014/main" id="{C9F7FA64-B24F-47F9-BBE3-8966479BE64C}"/>
            </a:ext>
          </a:extLst>
        </cdr:cNvPr>
        <cdr:cNvSpPr txBox="1"/>
      </cdr:nvSpPr>
      <cdr:spPr>
        <a:xfrm xmlns:a="http://schemas.openxmlformats.org/drawingml/2006/main">
          <a:off x="259621" y="398492"/>
          <a:ext cx="1397555" cy="107125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spcAft>
              <a:spcPts val="500"/>
            </a:spcAft>
          </a:pPr>
          <a:r>
            <a:rPr lang="en-AU" sz="1600" b="1"/>
            <a:t>3.6%</a:t>
          </a:r>
          <a:r>
            <a:rPr lang="en-AU" sz="1000" b="1"/>
            <a:t> </a:t>
          </a:r>
        </a:p>
        <a:p xmlns:a="http://schemas.openxmlformats.org/drawingml/2006/main">
          <a:pPr algn="ctr"/>
          <a:r>
            <a:rPr lang="en-AU" sz="900" b="0"/>
            <a:t>of Victorian residential</a:t>
          </a:r>
          <a:r>
            <a:rPr lang="en-AU" sz="900" b="0" baseline="0"/>
            <a:t> electricity customers received standard assistance</a:t>
          </a:r>
          <a:endParaRPr lang="en-AU" sz="900" b="0"/>
        </a:p>
      </cdr:txBody>
    </cdr:sp>
  </cdr:relSizeAnchor>
</c:userShapes>
</file>

<file path=word/drawings/drawing13.xml><?xml version="1.0" encoding="utf-8"?>
<c:userShapes xmlns:c="http://schemas.openxmlformats.org/drawingml/2006/chart">
  <cdr:relSizeAnchor xmlns:cdr="http://schemas.openxmlformats.org/drawingml/2006/chartDrawing">
    <cdr:from>
      <cdr:x>0.02542</cdr:x>
      <cdr:y>0.28062</cdr:y>
    </cdr:from>
    <cdr:to>
      <cdr:x>0.96996</cdr:x>
      <cdr:y>1</cdr:y>
    </cdr:to>
    <cdr:sp macro="" textlink="">
      <cdr:nvSpPr>
        <cdr:cNvPr id="3" name="TextBox 2">
          <a:extLst xmlns:a="http://schemas.openxmlformats.org/drawingml/2006/main">
            <a:ext uri="{FF2B5EF4-FFF2-40B4-BE49-F238E27FC236}">
              <a16:creationId xmlns:a16="http://schemas.microsoft.com/office/drawing/2014/main" id="{C9F7FA64-B24F-47F9-BBE3-8966479BE64C}"/>
            </a:ext>
          </a:extLst>
        </cdr:cNvPr>
        <cdr:cNvSpPr txBox="1"/>
      </cdr:nvSpPr>
      <cdr:spPr>
        <a:xfrm xmlns:a="http://schemas.openxmlformats.org/drawingml/2006/main">
          <a:off x="41864" y="517473"/>
          <a:ext cx="1555844" cy="13265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600" b="1"/>
            <a:t>15%</a:t>
          </a:r>
          <a:r>
            <a:rPr lang="en-AU" sz="1100" b="1"/>
            <a:t> </a:t>
          </a:r>
        </a:p>
        <a:p xmlns:a="http://schemas.openxmlformats.org/drawingml/2006/main">
          <a:pPr algn="ctr"/>
          <a:endParaRPr lang="en-AU" sz="900"/>
        </a:p>
        <a:p xmlns:a="http://schemas.openxmlformats.org/drawingml/2006/main">
          <a:pPr algn="ctr"/>
          <a:endParaRPr lang="en-AU" sz="900"/>
        </a:p>
        <a:p xmlns:a="http://schemas.openxmlformats.org/drawingml/2006/main">
          <a:pPr algn="ctr"/>
          <a:endParaRPr lang="en-AU" sz="900"/>
        </a:p>
        <a:p xmlns:a="http://schemas.openxmlformats.org/drawingml/2006/main">
          <a:pPr algn="ctr"/>
          <a:r>
            <a:rPr lang="en-AU" sz="900"/>
            <a:t>of customers commencing tailored assistance were previously on standard assistance</a:t>
          </a:r>
        </a:p>
      </cdr:txBody>
    </cdr:sp>
  </cdr:relSizeAnchor>
</c:userShapes>
</file>

<file path=word/drawings/drawing2.xml><?xml version="1.0" encoding="utf-8"?>
<c:userShapes xmlns:c="http://schemas.openxmlformats.org/drawingml/2006/chart">
  <cdr:relSizeAnchor xmlns:cdr="http://schemas.openxmlformats.org/drawingml/2006/chartDrawing">
    <cdr:from>
      <cdr:x>0.04252</cdr:x>
      <cdr:y>0.00641</cdr:y>
    </cdr:from>
    <cdr:to>
      <cdr:x>0.98108</cdr:x>
      <cdr:y>0.15182</cdr:y>
    </cdr:to>
    <cdr:sp macro="" textlink="">
      <cdr:nvSpPr>
        <cdr:cNvPr id="3" name="TextBox 1">
          <a:extLst xmlns:a="http://schemas.openxmlformats.org/drawingml/2006/main">
            <a:ext uri="{FF2B5EF4-FFF2-40B4-BE49-F238E27FC236}">
              <a16:creationId xmlns:a16="http://schemas.microsoft.com/office/drawing/2014/main" id="{A4185969-4192-4821-8071-1CBB8BD38EFD}"/>
            </a:ext>
          </a:extLst>
        </cdr:cNvPr>
        <cdr:cNvSpPr txBox="1"/>
      </cdr:nvSpPr>
      <cdr:spPr>
        <a:xfrm xmlns:a="http://schemas.openxmlformats.org/drawingml/2006/main">
          <a:off x="117856" y="9529"/>
          <a:ext cx="2601490" cy="2161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t>electricity disconnections for unpaid bills</a:t>
          </a:r>
        </a:p>
      </cdr:txBody>
    </cdr:sp>
  </cdr:relSizeAnchor>
  <cdr:relSizeAnchor xmlns:cdr="http://schemas.openxmlformats.org/drawingml/2006/chartDrawing">
    <cdr:from>
      <cdr:x>0.44996</cdr:x>
      <cdr:y>0.14388</cdr:y>
    </cdr:from>
    <cdr:to>
      <cdr:x>0.88463</cdr:x>
      <cdr:y>0.33868</cdr:y>
    </cdr:to>
    <cdr:sp macro="" textlink="">
      <cdr:nvSpPr>
        <cdr:cNvPr id="4" name="TextBox 1">
          <a:extLst xmlns:a="http://schemas.openxmlformats.org/drawingml/2006/main">
            <a:ext uri="{FF2B5EF4-FFF2-40B4-BE49-F238E27FC236}">
              <a16:creationId xmlns:a16="http://schemas.microsoft.com/office/drawing/2014/main" id="{199119B0-0FA1-4E3D-9CA1-0FDED0959735}"/>
            </a:ext>
          </a:extLst>
        </cdr:cNvPr>
        <cdr:cNvSpPr txBox="1"/>
      </cdr:nvSpPr>
      <cdr:spPr>
        <a:xfrm xmlns:a="http://schemas.openxmlformats.org/drawingml/2006/main">
          <a:off x="1247199" y="213880"/>
          <a:ext cx="1204808" cy="2895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1050" b="1">
              <a:solidFill>
                <a:schemeClr val="accent1"/>
              </a:solidFill>
            </a:rPr>
            <a:t>34%</a:t>
          </a:r>
          <a:r>
            <a:rPr lang="en-AU" sz="1050" b="1" baseline="0">
              <a:solidFill>
                <a:schemeClr val="accent1"/>
              </a:solidFill>
            </a:rPr>
            <a:t> decrease</a:t>
          </a:r>
          <a:endParaRPr lang="en-AU" sz="1050" b="1">
            <a:solidFill>
              <a:schemeClr val="accent1"/>
            </a:solidFill>
          </a:endParaRPr>
        </a:p>
      </cdr:txBody>
    </cdr:sp>
  </cdr:relSizeAnchor>
  <cdr:relSizeAnchor xmlns:cdr="http://schemas.openxmlformats.org/drawingml/2006/chartDrawing">
    <cdr:from>
      <cdr:x>0.24364</cdr:x>
      <cdr:y>0.23004</cdr:y>
    </cdr:from>
    <cdr:to>
      <cdr:x>0.72556</cdr:x>
      <cdr:y>0.37758</cdr:y>
    </cdr:to>
    <cdr:cxnSp macro="">
      <cdr:nvCxnSpPr>
        <cdr:cNvPr id="5" name="Straight Arrow Connector 4">
          <a:extLst xmlns:a="http://schemas.openxmlformats.org/drawingml/2006/main">
            <a:ext uri="{FF2B5EF4-FFF2-40B4-BE49-F238E27FC236}">
              <a16:creationId xmlns:a16="http://schemas.microsoft.com/office/drawing/2014/main" id="{649785D0-3C80-4DE5-BE0E-FA7A8FC89C27}"/>
            </a:ext>
          </a:extLst>
        </cdr:cNvPr>
        <cdr:cNvCxnSpPr/>
      </cdr:nvCxnSpPr>
      <cdr:spPr>
        <a:xfrm xmlns:a="http://schemas.openxmlformats.org/drawingml/2006/main">
          <a:off x="675327" y="341960"/>
          <a:ext cx="1335774" cy="21932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0.0514</cdr:x>
      <cdr:y>0</cdr:y>
    </cdr:from>
    <cdr:to>
      <cdr:x>0.95067</cdr:x>
      <cdr:y>0.2381</cdr:y>
    </cdr:to>
    <cdr:sp macro="" textlink="">
      <cdr:nvSpPr>
        <cdr:cNvPr id="2" name="TextBox 1">
          <a:extLst xmlns:a="http://schemas.openxmlformats.org/drawingml/2006/main">
            <a:ext uri="{FF2B5EF4-FFF2-40B4-BE49-F238E27FC236}">
              <a16:creationId xmlns:a16="http://schemas.microsoft.com/office/drawing/2014/main" id="{528EB380-FCCA-4B43-BE98-BB971C173A79}"/>
            </a:ext>
          </a:extLst>
        </cdr:cNvPr>
        <cdr:cNvSpPr txBox="1"/>
      </cdr:nvSpPr>
      <cdr:spPr>
        <a:xfrm xmlns:a="http://schemas.openxmlformats.org/drawingml/2006/main">
          <a:off x="142468" y="0"/>
          <a:ext cx="2492776" cy="3540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t>proportion</a:t>
          </a:r>
          <a:r>
            <a:rPr lang="en-AU" sz="900" b="1" baseline="0"/>
            <a:t> of applications for </a:t>
          </a:r>
          <a:r>
            <a:rPr lang="en-AU" sz="900" b="1"/>
            <a:t>utility relief grants after requesting forms from DFFH</a:t>
          </a:r>
        </a:p>
      </cdr:txBody>
    </cdr:sp>
  </cdr:relSizeAnchor>
  <cdr:relSizeAnchor xmlns:cdr="http://schemas.openxmlformats.org/drawingml/2006/chartDrawing">
    <cdr:from>
      <cdr:x>0.29057</cdr:x>
      <cdr:y>0.27868</cdr:y>
    </cdr:from>
    <cdr:to>
      <cdr:x>0.71107</cdr:x>
      <cdr:y>0.47087</cdr:y>
    </cdr:to>
    <cdr:cxnSp macro="">
      <cdr:nvCxnSpPr>
        <cdr:cNvPr id="3" name="Straight Arrow Connector 2">
          <a:extLst xmlns:a="http://schemas.openxmlformats.org/drawingml/2006/main">
            <a:ext uri="{FF2B5EF4-FFF2-40B4-BE49-F238E27FC236}">
              <a16:creationId xmlns:a16="http://schemas.microsoft.com/office/drawing/2014/main" id="{0FC3DDF2-D456-42D6-B90D-705D0994A0B5}"/>
            </a:ext>
          </a:extLst>
        </cdr:cNvPr>
        <cdr:cNvCxnSpPr/>
      </cdr:nvCxnSpPr>
      <cdr:spPr>
        <a:xfrm xmlns:a="http://schemas.openxmlformats.org/drawingml/2006/main" flipV="1">
          <a:off x="585788" y="414338"/>
          <a:ext cx="847725" cy="2857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0.11511</cdr:x>
      <cdr:y>0.24558</cdr:y>
    </cdr:from>
    <cdr:to>
      <cdr:x>0.5034</cdr:x>
      <cdr:y>0.44038</cdr:y>
    </cdr:to>
    <cdr:sp macro="" textlink="">
      <cdr:nvSpPr>
        <cdr:cNvPr id="4" name="TextBox 1">
          <a:extLst xmlns:a="http://schemas.openxmlformats.org/drawingml/2006/main">
            <a:ext uri="{FF2B5EF4-FFF2-40B4-BE49-F238E27FC236}">
              <a16:creationId xmlns:a16="http://schemas.microsoft.com/office/drawing/2014/main" id="{B6D816FA-43BA-41F5-B5FF-B325F68F0D8A}"/>
            </a:ext>
          </a:extLst>
        </cdr:cNvPr>
        <cdr:cNvSpPr txBox="1"/>
      </cdr:nvSpPr>
      <cdr:spPr>
        <a:xfrm xmlns:a="http://schemas.openxmlformats.org/drawingml/2006/main">
          <a:off x="319088" y="365125"/>
          <a:ext cx="1076325" cy="2896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1050" b="1">
              <a:solidFill>
                <a:schemeClr val="accent1"/>
              </a:solidFill>
            </a:rPr>
            <a:t>increase of</a:t>
          </a:r>
          <a:r>
            <a:rPr lang="en-AU" sz="1050" b="1" baseline="0">
              <a:solidFill>
                <a:schemeClr val="accent1"/>
              </a:solidFill>
            </a:rPr>
            <a:t> </a:t>
          </a:r>
          <a:r>
            <a:rPr lang="en-AU" sz="1050" b="1">
              <a:solidFill>
                <a:schemeClr val="accent1"/>
              </a:solidFill>
            </a:rPr>
            <a:t>34%</a:t>
          </a:r>
        </a:p>
      </cdr:txBody>
    </cdr:sp>
  </cdr:relSizeAnchor>
</c:userShapes>
</file>

<file path=word/drawings/drawing4.xml><?xml version="1.0" encoding="utf-8"?>
<c:userShapes xmlns:c="http://schemas.openxmlformats.org/drawingml/2006/chart">
  <cdr:relSizeAnchor xmlns:cdr="http://schemas.openxmlformats.org/drawingml/2006/chartDrawing">
    <cdr:from>
      <cdr:x>0.02047</cdr:x>
      <cdr:y>0.01495</cdr:y>
    </cdr:from>
    <cdr:to>
      <cdr:x>0.91974</cdr:x>
      <cdr:y>0.16016</cdr:y>
    </cdr:to>
    <cdr:sp macro="" textlink="">
      <cdr:nvSpPr>
        <cdr:cNvPr id="2" name="TextBox 1">
          <a:extLst xmlns:a="http://schemas.openxmlformats.org/drawingml/2006/main">
            <a:ext uri="{FF2B5EF4-FFF2-40B4-BE49-F238E27FC236}">
              <a16:creationId xmlns:a16="http://schemas.microsoft.com/office/drawing/2014/main" id="{528EB380-FCCA-4B43-BE98-BB971C173A79}"/>
            </a:ext>
          </a:extLst>
        </cdr:cNvPr>
        <cdr:cNvSpPr txBox="1"/>
      </cdr:nvSpPr>
      <cdr:spPr>
        <a:xfrm xmlns:a="http://schemas.openxmlformats.org/drawingml/2006/main">
          <a:off x="41275" y="22225"/>
          <a:ext cx="1812918" cy="2159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t>cost</a:t>
          </a:r>
          <a:r>
            <a:rPr lang="en-AU" sz="900" b="1" baseline="0"/>
            <a:t> of electricity </a:t>
          </a:r>
          <a:r>
            <a:rPr lang="en-AU" sz="900" b="1"/>
            <a:t>($/kWh)</a:t>
          </a:r>
        </a:p>
      </cdr:txBody>
    </cdr:sp>
  </cdr:relSizeAnchor>
</c:userShapes>
</file>

<file path=word/drawings/drawing5.xml><?xml version="1.0" encoding="utf-8"?>
<c:userShapes xmlns:c="http://schemas.openxmlformats.org/drawingml/2006/chart">
  <cdr:relSizeAnchor xmlns:cdr="http://schemas.openxmlformats.org/drawingml/2006/chartDrawing">
    <cdr:from>
      <cdr:x>0.13231</cdr:x>
      <cdr:y>0.16977</cdr:y>
    </cdr:from>
    <cdr:to>
      <cdr:x>0.90516</cdr:x>
      <cdr:y>0.80094</cdr:y>
    </cdr:to>
    <cdr:sp macro="" textlink="">
      <cdr:nvSpPr>
        <cdr:cNvPr id="2" name="TextBox 1">
          <a:extLst xmlns:a="http://schemas.openxmlformats.org/drawingml/2006/main">
            <a:ext uri="{FF2B5EF4-FFF2-40B4-BE49-F238E27FC236}">
              <a16:creationId xmlns:a16="http://schemas.microsoft.com/office/drawing/2014/main" id="{02A1C320-D7AE-40F5-9906-E86117793F38}"/>
            </a:ext>
          </a:extLst>
        </cdr:cNvPr>
        <cdr:cNvSpPr txBox="1"/>
      </cdr:nvSpPr>
      <cdr:spPr>
        <a:xfrm xmlns:a="http://schemas.openxmlformats.org/drawingml/2006/main">
          <a:off x="180975" y="252369"/>
          <a:ext cx="1057087" cy="9382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800" b="1"/>
            <a:t>30%</a:t>
          </a:r>
          <a:endParaRPr lang="en-AU" sz="800" b="1"/>
        </a:p>
        <a:p xmlns:a="http://schemas.openxmlformats.org/drawingml/2006/main">
          <a:pPr algn="ctr"/>
          <a:r>
            <a:rPr lang="en-AU" sz="800" b="0" baseline="0"/>
            <a:t>customers cleared their arrears on exiting tailored assistance</a:t>
          </a:r>
        </a:p>
        <a:p xmlns:a="http://schemas.openxmlformats.org/drawingml/2006/main">
          <a:pPr algn="ctr"/>
          <a:r>
            <a:rPr lang="en-AU" sz="800" b="0" baseline="0"/>
            <a:t>(2020-21)</a:t>
          </a:r>
          <a:endParaRPr lang="en-AU" sz="800" b="0"/>
        </a:p>
      </cdr:txBody>
    </cdr:sp>
  </cdr:relSizeAnchor>
</c:userShapes>
</file>

<file path=word/drawings/drawing6.xml><?xml version="1.0" encoding="utf-8"?>
<c:userShapes xmlns:c="http://schemas.openxmlformats.org/drawingml/2006/chart">
  <cdr:relSizeAnchor xmlns:cdr="http://schemas.openxmlformats.org/drawingml/2006/chartDrawing">
    <cdr:from>
      <cdr:x>0.11287</cdr:x>
      <cdr:y>0.23692</cdr:y>
    </cdr:from>
    <cdr:to>
      <cdr:x>0.93767</cdr:x>
      <cdr:y>0.77505</cdr:y>
    </cdr:to>
    <cdr:sp macro="" textlink="">
      <cdr:nvSpPr>
        <cdr:cNvPr id="2" name="TextBox 1">
          <a:extLst xmlns:a="http://schemas.openxmlformats.org/drawingml/2006/main">
            <a:ext uri="{FF2B5EF4-FFF2-40B4-BE49-F238E27FC236}">
              <a16:creationId xmlns:a16="http://schemas.microsoft.com/office/drawing/2014/main" id="{02A1C320-D7AE-40F5-9906-E86117793F38}"/>
            </a:ext>
          </a:extLst>
        </cdr:cNvPr>
        <cdr:cNvSpPr txBox="1"/>
      </cdr:nvSpPr>
      <cdr:spPr>
        <a:xfrm xmlns:a="http://schemas.openxmlformats.org/drawingml/2006/main">
          <a:off x="154382" y="352190"/>
          <a:ext cx="1128154" cy="7999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800" b="1">
              <a:effectLst/>
              <a:latin typeface="+mn-lt"/>
              <a:ea typeface="+mn-ea"/>
              <a:cs typeface="+mn-cs"/>
            </a:rPr>
            <a:t>75%</a:t>
          </a:r>
          <a:r>
            <a:rPr lang="en-AU" sz="800" b="0" baseline="0">
              <a:effectLst/>
              <a:latin typeface="+mn-lt"/>
              <a:ea typeface="+mn-ea"/>
              <a:cs typeface="+mn-cs"/>
            </a:rPr>
            <a:t> customers accepted assistance offered (call recordings)</a:t>
          </a:r>
          <a:endParaRPr lang="en-AU" sz="1100">
            <a:effectLst/>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0.13754</cdr:x>
      <cdr:y>0.21296</cdr:y>
    </cdr:from>
    <cdr:to>
      <cdr:x>0.88255</cdr:x>
      <cdr:y>0.75109</cdr:y>
    </cdr:to>
    <cdr:sp macro="" textlink="">
      <cdr:nvSpPr>
        <cdr:cNvPr id="2" name="TextBox 1">
          <a:extLst xmlns:a="http://schemas.openxmlformats.org/drawingml/2006/main">
            <a:ext uri="{FF2B5EF4-FFF2-40B4-BE49-F238E27FC236}">
              <a16:creationId xmlns:a16="http://schemas.microsoft.com/office/drawing/2014/main" id="{02A1C320-D7AE-40F5-9906-E86117793F38}"/>
            </a:ext>
          </a:extLst>
        </cdr:cNvPr>
        <cdr:cNvSpPr txBox="1"/>
      </cdr:nvSpPr>
      <cdr:spPr>
        <a:xfrm xmlns:a="http://schemas.openxmlformats.org/drawingml/2006/main">
          <a:off x="188123" y="316566"/>
          <a:ext cx="1019017" cy="7999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800" b="1">
              <a:effectLst/>
              <a:latin typeface="+mn-lt"/>
              <a:ea typeface="+mn-ea"/>
              <a:cs typeface="+mn-cs"/>
            </a:rPr>
            <a:t>98%</a:t>
          </a:r>
          <a:r>
            <a:rPr lang="en-AU" sz="800" b="0" baseline="0">
              <a:effectLst/>
              <a:latin typeface="+mn-lt"/>
              <a:ea typeface="+mn-ea"/>
              <a:cs typeface="+mn-cs"/>
            </a:rPr>
            <a:t> </a:t>
          </a:r>
        </a:p>
        <a:p xmlns:a="http://schemas.openxmlformats.org/drawingml/2006/main">
          <a:pPr algn="ctr"/>
          <a:r>
            <a:rPr lang="en-AU" sz="800" b="0" baseline="0">
              <a:effectLst/>
              <a:latin typeface="+mn-lt"/>
              <a:ea typeface="+mn-ea"/>
              <a:cs typeface="+mn-cs"/>
            </a:rPr>
            <a:t>operators showed respect for the customer (call recordings)</a:t>
          </a:r>
          <a:endParaRPr lang="en-AU" sz="1100">
            <a:effectLst/>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0.02047</cdr:x>
      <cdr:y>0.01495</cdr:y>
    </cdr:from>
    <cdr:to>
      <cdr:x>0.91974</cdr:x>
      <cdr:y>0.16016</cdr:y>
    </cdr:to>
    <cdr:sp macro="" textlink="">
      <cdr:nvSpPr>
        <cdr:cNvPr id="2" name="TextBox 1">
          <a:extLst xmlns:a="http://schemas.openxmlformats.org/drawingml/2006/main">
            <a:ext uri="{FF2B5EF4-FFF2-40B4-BE49-F238E27FC236}">
              <a16:creationId xmlns:a16="http://schemas.microsoft.com/office/drawing/2014/main" id="{528EB380-FCCA-4B43-BE98-BB971C173A79}"/>
            </a:ext>
          </a:extLst>
        </cdr:cNvPr>
        <cdr:cNvSpPr txBox="1"/>
      </cdr:nvSpPr>
      <cdr:spPr>
        <a:xfrm xmlns:a="http://schemas.openxmlformats.org/drawingml/2006/main">
          <a:off x="41275" y="22225"/>
          <a:ext cx="1812918" cy="2159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t>median</a:t>
          </a:r>
          <a:r>
            <a:rPr lang="en-AU" sz="900" b="1" baseline="0"/>
            <a:t> customer </a:t>
          </a:r>
          <a:r>
            <a:rPr lang="en-AU" sz="900" b="1"/>
            <a:t>electricity usage</a:t>
          </a:r>
          <a:r>
            <a:rPr lang="en-AU" sz="900" b="1" baseline="0"/>
            <a:t>            (</a:t>
          </a:r>
          <a:r>
            <a:rPr lang="en-AU" sz="900" b="1"/>
            <a:t>kWh per day)</a:t>
          </a:r>
        </a:p>
      </cdr:txBody>
    </cdr:sp>
  </cdr:relSizeAnchor>
</c:userShapes>
</file>

<file path=word/drawings/drawing9.xml><?xml version="1.0" encoding="utf-8"?>
<c:userShapes xmlns:c="http://schemas.openxmlformats.org/drawingml/2006/chart">
  <cdr:relSizeAnchor xmlns:cdr="http://schemas.openxmlformats.org/drawingml/2006/chartDrawing">
    <cdr:from>
      <cdr:x>0.05177</cdr:x>
      <cdr:y>0</cdr:y>
    </cdr:from>
    <cdr:to>
      <cdr:x>0.95104</cdr:x>
      <cdr:y>0.14541</cdr:y>
    </cdr:to>
    <cdr:sp macro="" textlink="">
      <cdr:nvSpPr>
        <cdr:cNvPr id="3" name="TextBox 1">
          <a:extLst xmlns:a="http://schemas.openxmlformats.org/drawingml/2006/main">
            <a:ext uri="{FF2B5EF4-FFF2-40B4-BE49-F238E27FC236}">
              <a16:creationId xmlns:a16="http://schemas.microsoft.com/office/drawing/2014/main" id="{A4185969-4192-4821-8071-1CBB8BD38EFD}"/>
            </a:ext>
          </a:extLst>
        </cdr:cNvPr>
        <cdr:cNvSpPr txBox="1"/>
      </cdr:nvSpPr>
      <cdr:spPr>
        <a:xfrm xmlns:a="http://schemas.openxmlformats.org/drawingml/2006/main">
          <a:off x="143485" y="-6305266"/>
          <a:ext cx="2492574" cy="2158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t>average customer arrears when starting tailored assistance</a:t>
          </a:r>
        </a:p>
      </cdr:txBody>
    </cdr:sp>
  </cdr:relSizeAnchor>
  <cdr:relSizeAnchor xmlns:cdr="http://schemas.openxmlformats.org/drawingml/2006/chartDrawing">
    <cdr:from>
      <cdr:x>0.28263</cdr:x>
      <cdr:y>0.31005</cdr:y>
    </cdr:from>
    <cdr:to>
      <cdr:x>0.7173</cdr:x>
      <cdr:y>0.62224</cdr:y>
    </cdr:to>
    <cdr:sp macro="" textlink="">
      <cdr:nvSpPr>
        <cdr:cNvPr id="4" name="TextBox 1">
          <a:extLst xmlns:a="http://schemas.openxmlformats.org/drawingml/2006/main">
            <a:ext uri="{FF2B5EF4-FFF2-40B4-BE49-F238E27FC236}">
              <a16:creationId xmlns:a16="http://schemas.microsoft.com/office/drawing/2014/main" id="{199119B0-0FA1-4E3D-9CA1-0FDED0959735}"/>
            </a:ext>
          </a:extLst>
        </cdr:cNvPr>
        <cdr:cNvSpPr txBox="1"/>
      </cdr:nvSpPr>
      <cdr:spPr>
        <a:xfrm xmlns:a="http://schemas.openxmlformats.org/drawingml/2006/main">
          <a:off x="783442" y="460373"/>
          <a:ext cx="1204906" cy="4635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050" b="1">
              <a:solidFill>
                <a:schemeClr val="accent2"/>
              </a:solidFill>
            </a:rPr>
            <a:t>16%</a:t>
          </a:r>
          <a:r>
            <a:rPr lang="en-AU" sz="1050" b="1" baseline="0">
              <a:solidFill>
                <a:schemeClr val="accent2"/>
              </a:solidFill>
            </a:rPr>
            <a:t> </a:t>
          </a:r>
        </a:p>
        <a:p xmlns:a="http://schemas.openxmlformats.org/drawingml/2006/main">
          <a:pPr algn="ctr"/>
          <a:r>
            <a:rPr lang="en-AU" sz="1050" b="1" baseline="0">
              <a:solidFill>
                <a:schemeClr val="accent2"/>
              </a:solidFill>
            </a:rPr>
            <a:t>increase</a:t>
          </a:r>
          <a:endParaRPr lang="en-AU" sz="1050" b="1">
            <a:solidFill>
              <a:schemeClr val="accent2"/>
            </a:solidFill>
          </a:endParaRPr>
        </a:p>
      </cdr:txBody>
    </cdr:sp>
  </cdr:relSizeAnchor>
  <cdr:relSizeAnchor xmlns:cdr="http://schemas.openxmlformats.org/drawingml/2006/chartDrawing">
    <cdr:from>
      <cdr:x>0.2401</cdr:x>
      <cdr:y>0.26301</cdr:y>
    </cdr:from>
    <cdr:to>
      <cdr:x>0.73147</cdr:x>
      <cdr:y>0.36564</cdr:y>
    </cdr:to>
    <cdr:cxnSp macro="">
      <cdr:nvCxnSpPr>
        <cdr:cNvPr id="5" name="Straight Arrow Connector 4">
          <a:extLst xmlns:a="http://schemas.openxmlformats.org/drawingml/2006/main">
            <a:ext uri="{FF2B5EF4-FFF2-40B4-BE49-F238E27FC236}">
              <a16:creationId xmlns:a16="http://schemas.microsoft.com/office/drawing/2014/main" id="{649785D0-3C80-4DE5-BE0E-FA7A8FC89C27}"/>
            </a:ext>
          </a:extLst>
        </cdr:cNvPr>
        <cdr:cNvCxnSpPr/>
      </cdr:nvCxnSpPr>
      <cdr:spPr>
        <a:xfrm xmlns:a="http://schemas.openxmlformats.org/drawingml/2006/main" flipV="1">
          <a:off x="665559" y="390525"/>
          <a:ext cx="1362075" cy="152400"/>
        </a:xfrm>
        <a:prstGeom xmlns:a="http://schemas.openxmlformats.org/drawingml/2006/main" prst="straightConnector1">
          <a:avLst/>
        </a:prstGeom>
        <a:ln xmlns:a="http://schemas.openxmlformats.org/drawingml/2006/main">
          <a:solidFill>
            <a:schemeClr val="accent2"/>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2425D95ED641C48D3E251709061261"/>
        <w:category>
          <w:name w:val="General"/>
          <w:gallery w:val="placeholder"/>
        </w:category>
        <w:types>
          <w:type w:val="bbPlcHdr"/>
        </w:types>
        <w:behaviors>
          <w:behavior w:val="content"/>
        </w:behaviors>
        <w:guid w:val="{7D32AF6E-C248-4F4F-9E76-D79C927CCC18}"/>
      </w:docPartPr>
      <w:docPartBody>
        <w:p w:rsidR="003D78E8" w:rsidRDefault="003D78E8">
          <w:pPr>
            <w:pStyle w:val="E82425D95ED641C48D3E251709061261"/>
          </w:pPr>
          <w:r>
            <w:t xml:space="preserve">  </w:t>
          </w:r>
        </w:p>
      </w:docPartBody>
    </w:docPart>
    <w:docPart>
      <w:docPartPr>
        <w:name w:val="0B50DB21F4FD472882D9F626976C3459"/>
        <w:category>
          <w:name w:val="General"/>
          <w:gallery w:val="placeholder"/>
        </w:category>
        <w:types>
          <w:type w:val="bbPlcHdr"/>
        </w:types>
        <w:behaviors>
          <w:behavior w:val="content"/>
        </w:behaviors>
        <w:guid w:val="{1F6C0184-9BBC-4556-8928-14470C3F1BC5}"/>
      </w:docPartPr>
      <w:docPartBody>
        <w:p w:rsidR="003D78E8" w:rsidRDefault="003D78E8">
          <w:pPr>
            <w:pStyle w:val="0B50DB21F4FD472882D9F626976C3459"/>
          </w:pPr>
          <w:r w:rsidRPr="00360763">
            <w:rPr>
              <w:highlight w:val="lightGray"/>
            </w:rPr>
            <w:t>[Click to select a year]</w:t>
          </w:r>
        </w:p>
      </w:docPartBody>
    </w:docPart>
    <w:docPart>
      <w:docPartPr>
        <w:name w:val="B07F79FB48AD451BB0754669EC831589"/>
        <w:category>
          <w:name w:val="General"/>
          <w:gallery w:val="placeholder"/>
        </w:category>
        <w:types>
          <w:type w:val="bbPlcHdr"/>
        </w:types>
        <w:behaviors>
          <w:behavior w:val="content"/>
        </w:behaviors>
        <w:guid w:val="{3F8BCFB9-3C7B-42CC-9B0D-3EF1D79A76B3}"/>
      </w:docPartPr>
      <w:docPartBody>
        <w:p w:rsidR="003D78E8" w:rsidRDefault="003D78E8">
          <w:pPr>
            <w:pStyle w:val="B07F79FB48AD451BB0754669EC831589"/>
          </w:pPr>
          <w:r w:rsidRPr="00360763">
            <w:rPr>
              <w:highlight w:val="lightGray"/>
            </w:rPr>
            <w:t>[Click to select a year]</w:t>
          </w:r>
        </w:p>
      </w:docPartBody>
    </w:docPart>
    <w:docPart>
      <w:docPartPr>
        <w:name w:val="30CD3560A69F4F41B77DF9265D2EC5AA"/>
        <w:category>
          <w:name w:val="General"/>
          <w:gallery w:val="placeholder"/>
        </w:category>
        <w:types>
          <w:type w:val="bbPlcHdr"/>
        </w:types>
        <w:behaviors>
          <w:behavior w:val="content"/>
        </w:behaviors>
        <w:guid w:val="{941FDB8C-2D2E-4D9C-BF62-894B799700AB}"/>
      </w:docPartPr>
      <w:docPartBody>
        <w:p w:rsidR="003D78E8" w:rsidRDefault="003D78E8">
          <w:pPr>
            <w:pStyle w:val="30CD3560A69F4F41B77DF9265D2EC5AA"/>
          </w:pPr>
          <w:r>
            <w:t xml:space="preserve">  </w:t>
          </w:r>
        </w:p>
      </w:docPartBody>
    </w:docPart>
    <w:docPart>
      <w:docPartPr>
        <w:name w:val="47F0790DF18E4923ADC776F0B4837A6E"/>
        <w:category>
          <w:name w:val="General"/>
          <w:gallery w:val="placeholder"/>
        </w:category>
        <w:types>
          <w:type w:val="bbPlcHdr"/>
        </w:types>
        <w:behaviors>
          <w:behavior w:val="content"/>
        </w:behaviors>
        <w:guid w:val="{16DE16E5-2B06-46BA-9DB9-BEFAFE99320C}"/>
      </w:docPartPr>
      <w:docPartBody>
        <w:p w:rsidR="003D78E8" w:rsidRDefault="004B76BA" w:rsidP="004B76BA">
          <w:pPr>
            <w:pStyle w:val="47F0790DF18E4923ADC776F0B4837A6E"/>
          </w:pPr>
          <w:r>
            <w:t>[</w:t>
          </w:r>
          <w:r w:rsidRPr="00615C49">
            <w:t>Click or tap to enter a date</w:t>
          </w:r>
          <w:r>
            <w:t>, or click to manually type custom date]</w:t>
          </w:r>
        </w:p>
      </w:docPartBody>
    </w:docPart>
    <w:docPart>
      <w:docPartPr>
        <w:name w:val="B7A0BE0C975D40F1BE1CEF2AE61314F5"/>
        <w:category>
          <w:name w:val="General"/>
          <w:gallery w:val="placeholder"/>
        </w:category>
        <w:types>
          <w:type w:val="bbPlcHdr"/>
        </w:types>
        <w:behaviors>
          <w:behavior w:val="content"/>
        </w:behaviors>
        <w:guid w:val="{D960754E-0014-49C0-9CE5-17824472058A}"/>
      </w:docPartPr>
      <w:docPartBody>
        <w:p w:rsidR="003D78E8" w:rsidRDefault="004B76BA" w:rsidP="004B76BA">
          <w:pPr>
            <w:pStyle w:val="B7A0BE0C975D40F1BE1CEF2AE61314F5"/>
          </w:pPr>
          <w:r w:rsidRPr="005F3D90">
            <w:rPr>
              <w:highlight w:val="lightGray"/>
            </w:rPr>
            <w:t xml:space="preserve">[Click to select </w:t>
          </w:r>
          <w:r>
            <w:rPr>
              <w:highlight w:val="lightGray"/>
            </w:rPr>
            <w:t>a date</w:t>
          </w:r>
          <w:r w:rsidRPr="005F3D90">
            <w:rPr>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pleSystemUIFont">
    <w:altName w:val="Cambria"/>
    <w:charset w:val="00"/>
    <w:family w:val="roman"/>
    <w:pitch w:val="default"/>
  </w:font>
  <w:font w:name=".SFUI-Regular">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6BA"/>
    <w:rsid w:val="00030C61"/>
    <w:rsid w:val="00132A8A"/>
    <w:rsid w:val="001471F4"/>
    <w:rsid w:val="001C1ACC"/>
    <w:rsid w:val="002235D3"/>
    <w:rsid w:val="003340D9"/>
    <w:rsid w:val="0038086A"/>
    <w:rsid w:val="003D78E8"/>
    <w:rsid w:val="003F43A7"/>
    <w:rsid w:val="00477E75"/>
    <w:rsid w:val="004B76BA"/>
    <w:rsid w:val="005777CB"/>
    <w:rsid w:val="006B5146"/>
    <w:rsid w:val="00862AF6"/>
    <w:rsid w:val="00942897"/>
    <w:rsid w:val="00B01347"/>
    <w:rsid w:val="00B57430"/>
    <w:rsid w:val="00BB1C91"/>
    <w:rsid w:val="00C044D0"/>
    <w:rsid w:val="00C060F1"/>
    <w:rsid w:val="00C15FA8"/>
    <w:rsid w:val="00CA2762"/>
    <w:rsid w:val="00D03DB4"/>
    <w:rsid w:val="00EC05C8"/>
    <w:rsid w:val="00EF72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8A880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2425D95ED641C48D3E251709061261">
    <w:name w:val="E82425D95ED641C48D3E251709061261"/>
  </w:style>
  <w:style w:type="character" w:styleId="PlaceholderText">
    <w:name w:val="Placeholder Text"/>
    <w:basedOn w:val="DefaultParagraphFont"/>
    <w:uiPriority w:val="99"/>
    <w:semiHidden/>
    <w:rPr>
      <w:color w:val="808080"/>
    </w:rPr>
  </w:style>
  <w:style w:type="paragraph" w:customStyle="1" w:styleId="0B50DB21F4FD472882D9F626976C3459">
    <w:name w:val="0B50DB21F4FD472882D9F626976C3459"/>
  </w:style>
  <w:style w:type="paragraph" w:customStyle="1" w:styleId="B07F79FB48AD451BB0754669EC831589">
    <w:name w:val="B07F79FB48AD451BB0754669EC831589"/>
  </w:style>
  <w:style w:type="paragraph" w:customStyle="1" w:styleId="30CD3560A69F4F41B77DF9265D2EC5AA">
    <w:name w:val="30CD3560A69F4F41B77DF9265D2EC5AA"/>
  </w:style>
  <w:style w:type="paragraph" w:customStyle="1" w:styleId="47F0790DF18E4923ADC776F0B4837A6E">
    <w:name w:val="47F0790DF18E4923ADC776F0B4837A6E"/>
    <w:rsid w:val="004B76BA"/>
  </w:style>
  <w:style w:type="paragraph" w:customStyle="1" w:styleId="B7A0BE0C975D40F1BE1CEF2AE61314F5">
    <w:name w:val="B7A0BE0C975D40F1BE1CEF2AE61314F5"/>
    <w:rsid w:val="004B76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C PINK">
      <a:dk1>
        <a:sysClr val="windowText" lastClr="000000"/>
      </a:dk1>
      <a:lt1>
        <a:sysClr val="window" lastClr="FFFFFF"/>
      </a:lt1>
      <a:dk2>
        <a:srgbClr val="4986A0"/>
      </a:dk2>
      <a:lt2>
        <a:srgbClr val="75787B"/>
      </a:lt2>
      <a:accent1>
        <a:srgbClr val="236192"/>
      </a:accent1>
      <a:accent2>
        <a:srgbClr val="CE0058"/>
      </a:accent2>
      <a:accent3>
        <a:srgbClr val="4986A0"/>
      </a:accent3>
      <a:accent4>
        <a:srgbClr val="ED8B00"/>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97EA1-FDE9-4134-A2A2-2566CF181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34057</Words>
  <Characters>195489</Characters>
  <Application>Microsoft Office Word</Application>
  <DocSecurity>0</DocSecurity>
  <Lines>3759</Lines>
  <Paragraphs>1675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2022-06-01T13:54:00Z</dcterms:created>
  <dcterms:modified xsi:type="dcterms:W3CDTF">2022-06-01T13:54:00Z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ing_FileId">
    <vt:lpwstr>CA792C28BB1C4B33B82462F46800806D</vt:lpwstr>
  </property>
  <property fmtid="{D5CDD505-2E9C-101B-9397-08002B2CF9AE}" pid="9" name="PM_ProtectiveMarkingValue_Footer">
    <vt:lpwstr>OFFICIAL</vt:lpwstr>
  </property>
  <property fmtid="{D5CDD505-2E9C-101B-9397-08002B2CF9AE}" pid="10" name="PM_OriginationTimeStamp">
    <vt:lpwstr>2022-06-01T13:53:40Z</vt:lpwstr>
  </property>
  <property fmtid="{D5CDD505-2E9C-101B-9397-08002B2CF9AE}" pid="11" name="PM_ProtectiveMarkingValue_Header">
    <vt:lpwstr>OFFICIAL</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2019.2.1.vic.gov.au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Display">
    <vt:lpwstr>OFFICIAL</vt:lpwstr>
  </property>
  <property fmtid="{D5CDD505-2E9C-101B-9397-08002B2CF9AE}" pid="18" name="PM_Hash_Version">
    <vt:lpwstr>2018.0</vt:lpwstr>
  </property>
  <property fmtid="{D5CDD505-2E9C-101B-9397-08002B2CF9AE}" pid="19" name="PM_OriginatorDomainName_SHA256">
    <vt:lpwstr>9E5929A2B0C9364118E50F7972B6A4AA763F815A803675E11226272E392AE99C</vt:lpwstr>
  </property>
  <property fmtid="{D5CDD505-2E9C-101B-9397-08002B2CF9AE}" pid="20" name="PM_SecurityClassification_Prev">
    <vt:lpwstr>OFFICIAL</vt:lpwstr>
  </property>
  <property fmtid="{D5CDD505-2E9C-101B-9397-08002B2CF9AE}" pid="21" name="PM_Qualifier_Prev">
    <vt:lpwstr/>
  </property>
  <property fmtid="{D5CDD505-2E9C-101B-9397-08002B2CF9AE}" pid="22" name="PM_Originator_Hash_SHA1">
    <vt:lpwstr>1596D275FA85E6DFF2939A17E9ABECCA89B9CAE3</vt:lpwstr>
  </property>
  <property fmtid="{D5CDD505-2E9C-101B-9397-08002B2CF9AE}" pid="23" name="PM_OriginatorUserAccountName_SHA256">
    <vt:lpwstr>3AF5A6276A143948CA181464A0C2BC3F6592C40E02F577B700FB57F5E2A753F2</vt:lpwstr>
  </property>
  <property fmtid="{D5CDD505-2E9C-101B-9397-08002B2CF9AE}" pid="24" name="PM_Hash_Salt_Prev">
    <vt:lpwstr>5C9E9AFEDD4EC8CC8F66860F7469AE36</vt:lpwstr>
  </property>
  <property fmtid="{D5CDD505-2E9C-101B-9397-08002B2CF9AE}" pid="25" name="PM_Hash_Salt">
    <vt:lpwstr>62F402FC0D47655A21CAFE17F7B4A27A</vt:lpwstr>
  </property>
  <property fmtid="{D5CDD505-2E9C-101B-9397-08002B2CF9AE}" pid="26" name="PM_Hash_SHA1">
    <vt:lpwstr>FE736FA906419DE661D04A8B987E0B126AB89E9A</vt:lpwstr>
  </property>
  <property fmtid="{D5CDD505-2E9C-101B-9397-08002B2CF9AE}" pid="27" name="PMUuid">
    <vt:lpwstr>C9CD97EE-7A57-5433-8DC0-34EC18AC88E3</vt:lpwstr>
  </property>
  <property fmtid="{D5CDD505-2E9C-101B-9397-08002B2CF9AE}" pid="28" name="PMUuidVer">
    <vt:lpwstr>2022.1</vt:lpwstr>
  </property>
</Properties>
</file>