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52768" w14:textId="445F9834"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3195AFC0" w14:textId="77777777" w:rsidR="007E1738" w:rsidRDefault="007E1738" w:rsidP="00633068">
      <w:pPr>
        <w:pStyle w:val="NoSpacing"/>
      </w:pPr>
    </w:p>
    <w:p w14:paraId="568432F6" w14:textId="77777777" w:rsidR="007E1738" w:rsidRDefault="007E1738" w:rsidP="00633068">
      <w:pPr>
        <w:pStyle w:val="NoSpacing"/>
      </w:pPr>
    </w:p>
    <w:p w14:paraId="28A3FBE2" w14:textId="77777777" w:rsidR="007E1738" w:rsidRDefault="007E1738" w:rsidP="00633068">
      <w:pPr>
        <w:pStyle w:val="NoSpacing"/>
      </w:pPr>
    </w:p>
    <w:p w14:paraId="3602D1E3" w14:textId="77777777" w:rsidR="007E1738" w:rsidRDefault="007E1738" w:rsidP="00633068">
      <w:pPr>
        <w:pStyle w:val="NoSpacing"/>
      </w:pPr>
    </w:p>
    <w:p w14:paraId="253AC191" w14:textId="77777777" w:rsidR="007E1738" w:rsidRDefault="007E1738" w:rsidP="00633068">
      <w:pPr>
        <w:pStyle w:val="NoSpacing"/>
      </w:pPr>
    </w:p>
    <w:p w14:paraId="5A2091D2" w14:textId="4608FB31" w:rsidR="007E1738" w:rsidRDefault="007E1738" w:rsidP="00633068">
      <w:pPr>
        <w:pStyle w:val="NoSpacing"/>
      </w:pPr>
    </w:p>
    <w:p w14:paraId="2E86FD55" w14:textId="77777777" w:rsidR="007E1738" w:rsidRDefault="007E1738" w:rsidP="00633068">
      <w:pPr>
        <w:pStyle w:val="NoSpacing"/>
      </w:pPr>
    </w:p>
    <w:p w14:paraId="0BB169C4" w14:textId="77777777" w:rsidR="007E1738" w:rsidRDefault="007E1738" w:rsidP="00633068">
      <w:pPr>
        <w:pStyle w:val="NoSpacing"/>
      </w:pPr>
    </w:p>
    <w:p w14:paraId="30334D69" w14:textId="77777777" w:rsidR="007E1738" w:rsidRDefault="007E1738" w:rsidP="00633068">
      <w:pPr>
        <w:pStyle w:val="NoSpacing"/>
      </w:pPr>
    </w:p>
    <w:p w14:paraId="3B2D7A61" w14:textId="77777777" w:rsidR="007E1738" w:rsidRDefault="007E1738" w:rsidP="00633068">
      <w:pPr>
        <w:pStyle w:val="NoSpacing"/>
      </w:pPr>
    </w:p>
    <w:p w14:paraId="5ABCAEC8" w14:textId="77777777" w:rsidR="007E1738" w:rsidRDefault="007E1738" w:rsidP="00633068">
      <w:pPr>
        <w:pStyle w:val="NoSpacing"/>
      </w:pPr>
    </w:p>
    <w:p w14:paraId="138A1CCE" w14:textId="77777777" w:rsidR="007E1738" w:rsidRDefault="007E1738" w:rsidP="00633068">
      <w:pPr>
        <w:pStyle w:val="NoSpacing"/>
      </w:pPr>
    </w:p>
    <w:p w14:paraId="347FBEC3" w14:textId="77777777" w:rsidR="007E1738" w:rsidRDefault="007E1738" w:rsidP="00633068">
      <w:pPr>
        <w:pStyle w:val="NoSpacing"/>
      </w:pPr>
    </w:p>
    <w:sdt>
      <w:sdtPr>
        <w:rPr>
          <w:lang w:val="en-AU"/>
        </w:rPr>
        <w:id w:val="-1806228930"/>
        <w:docPartObj>
          <w:docPartGallery w:val="Cover Pages"/>
          <w:docPartUnique/>
        </w:docPartObj>
      </w:sdtPr>
      <w:sdtContent>
        <w:p w14:paraId="23C613F6" w14:textId="77777777" w:rsidR="00067DD9" w:rsidRDefault="00067DD9" w:rsidP="00633068">
          <w:pPr>
            <w:pStyle w:val="NoSpacing"/>
            <w:sectPr w:rsidR="00067DD9" w:rsidSect="0053218D">
              <w:headerReference w:type="default" r:id="rId11"/>
              <w:footerReference w:type="default" r:id="rId12"/>
              <w:headerReference w:type="first" r:id="rId13"/>
              <w:footerReference w:type="first" r:id="rId14"/>
              <w:type w:val="continuous"/>
              <w:pgSz w:w="11906" w:h="16838" w:code="9"/>
              <w:pgMar w:top="1134" w:right="1134" w:bottom="1134" w:left="1134" w:header="709" w:footer="692" w:gutter="0"/>
              <w:pgNumType w:start="0"/>
              <w:cols w:space="708"/>
              <w:docGrid w:linePitch="360"/>
            </w:sectPr>
          </w:pPr>
        </w:p>
        <w:p w14:paraId="00F88509" w14:textId="30AD8732" w:rsidR="00067DD9" w:rsidRPr="0063494B" w:rsidRDefault="00000000" w:rsidP="007E1738">
          <w:pPr>
            <w:pStyle w:val="Title"/>
            <w:jc w:val="center"/>
          </w:pPr>
          <w:sdt>
            <w:sdt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Content>
              <w:r w:rsidR="005C281C">
                <w:t>R</w:t>
              </w:r>
              <w:r w:rsidR="005C281C" w:rsidRPr="005C281C">
                <w:t>eview of the maximum unbooked taxi fares and non-cash payment surcharges</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9145461" w14:textId="5B6F2318" w:rsidR="00067DD9" w:rsidRDefault="00BE6FE8" w:rsidP="007E1738">
              <w:pPr>
                <w:pStyle w:val="Subtitle"/>
                <w:jc w:val="center"/>
              </w:pPr>
              <w:r>
                <w:t>Final</w:t>
              </w:r>
              <w:r w:rsidR="005C281C">
                <w:t xml:space="preserve"> decision</w:t>
              </w:r>
            </w:p>
          </w:sdtContent>
        </w:sdt>
        <w:p w14:paraId="7BF5EA39" w14:textId="1775B7EE" w:rsidR="00067DD9" w:rsidRDefault="00000000" w:rsidP="007E1738">
          <w:pPr>
            <w:pStyle w:val="Subtitle"/>
            <w:jc w:val="center"/>
          </w:pPr>
          <w:sdt>
            <w:sdtPr>
              <w:id w:val="1251166870"/>
              <w:placeholder>
                <w:docPart w:val="FDF7D90013F542168132958115EF463B"/>
              </w:placeholder>
              <w:date w:fullDate="2024-08-14T00:00:00Z">
                <w:dateFormat w:val="d MMMM yyyy"/>
                <w:lid w:val="en-US"/>
                <w:storeMappedDataAs w:val="dateTime"/>
                <w:calendar w:val="gregorian"/>
              </w:date>
            </w:sdtPr>
            <w:sdtContent>
              <w:r w:rsidR="00043D12">
                <w:rPr>
                  <w:lang w:val="en-US"/>
                </w:rPr>
                <w:t>14 August 2024</w:t>
              </w:r>
            </w:sdtContent>
          </w:sdt>
        </w:p>
        <w:p w14:paraId="242781F9" w14:textId="77777777" w:rsidR="00067DD9" w:rsidRDefault="00067DD9"/>
        <w:p w14:paraId="1AB1EB47" w14:textId="77777777" w:rsidR="00067DD9" w:rsidRDefault="00067DD9">
          <w:pPr>
            <w:spacing w:line="259" w:lineRule="auto"/>
          </w:pPr>
          <w:r>
            <w:br w:type="page"/>
          </w:r>
        </w:p>
      </w:sdtContent>
    </w:sdt>
    <w:p w14:paraId="369BB0A6" w14:textId="77777777" w:rsidR="00F83935" w:rsidRDefault="00F83935" w:rsidP="000D4547">
      <w:pPr>
        <w:pStyle w:val="NoSpacing"/>
        <w:rPr>
          <w:b/>
        </w:rPr>
      </w:pPr>
    </w:p>
    <w:bookmarkEnd w:id="1"/>
    <w:bookmarkEnd w:id="2"/>
    <w:bookmarkEnd w:id="3"/>
    <w:p w14:paraId="0DD4B071" w14:textId="77777777" w:rsidR="00FB5D3F" w:rsidRDefault="00FB5D3F" w:rsidP="00FB5D3F"/>
    <w:p w14:paraId="33819440" w14:textId="77777777" w:rsidR="00FB5D3F" w:rsidRDefault="00FB5D3F" w:rsidP="00FB5D3F"/>
    <w:p w14:paraId="0D2133BE" w14:textId="77777777" w:rsidR="00FB5D3F" w:rsidRDefault="00FB5D3F" w:rsidP="00FB5D3F"/>
    <w:p w14:paraId="4DCAC75B" w14:textId="77777777" w:rsidR="00FB5D3F" w:rsidRDefault="00FB5D3F" w:rsidP="00FB5D3F"/>
    <w:p w14:paraId="774EC4E6" w14:textId="77777777" w:rsidR="00FB5D3F" w:rsidRDefault="00FB5D3F" w:rsidP="00FB5D3F"/>
    <w:p w14:paraId="23E49967" w14:textId="77777777" w:rsidR="00FB5D3F" w:rsidRDefault="00FB5D3F" w:rsidP="00FB5D3F">
      <w:pPr>
        <w:pStyle w:val="Heading2"/>
      </w:pPr>
      <w:bookmarkStart w:id="5" w:name="_Toc166585561"/>
      <w:bookmarkStart w:id="6" w:name="_Toc166654682"/>
      <w:bookmarkStart w:id="7" w:name="_Toc166662225"/>
      <w:bookmarkStart w:id="8" w:name="_Toc166669775"/>
      <w:bookmarkStart w:id="9" w:name="_Toc166678831"/>
      <w:bookmarkStart w:id="10" w:name="_Toc167345783"/>
      <w:bookmarkStart w:id="11" w:name="_Toc167346477"/>
      <w:bookmarkStart w:id="12" w:name="_Toc167780270"/>
      <w:bookmarkStart w:id="13" w:name="_Toc173691358"/>
      <w:bookmarkStart w:id="14" w:name="_Toc174692638"/>
      <w:r>
        <w:t>Acknowledgement</w:t>
      </w:r>
      <w:bookmarkEnd w:id="5"/>
      <w:bookmarkEnd w:id="6"/>
      <w:bookmarkEnd w:id="7"/>
      <w:bookmarkEnd w:id="8"/>
      <w:bookmarkEnd w:id="9"/>
      <w:bookmarkEnd w:id="10"/>
      <w:bookmarkEnd w:id="11"/>
      <w:bookmarkEnd w:id="12"/>
      <w:bookmarkEnd w:id="13"/>
      <w:bookmarkEnd w:id="14"/>
    </w:p>
    <w:p w14:paraId="13DDC2FC" w14:textId="77777777" w:rsidR="00FB5D3F" w:rsidRDefault="00FB5D3F" w:rsidP="00FB5D3F">
      <w:r>
        <w:t>We acknowledge the Traditional Owners of the lands and waterways on which we work and live.</w:t>
      </w:r>
    </w:p>
    <w:p w14:paraId="3D8E0AB9" w14:textId="77777777" w:rsidR="00FB5D3F" w:rsidRDefault="00FB5D3F" w:rsidP="00FB5D3F">
      <w:r>
        <w:t>We acknowledge all Aboriginal and Torres Strait Islander communities, and pay our respects to Elders past and present.</w:t>
      </w:r>
    </w:p>
    <w:p w14:paraId="0D3E387F"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270A1916" w14:textId="77777777" w:rsidR="00FB5D3F" w:rsidRDefault="00FB5D3F" w:rsidP="00FB5D3F">
      <w:pPr>
        <w:pStyle w:val="NoSpacing"/>
        <w:rPr>
          <w:b/>
        </w:rPr>
      </w:pPr>
    </w:p>
    <w:p w14:paraId="49711644" w14:textId="77777777" w:rsidR="00FB5D3F" w:rsidRDefault="00FB5D3F" w:rsidP="00FB5D3F">
      <w:pPr>
        <w:spacing w:line="259" w:lineRule="auto"/>
        <w:rPr>
          <w:rStyle w:val="Strong"/>
        </w:rPr>
      </w:pPr>
    </w:p>
    <w:p w14:paraId="12700E2A" w14:textId="77777777" w:rsidR="00FB5D3F" w:rsidRDefault="00FB5D3F" w:rsidP="00FB5D3F">
      <w:pPr>
        <w:spacing w:line="259" w:lineRule="auto"/>
        <w:rPr>
          <w:rStyle w:val="Strong"/>
        </w:rPr>
      </w:pPr>
    </w:p>
    <w:p w14:paraId="6FDC2477" w14:textId="77777777" w:rsidR="00FB5D3F" w:rsidRDefault="00FB5D3F" w:rsidP="00FB5D3F">
      <w:pPr>
        <w:spacing w:line="259" w:lineRule="auto"/>
        <w:rPr>
          <w:rStyle w:val="Strong"/>
        </w:rPr>
      </w:pPr>
    </w:p>
    <w:p w14:paraId="6B6FE6CF"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3EF67D86" w14:textId="50177CF0" w:rsidR="00FB5D3F" w:rsidRDefault="00FB5D3F" w:rsidP="00FB5D3F">
      <w:r>
        <w:t xml:space="preserve">Essential Services Commission </w:t>
      </w:r>
      <w:sdt>
        <w:sdtPr>
          <w:alias w:val="Year"/>
          <w:tag w:val="Year"/>
          <w:id w:val="-1184668763"/>
          <w:placeholder>
            <w:docPart w:val="239B74B6562C4E07B295F08C831DCD7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5C281C">
            <w:t>2024</w:t>
          </w:r>
        </w:sdtContent>
      </w:sdt>
      <w:r>
        <w:t xml:space="preserve">, </w:t>
      </w:r>
      <w:sdt>
        <w:sdt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Content>
          <w:r w:rsidR="005C281C">
            <w:t>Review of the maximum unbooked taxi fares and non-cash payment surcharges</w:t>
          </w:r>
        </w:sdtContent>
      </w:sdt>
      <w:r>
        <w:t xml:space="preserve">: </w:t>
      </w:r>
      <w:sdt>
        <w:sdt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Content>
          <w:r w:rsidR="00BE6FE8">
            <w:t>Final decision</w:t>
          </w:r>
        </w:sdtContent>
      </w:sdt>
      <w:r>
        <w:t xml:space="preserve">, </w:t>
      </w:r>
      <w:sdt>
        <w:sdtPr>
          <w:alias w:val="Date"/>
          <w:tag w:val="Year"/>
          <w:id w:val="-733004738"/>
          <w:placeholder>
            <w:docPart w:val="CADDB87889AC457E940643E251B8DB63"/>
          </w:placeholder>
          <w:date w:fullDate="2014-08-14T00:00:00Z">
            <w:dateFormat w:val="d MMMM "/>
            <w:lid w:val="en-US"/>
            <w:storeMappedDataAs w:val="dateTime"/>
            <w:calendar w:val="gregorian"/>
          </w:date>
        </w:sdtPr>
        <w:sdtContent>
          <w:r w:rsidR="00043D12">
            <w:rPr>
              <w:lang w:val="en-US"/>
            </w:rPr>
            <w:t xml:space="preserve">14 August </w:t>
          </w:r>
        </w:sdtContent>
      </w:sdt>
    </w:p>
    <w:p w14:paraId="113A4DEE" w14:textId="77777777" w:rsidR="00FB5D3F" w:rsidRDefault="00FB5D3F" w:rsidP="00FB5D3F">
      <w:pPr>
        <w:rPr>
          <w:rStyle w:val="Strong"/>
        </w:rPr>
      </w:pPr>
      <w:bookmarkStart w:id="15" w:name="_Toc480988876"/>
      <w:bookmarkStart w:id="16" w:name="_Toc481138188"/>
      <w:bookmarkStart w:id="17" w:name="_Toc481138396"/>
    </w:p>
    <w:bookmarkEnd w:id="15"/>
    <w:bookmarkEnd w:id="16"/>
    <w:bookmarkEnd w:id="17"/>
    <w:p w14:paraId="04CC6B8C" w14:textId="401085E4" w:rsidR="00FB5D3F" w:rsidRDefault="00FB5D3F" w:rsidP="00FB5D3F">
      <w:r>
        <w:t xml:space="preserve">© Essential Services Commission, </w:t>
      </w:r>
      <w:r w:rsidR="000C579A">
        <w:t>2024</w:t>
      </w:r>
    </w:p>
    <w:p w14:paraId="3146834C" w14:textId="77777777" w:rsidR="00FB5D3F" w:rsidRDefault="00FB5D3F" w:rsidP="00FB5D3F">
      <w:r w:rsidRPr="00F70F20">
        <w:rPr>
          <w:noProof/>
          <w:lang w:eastAsia="en-AU"/>
        </w:rPr>
        <w:drawing>
          <wp:inline distT="0" distB="0" distL="0" distR="0" wp14:anchorId="5CE9540E" wp14:editId="7E4A7340">
            <wp:extent cx="1198800" cy="421200"/>
            <wp:effectExtent l="0" t="0" r="1905" b="0"/>
            <wp:docPr id="4" name="Picture 4" descr="untitl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7927BF3E" w14:textId="197154BC"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Content>
          <w:r w:rsidR="005C281C">
            <w:t>Review of the maximum unbooked taxi fares and non-cash payment surcharges</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2B5D7056" w14:textId="634C75D8" w:rsidR="004309BF" w:rsidRDefault="00FB5D3F" w:rsidP="004309BF">
      <w:r>
        <w:t>The licence does not apply to any brand logo, images or photographs within the publication.</w:t>
      </w:r>
      <w:bookmarkEnd w:id="4"/>
      <w:sdt>
        <w:sdtPr>
          <w:id w:val="1641840776"/>
          <w:lock w:val="sdtContentLocked"/>
          <w:placeholder>
            <w:docPart w:val="89546CF0731A43EEA0DAC878284F1376"/>
          </w:placeholder>
          <w:showingPlcHdr/>
          <w:text/>
        </w:sdtPr>
        <w:sdtContent>
          <w:r w:rsidR="004309BF">
            <w:t xml:space="preserve">  </w:t>
          </w:r>
        </w:sdtContent>
      </w:sdt>
    </w:p>
    <w:p w14:paraId="3AAB5A0D" w14:textId="77777777" w:rsidR="008F7087" w:rsidRDefault="008F7087" w:rsidP="00710792">
      <w:pPr>
        <w:pStyle w:val="Heading1"/>
        <w:sectPr w:rsidR="008F7087" w:rsidSect="0053218D">
          <w:headerReference w:type="default" r:id="rId17"/>
          <w:footerReference w:type="default" r:id="rId18"/>
          <w:type w:val="continuous"/>
          <w:pgSz w:w="11906" w:h="16838" w:code="9"/>
          <w:pgMar w:top="1134" w:right="1134" w:bottom="1134" w:left="1134" w:header="709" w:footer="692" w:gutter="0"/>
          <w:pgNumType w:fmt="lowerRoman"/>
          <w:cols w:space="708"/>
          <w:docGrid w:linePitch="360"/>
        </w:sectPr>
      </w:pPr>
      <w:bookmarkStart w:id="18" w:name="_Toc481138189"/>
      <w:bookmarkStart w:id="19" w:name="_Toc481138397"/>
    </w:p>
    <w:bookmarkEnd w:id="18"/>
    <w:bookmarkEnd w:id="19"/>
    <w:p w14:paraId="5F87BB87" w14:textId="77777777" w:rsidR="008344E0" w:rsidRDefault="00D3670C" w:rsidP="00AC662E">
      <w:pPr>
        <w:pStyle w:val="TOCHeading"/>
        <w:rPr>
          <w:noProof/>
        </w:rPr>
      </w:pPr>
      <w:r w:rsidRPr="00755FBF">
        <w:rPr>
          <w:rStyle w:val="Hyperlink"/>
          <w:color w:val="D50032" w:themeColor="accent6"/>
          <w:u w:val="none"/>
        </w:rPr>
        <w:lastRenderedPageBreak/>
        <w:t>Contents</w:t>
      </w:r>
      <w:r w:rsidR="00782E55">
        <w:rPr>
          <w:b/>
        </w:rPr>
        <w:fldChar w:fldCharType="begin"/>
      </w:r>
      <w:r w:rsidR="00782E55">
        <w:instrText xml:space="preserve"> TOC \h \z \t "Heading 1,1,Heading 2,3,Heading 3,5,Heading 1 numbered,2,Heading 2 numbered,4,Heading 3 numbered,6" </w:instrText>
      </w:r>
      <w:r w:rsidR="00782E55">
        <w:rPr>
          <w:b/>
        </w:rPr>
        <w:fldChar w:fldCharType="separate"/>
      </w:r>
    </w:p>
    <w:p w14:paraId="1B054431" w14:textId="4916268B" w:rsidR="008344E0" w:rsidRDefault="00000000">
      <w:pPr>
        <w:pStyle w:val="TOC1"/>
        <w:rPr>
          <w:rFonts w:eastAsiaTheme="minorEastAsia"/>
          <w:b w:val="0"/>
          <w:noProof/>
          <w:kern w:val="2"/>
          <w:sz w:val="24"/>
          <w:szCs w:val="24"/>
          <w:lang w:eastAsia="en-AU"/>
          <w14:ligatures w14:val="standardContextual"/>
        </w:rPr>
      </w:pPr>
      <w:hyperlink w:anchor="_Toc174692639" w:history="1">
        <w:r w:rsidR="008344E0" w:rsidRPr="00D20B60">
          <w:rPr>
            <w:rStyle w:val="Hyperlink"/>
            <w:noProof/>
          </w:rPr>
          <w:t>Summary</w:t>
        </w:r>
        <w:r w:rsidR="008344E0">
          <w:rPr>
            <w:noProof/>
            <w:webHidden/>
          </w:rPr>
          <w:tab/>
        </w:r>
        <w:r w:rsidR="008344E0">
          <w:rPr>
            <w:noProof/>
            <w:webHidden/>
          </w:rPr>
          <w:fldChar w:fldCharType="begin"/>
        </w:r>
        <w:r w:rsidR="008344E0">
          <w:rPr>
            <w:noProof/>
            <w:webHidden/>
          </w:rPr>
          <w:instrText xml:space="preserve"> PAGEREF _Toc174692639 \h </w:instrText>
        </w:r>
        <w:r w:rsidR="008344E0">
          <w:rPr>
            <w:noProof/>
            <w:webHidden/>
          </w:rPr>
        </w:r>
        <w:r w:rsidR="008344E0">
          <w:rPr>
            <w:noProof/>
            <w:webHidden/>
          </w:rPr>
          <w:fldChar w:fldCharType="separate"/>
        </w:r>
        <w:r w:rsidR="00054BC1">
          <w:rPr>
            <w:noProof/>
            <w:webHidden/>
          </w:rPr>
          <w:t>iii</w:t>
        </w:r>
        <w:r w:rsidR="008344E0">
          <w:rPr>
            <w:noProof/>
            <w:webHidden/>
          </w:rPr>
          <w:fldChar w:fldCharType="end"/>
        </w:r>
      </w:hyperlink>
    </w:p>
    <w:p w14:paraId="0827BB26" w14:textId="15E0D8BF" w:rsidR="008344E0" w:rsidRPr="00B421AC" w:rsidRDefault="00000000">
      <w:pPr>
        <w:pStyle w:val="TOC2"/>
        <w:rPr>
          <w:rFonts w:eastAsiaTheme="minorEastAsia"/>
          <w:b/>
          <w:bCs/>
          <w:kern w:val="2"/>
          <w:sz w:val="24"/>
          <w:szCs w:val="24"/>
          <w:lang w:eastAsia="en-AU"/>
          <w14:ligatures w14:val="standardContextual"/>
        </w:rPr>
      </w:pPr>
      <w:hyperlink w:anchor="_Toc174692644" w:history="1">
        <w:r w:rsidR="008344E0" w:rsidRPr="00B421AC">
          <w:rPr>
            <w:rStyle w:val="Hyperlink"/>
            <w:b/>
            <w:bCs/>
          </w:rPr>
          <w:t>1.</w:t>
        </w:r>
        <w:r w:rsidR="008344E0" w:rsidRPr="00B421AC">
          <w:rPr>
            <w:rFonts w:eastAsiaTheme="minorEastAsia"/>
            <w:b/>
            <w:bCs/>
            <w:kern w:val="2"/>
            <w:sz w:val="24"/>
            <w:szCs w:val="24"/>
            <w:lang w:eastAsia="en-AU"/>
            <w14:ligatures w14:val="standardContextual"/>
          </w:rPr>
          <w:tab/>
        </w:r>
        <w:r w:rsidR="008344E0" w:rsidRPr="00B421AC">
          <w:rPr>
            <w:rStyle w:val="Hyperlink"/>
            <w:b/>
            <w:bCs/>
          </w:rPr>
          <w:t>Introduction</w:t>
        </w:r>
        <w:r w:rsidR="008344E0" w:rsidRPr="00B421AC">
          <w:rPr>
            <w:b/>
            <w:bCs/>
            <w:webHidden/>
          </w:rPr>
          <w:tab/>
        </w:r>
        <w:r w:rsidR="008344E0" w:rsidRPr="00B421AC">
          <w:rPr>
            <w:b/>
            <w:bCs/>
            <w:webHidden/>
          </w:rPr>
          <w:fldChar w:fldCharType="begin"/>
        </w:r>
        <w:r w:rsidR="008344E0" w:rsidRPr="00B421AC">
          <w:rPr>
            <w:b/>
            <w:bCs/>
            <w:webHidden/>
          </w:rPr>
          <w:instrText xml:space="preserve"> PAGEREF _Toc174692644 \h </w:instrText>
        </w:r>
        <w:r w:rsidR="008344E0" w:rsidRPr="00B421AC">
          <w:rPr>
            <w:b/>
            <w:bCs/>
            <w:webHidden/>
          </w:rPr>
        </w:r>
        <w:r w:rsidR="008344E0" w:rsidRPr="00B421AC">
          <w:rPr>
            <w:b/>
            <w:bCs/>
            <w:webHidden/>
          </w:rPr>
          <w:fldChar w:fldCharType="separate"/>
        </w:r>
        <w:r w:rsidR="00054BC1">
          <w:rPr>
            <w:b/>
            <w:bCs/>
            <w:webHidden/>
          </w:rPr>
          <w:t>1</w:t>
        </w:r>
        <w:r w:rsidR="008344E0" w:rsidRPr="00B421AC">
          <w:rPr>
            <w:b/>
            <w:bCs/>
            <w:webHidden/>
          </w:rPr>
          <w:fldChar w:fldCharType="end"/>
        </w:r>
      </w:hyperlink>
    </w:p>
    <w:p w14:paraId="77434537" w14:textId="70C8AD2B" w:rsidR="008344E0" w:rsidRDefault="00000000">
      <w:pPr>
        <w:pStyle w:val="TOC3"/>
        <w:rPr>
          <w:rFonts w:eastAsiaTheme="minorEastAsia"/>
          <w:kern w:val="2"/>
          <w:sz w:val="24"/>
          <w:szCs w:val="24"/>
          <w:lang w:eastAsia="en-AU"/>
          <w14:ligatures w14:val="standardContextual"/>
        </w:rPr>
      </w:pPr>
      <w:hyperlink w:anchor="_Toc174692645" w:history="1">
        <w:r w:rsidR="008344E0" w:rsidRPr="00D20B60">
          <w:rPr>
            <w:rStyle w:val="Hyperlink"/>
          </w:rPr>
          <w:t>Our role in the commercial passenger vehicle industry</w:t>
        </w:r>
        <w:r w:rsidR="008344E0">
          <w:rPr>
            <w:webHidden/>
          </w:rPr>
          <w:tab/>
        </w:r>
        <w:r w:rsidR="008344E0">
          <w:rPr>
            <w:webHidden/>
          </w:rPr>
          <w:fldChar w:fldCharType="begin"/>
        </w:r>
        <w:r w:rsidR="008344E0">
          <w:rPr>
            <w:webHidden/>
          </w:rPr>
          <w:instrText xml:space="preserve"> PAGEREF _Toc174692645 \h </w:instrText>
        </w:r>
        <w:r w:rsidR="008344E0">
          <w:rPr>
            <w:webHidden/>
          </w:rPr>
        </w:r>
        <w:r w:rsidR="008344E0">
          <w:rPr>
            <w:webHidden/>
          </w:rPr>
          <w:fldChar w:fldCharType="separate"/>
        </w:r>
        <w:r w:rsidR="00054BC1">
          <w:rPr>
            <w:webHidden/>
          </w:rPr>
          <w:t>1</w:t>
        </w:r>
        <w:r w:rsidR="008344E0">
          <w:rPr>
            <w:webHidden/>
          </w:rPr>
          <w:fldChar w:fldCharType="end"/>
        </w:r>
      </w:hyperlink>
    </w:p>
    <w:p w14:paraId="04C60820" w14:textId="1C62515E" w:rsidR="008344E0" w:rsidRDefault="00000000">
      <w:pPr>
        <w:pStyle w:val="TOC3"/>
        <w:rPr>
          <w:rFonts w:eastAsiaTheme="minorEastAsia"/>
          <w:kern w:val="2"/>
          <w:sz w:val="24"/>
          <w:szCs w:val="24"/>
          <w:lang w:eastAsia="en-AU"/>
          <w14:ligatures w14:val="standardContextual"/>
        </w:rPr>
      </w:pPr>
      <w:hyperlink w:anchor="_Toc174692648" w:history="1">
        <w:r w:rsidR="008344E0" w:rsidRPr="00D20B60">
          <w:rPr>
            <w:rStyle w:val="Hyperlink"/>
          </w:rPr>
          <w:t>Recent market developments</w:t>
        </w:r>
        <w:r w:rsidR="008344E0">
          <w:rPr>
            <w:webHidden/>
          </w:rPr>
          <w:tab/>
        </w:r>
        <w:r w:rsidR="008344E0">
          <w:rPr>
            <w:webHidden/>
          </w:rPr>
          <w:fldChar w:fldCharType="begin"/>
        </w:r>
        <w:r w:rsidR="008344E0">
          <w:rPr>
            <w:webHidden/>
          </w:rPr>
          <w:instrText xml:space="preserve"> PAGEREF _Toc174692648 \h </w:instrText>
        </w:r>
        <w:r w:rsidR="008344E0">
          <w:rPr>
            <w:webHidden/>
          </w:rPr>
        </w:r>
        <w:r w:rsidR="008344E0">
          <w:rPr>
            <w:webHidden/>
          </w:rPr>
          <w:fldChar w:fldCharType="separate"/>
        </w:r>
        <w:r w:rsidR="00054BC1">
          <w:rPr>
            <w:webHidden/>
          </w:rPr>
          <w:t>3</w:t>
        </w:r>
        <w:r w:rsidR="008344E0">
          <w:rPr>
            <w:webHidden/>
          </w:rPr>
          <w:fldChar w:fldCharType="end"/>
        </w:r>
      </w:hyperlink>
    </w:p>
    <w:p w14:paraId="6E8FCCBF" w14:textId="3D7D753C" w:rsidR="008344E0" w:rsidRDefault="00000000">
      <w:pPr>
        <w:pStyle w:val="TOC3"/>
        <w:rPr>
          <w:rFonts w:eastAsiaTheme="minorEastAsia"/>
          <w:kern w:val="2"/>
          <w:sz w:val="24"/>
          <w:szCs w:val="24"/>
          <w:lang w:eastAsia="en-AU"/>
          <w14:ligatures w14:val="standardContextual"/>
        </w:rPr>
      </w:pPr>
      <w:hyperlink w:anchor="_Toc174692652" w:history="1">
        <w:r w:rsidR="008344E0" w:rsidRPr="00D20B60">
          <w:rPr>
            <w:rStyle w:val="Hyperlink"/>
          </w:rPr>
          <w:t>How we conducted this review</w:t>
        </w:r>
        <w:r w:rsidR="008344E0">
          <w:rPr>
            <w:webHidden/>
          </w:rPr>
          <w:tab/>
        </w:r>
        <w:r w:rsidR="008344E0">
          <w:rPr>
            <w:webHidden/>
          </w:rPr>
          <w:fldChar w:fldCharType="begin"/>
        </w:r>
        <w:r w:rsidR="008344E0">
          <w:rPr>
            <w:webHidden/>
          </w:rPr>
          <w:instrText xml:space="preserve"> PAGEREF _Toc174692652 \h </w:instrText>
        </w:r>
        <w:r w:rsidR="008344E0">
          <w:rPr>
            <w:webHidden/>
          </w:rPr>
        </w:r>
        <w:r w:rsidR="008344E0">
          <w:rPr>
            <w:webHidden/>
          </w:rPr>
          <w:fldChar w:fldCharType="separate"/>
        </w:r>
        <w:r w:rsidR="00054BC1">
          <w:rPr>
            <w:webHidden/>
          </w:rPr>
          <w:t>5</w:t>
        </w:r>
        <w:r w:rsidR="008344E0">
          <w:rPr>
            <w:webHidden/>
          </w:rPr>
          <w:fldChar w:fldCharType="end"/>
        </w:r>
      </w:hyperlink>
    </w:p>
    <w:p w14:paraId="1DAEB85F" w14:textId="615933F7" w:rsidR="008344E0" w:rsidRPr="00B421AC" w:rsidRDefault="00000000">
      <w:pPr>
        <w:pStyle w:val="TOC2"/>
        <w:rPr>
          <w:rFonts w:eastAsiaTheme="minorEastAsia"/>
          <w:b/>
          <w:bCs/>
          <w:kern w:val="2"/>
          <w:sz w:val="24"/>
          <w:szCs w:val="24"/>
          <w:lang w:eastAsia="en-AU"/>
          <w14:ligatures w14:val="standardContextual"/>
        </w:rPr>
      </w:pPr>
      <w:hyperlink w:anchor="_Toc174692653" w:history="1">
        <w:r w:rsidR="008344E0" w:rsidRPr="00B421AC">
          <w:rPr>
            <w:rStyle w:val="Hyperlink"/>
            <w:b/>
            <w:bCs/>
          </w:rPr>
          <w:t>2.</w:t>
        </w:r>
        <w:r w:rsidR="008344E0" w:rsidRPr="00B421AC">
          <w:rPr>
            <w:rFonts w:eastAsiaTheme="minorEastAsia"/>
            <w:b/>
            <w:bCs/>
            <w:kern w:val="2"/>
            <w:sz w:val="24"/>
            <w:szCs w:val="24"/>
            <w:lang w:eastAsia="en-AU"/>
            <w14:ligatures w14:val="standardContextual"/>
          </w:rPr>
          <w:tab/>
        </w:r>
        <w:r w:rsidR="008344E0" w:rsidRPr="00B421AC">
          <w:rPr>
            <w:rStyle w:val="Hyperlink"/>
            <w:b/>
            <w:bCs/>
          </w:rPr>
          <w:t>Unbooked taxi fares</w:t>
        </w:r>
        <w:r w:rsidR="008344E0" w:rsidRPr="00B421AC">
          <w:rPr>
            <w:b/>
            <w:bCs/>
            <w:webHidden/>
          </w:rPr>
          <w:tab/>
        </w:r>
        <w:r w:rsidR="008344E0" w:rsidRPr="00B421AC">
          <w:rPr>
            <w:b/>
            <w:bCs/>
            <w:webHidden/>
          </w:rPr>
          <w:fldChar w:fldCharType="begin"/>
        </w:r>
        <w:r w:rsidR="008344E0" w:rsidRPr="00B421AC">
          <w:rPr>
            <w:b/>
            <w:bCs/>
            <w:webHidden/>
          </w:rPr>
          <w:instrText xml:space="preserve"> PAGEREF _Toc174692653 \h </w:instrText>
        </w:r>
        <w:r w:rsidR="008344E0" w:rsidRPr="00B421AC">
          <w:rPr>
            <w:b/>
            <w:bCs/>
            <w:webHidden/>
          </w:rPr>
        </w:r>
        <w:r w:rsidR="008344E0" w:rsidRPr="00B421AC">
          <w:rPr>
            <w:b/>
            <w:bCs/>
            <w:webHidden/>
          </w:rPr>
          <w:fldChar w:fldCharType="separate"/>
        </w:r>
        <w:r w:rsidR="00054BC1">
          <w:rPr>
            <w:b/>
            <w:bCs/>
            <w:webHidden/>
          </w:rPr>
          <w:t>7</w:t>
        </w:r>
        <w:r w:rsidR="008344E0" w:rsidRPr="00B421AC">
          <w:rPr>
            <w:b/>
            <w:bCs/>
            <w:webHidden/>
          </w:rPr>
          <w:fldChar w:fldCharType="end"/>
        </w:r>
      </w:hyperlink>
    </w:p>
    <w:p w14:paraId="07598823" w14:textId="3E5891B0" w:rsidR="008344E0" w:rsidRDefault="00000000">
      <w:pPr>
        <w:pStyle w:val="TOC3"/>
        <w:rPr>
          <w:rFonts w:eastAsiaTheme="minorEastAsia"/>
          <w:kern w:val="2"/>
          <w:sz w:val="24"/>
          <w:szCs w:val="24"/>
          <w:lang w:eastAsia="en-AU"/>
          <w14:ligatures w14:val="standardContextual"/>
        </w:rPr>
      </w:pPr>
      <w:hyperlink w:anchor="_Toc174692655" w:history="1">
        <w:r w:rsidR="008344E0" w:rsidRPr="00D20B60">
          <w:rPr>
            <w:rStyle w:val="Hyperlink"/>
          </w:rPr>
          <w:t>Our approach to setting taxi fares</w:t>
        </w:r>
        <w:r w:rsidR="008344E0">
          <w:rPr>
            <w:webHidden/>
          </w:rPr>
          <w:tab/>
        </w:r>
        <w:r w:rsidR="008344E0">
          <w:rPr>
            <w:webHidden/>
          </w:rPr>
          <w:fldChar w:fldCharType="begin"/>
        </w:r>
        <w:r w:rsidR="008344E0">
          <w:rPr>
            <w:webHidden/>
          </w:rPr>
          <w:instrText xml:space="preserve"> PAGEREF _Toc174692655 \h </w:instrText>
        </w:r>
        <w:r w:rsidR="008344E0">
          <w:rPr>
            <w:webHidden/>
          </w:rPr>
        </w:r>
        <w:r w:rsidR="008344E0">
          <w:rPr>
            <w:webHidden/>
          </w:rPr>
          <w:fldChar w:fldCharType="separate"/>
        </w:r>
        <w:r w:rsidR="00054BC1">
          <w:rPr>
            <w:webHidden/>
          </w:rPr>
          <w:t>9</w:t>
        </w:r>
        <w:r w:rsidR="008344E0">
          <w:rPr>
            <w:webHidden/>
          </w:rPr>
          <w:fldChar w:fldCharType="end"/>
        </w:r>
      </w:hyperlink>
    </w:p>
    <w:p w14:paraId="72D1091B" w14:textId="5026B596" w:rsidR="008344E0" w:rsidRDefault="00000000">
      <w:pPr>
        <w:pStyle w:val="TOC3"/>
        <w:rPr>
          <w:rFonts w:eastAsiaTheme="minorEastAsia"/>
          <w:kern w:val="2"/>
          <w:sz w:val="24"/>
          <w:szCs w:val="24"/>
          <w:lang w:eastAsia="en-AU"/>
          <w14:ligatures w14:val="standardContextual"/>
        </w:rPr>
      </w:pPr>
      <w:hyperlink w:anchor="_Toc174692657" w:history="1">
        <w:r w:rsidR="008344E0" w:rsidRPr="00D20B60">
          <w:rPr>
            <w:rStyle w:val="Hyperlink"/>
          </w:rPr>
          <w:t>Our taxi cost indexes suggest that costs have increased</w:t>
        </w:r>
        <w:r w:rsidR="008344E0">
          <w:rPr>
            <w:webHidden/>
          </w:rPr>
          <w:tab/>
        </w:r>
        <w:r w:rsidR="008344E0">
          <w:rPr>
            <w:webHidden/>
          </w:rPr>
          <w:fldChar w:fldCharType="begin"/>
        </w:r>
        <w:r w:rsidR="008344E0">
          <w:rPr>
            <w:webHidden/>
          </w:rPr>
          <w:instrText xml:space="preserve"> PAGEREF _Toc174692657 \h </w:instrText>
        </w:r>
        <w:r w:rsidR="008344E0">
          <w:rPr>
            <w:webHidden/>
          </w:rPr>
        </w:r>
        <w:r w:rsidR="008344E0">
          <w:rPr>
            <w:webHidden/>
          </w:rPr>
          <w:fldChar w:fldCharType="separate"/>
        </w:r>
        <w:r w:rsidR="00054BC1">
          <w:rPr>
            <w:webHidden/>
          </w:rPr>
          <w:t>10</w:t>
        </w:r>
        <w:r w:rsidR="008344E0">
          <w:rPr>
            <w:webHidden/>
          </w:rPr>
          <w:fldChar w:fldCharType="end"/>
        </w:r>
      </w:hyperlink>
    </w:p>
    <w:p w14:paraId="585746D2" w14:textId="42666FCF" w:rsidR="008344E0" w:rsidRDefault="00000000">
      <w:pPr>
        <w:pStyle w:val="TOC3"/>
        <w:rPr>
          <w:rFonts w:eastAsiaTheme="minorEastAsia"/>
          <w:kern w:val="2"/>
          <w:sz w:val="24"/>
          <w:szCs w:val="24"/>
          <w:lang w:eastAsia="en-AU"/>
          <w14:ligatures w14:val="standardContextual"/>
        </w:rPr>
      </w:pPr>
      <w:hyperlink w:anchor="_Toc174692658" w:history="1">
        <w:r w:rsidR="008344E0" w:rsidRPr="00D20B60">
          <w:rPr>
            <w:rStyle w:val="Hyperlink"/>
          </w:rPr>
          <w:t>Our final decision</w:t>
        </w:r>
        <w:r w:rsidR="008344E0">
          <w:rPr>
            <w:webHidden/>
          </w:rPr>
          <w:tab/>
        </w:r>
        <w:r w:rsidR="008344E0">
          <w:rPr>
            <w:webHidden/>
          </w:rPr>
          <w:fldChar w:fldCharType="begin"/>
        </w:r>
        <w:r w:rsidR="008344E0">
          <w:rPr>
            <w:webHidden/>
          </w:rPr>
          <w:instrText xml:space="preserve"> PAGEREF _Toc174692658 \h </w:instrText>
        </w:r>
        <w:r w:rsidR="008344E0">
          <w:rPr>
            <w:webHidden/>
          </w:rPr>
        </w:r>
        <w:r w:rsidR="008344E0">
          <w:rPr>
            <w:webHidden/>
          </w:rPr>
          <w:fldChar w:fldCharType="separate"/>
        </w:r>
        <w:r w:rsidR="00054BC1">
          <w:rPr>
            <w:webHidden/>
          </w:rPr>
          <w:t>12</w:t>
        </w:r>
        <w:r w:rsidR="008344E0">
          <w:rPr>
            <w:webHidden/>
          </w:rPr>
          <w:fldChar w:fldCharType="end"/>
        </w:r>
      </w:hyperlink>
    </w:p>
    <w:p w14:paraId="1E1B8F71" w14:textId="11A36DDC" w:rsidR="008344E0" w:rsidRPr="00B421AC" w:rsidRDefault="00000000">
      <w:pPr>
        <w:pStyle w:val="TOC2"/>
        <w:rPr>
          <w:rFonts w:eastAsiaTheme="minorEastAsia"/>
          <w:b/>
          <w:bCs/>
          <w:kern w:val="2"/>
          <w:sz w:val="24"/>
          <w:szCs w:val="24"/>
          <w:lang w:eastAsia="en-AU"/>
          <w14:ligatures w14:val="standardContextual"/>
        </w:rPr>
      </w:pPr>
      <w:hyperlink w:anchor="_Toc174692664" w:history="1">
        <w:r w:rsidR="008344E0" w:rsidRPr="00B421AC">
          <w:rPr>
            <w:rStyle w:val="Hyperlink"/>
            <w:b/>
            <w:bCs/>
          </w:rPr>
          <w:t>3.</w:t>
        </w:r>
        <w:r w:rsidR="008344E0" w:rsidRPr="00B421AC">
          <w:rPr>
            <w:rFonts w:eastAsiaTheme="minorEastAsia"/>
            <w:b/>
            <w:bCs/>
            <w:kern w:val="2"/>
            <w:sz w:val="24"/>
            <w:szCs w:val="24"/>
            <w:lang w:eastAsia="en-AU"/>
            <w14:ligatures w14:val="standardContextual"/>
          </w:rPr>
          <w:tab/>
        </w:r>
        <w:r w:rsidR="008344E0" w:rsidRPr="00B421AC">
          <w:rPr>
            <w:rStyle w:val="Hyperlink"/>
            <w:b/>
            <w:bCs/>
          </w:rPr>
          <w:t>Non-cash payment surcharge</w:t>
        </w:r>
        <w:r w:rsidR="008344E0" w:rsidRPr="00B421AC">
          <w:rPr>
            <w:b/>
            <w:bCs/>
            <w:webHidden/>
          </w:rPr>
          <w:tab/>
        </w:r>
        <w:r w:rsidR="008344E0" w:rsidRPr="00B421AC">
          <w:rPr>
            <w:b/>
            <w:bCs/>
            <w:webHidden/>
          </w:rPr>
          <w:fldChar w:fldCharType="begin"/>
        </w:r>
        <w:r w:rsidR="008344E0" w:rsidRPr="00B421AC">
          <w:rPr>
            <w:b/>
            <w:bCs/>
            <w:webHidden/>
          </w:rPr>
          <w:instrText xml:space="preserve"> PAGEREF _Toc174692664 \h </w:instrText>
        </w:r>
        <w:r w:rsidR="008344E0" w:rsidRPr="00B421AC">
          <w:rPr>
            <w:b/>
            <w:bCs/>
            <w:webHidden/>
          </w:rPr>
        </w:r>
        <w:r w:rsidR="008344E0" w:rsidRPr="00B421AC">
          <w:rPr>
            <w:b/>
            <w:bCs/>
            <w:webHidden/>
          </w:rPr>
          <w:fldChar w:fldCharType="separate"/>
        </w:r>
        <w:r w:rsidR="00054BC1">
          <w:rPr>
            <w:b/>
            <w:bCs/>
            <w:webHidden/>
          </w:rPr>
          <w:t>18</w:t>
        </w:r>
        <w:r w:rsidR="008344E0" w:rsidRPr="00B421AC">
          <w:rPr>
            <w:b/>
            <w:bCs/>
            <w:webHidden/>
          </w:rPr>
          <w:fldChar w:fldCharType="end"/>
        </w:r>
      </w:hyperlink>
    </w:p>
    <w:p w14:paraId="225AA244" w14:textId="14D65AA1" w:rsidR="008344E0" w:rsidRDefault="00000000">
      <w:pPr>
        <w:pStyle w:val="TOC3"/>
        <w:rPr>
          <w:rFonts w:eastAsiaTheme="minorEastAsia"/>
          <w:kern w:val="2"/>
          <w:sz w:val="24"/>
          <w:szCs w:val="24"/>
          <w:lang w:eastAsia="en-AU"/>
          <w14:ligatures w14:val="standardContextual"/>
        </w:rPr>
      </w:pPr>
      <w:hyperlink w:anchor="_Toc174692665" w:history="1">
        <w:r w:rsidR="008344E0" w:rsidRPr="00D20B60">
          <w:rPr>
            <w:rStyle w:val="Hyperlink"/>
          </w:rPr>
          <w:t>Our approach to setting non</w:t>
        </w:r>
        <w:r w:rsidR="008344E0" w:rsidRPr="00D20B60">
          <w:rPr>
            <w:rStyle w:val="Hyperlink"/>
          </w:rPr>
          <w:noBreakHyphen/>
          <w:t>cash payment surcharges</w:t>
        </w:r>
        <w:r w:rsidR="008344E0">
          <w:rPr>
            <w:webHidden/>
          </w:rPr>
          <w:tab/>
        </w:r>
        <w:r w:rsidR="008344E0">
          <w:rPr>
            <w:webHidden/>
          </w:rPr>
          <w:fldChar w:fldCharType="begin"/>
        </w:r>
        <w:r w:rsidR="008344E0">
          <w:rPr>
            <w:webHidden/>
          </w:rPr>
          <w:instrText xml:space="preserve"> PAGEREF _Toc174692665 \h </w:instrText>
        </w:r>
        <w:r w:rsidR="008344E0">
          <w:rPr>
            <w:webHidden/>
          </w:rPr>
        </w:r>
        <w:r w:rsidR="008344E0">
          <w:rPr>
            <w:webHidden/>
          </w:rPr>
          <w:fldChar w:fldCharType="separate"/>
        </w:r>
        <w:r w:rsidR="00054BC1">
          <w:rPr>
            <w:webHidden/>
          </w:rPr>
          <w:t>19</w:t>
        </w:r>
        <w:r w:rsidR="008344E0">
          <w:rPr>
            <w:webHidden/>
          </w:rPr>
          <w:fldChar w:fldCharType="end"/>
        </w:r>
      </w:hyperlink>
    </w:p>
    <w:p w14:paraId="09B5E1B6" w14:textId="30E56EF0" w:rsidR="008344E0" w:rsidRDefault="00000000">
      <w:pPr>
        <w:pStyle w:val="TOC3"/>
        <w:rPr>
          <w:rFonts w:eastAsiaTheme="minorEastAsia"/>
          <w:kern w:val="2"/>
          <w:sz w:val="24"/>
          <w:szCs w:val="24"/>
          <w:lang w:eastAsia="en-AU"/>
          <w14:ligatures w14:val="standardContextual"/>
        </w:rPr>
      </w:pPr>
      <w:hyperlink w:anchor="_Toc174692668" w:history="1">
        <w:r w:rsidR="008344E0" w:rsidRPr="00D20B60">
          <w:rPr>
            <w:rStyle w:val="Hyperlink"/>
          </w:rPr>
          <w:t>Benchmarking shows that a 4 per cent maximum surcharge is appropriate</w:t>
        </w:r>
        <w:r w:rsidR="008344E0">
          <w:rPr>
            <w:webHidden/>
          </w:rPr>
          <w:tab/>
        </w:r>
        <w:r w:rsidR="008344E0">
          <w:rPr>
            <w:webHidden/>
          </w:rPr>
          <w:fldChar w:fldCharType="begin"/>
        </w:r>
        <w:r w:rsidR="008344E0">
          <w:rPr>
            <w:webHidden/>
          </w:rPr>
          <w:instrText xml:space="preserve"> PAGEREF _Toc174692668 \h </w:instrText>
        </w:r>
        <w:r w:rsidR="008344E0">
          <w:rPr>
            <w:webHidden/>
          </w:rPr>
        </w:r>
        <w:r w:rsidR="008344E0">
          <w:rPr>
            <w:webHidden/>
          </w:rPr>
          <w:fldChar w:fldCharType="separate"/>
        </w:r>
        <w:r w:rsidR="00054BC1">
          <w:rPr>
            <w:webHidden/>
          </w:rPr>
          <w:t>21</w:t>
        </w:r>
        <w:r w:rsidR="008344E0">
          <w:rPr>
            <w:webHidden/>
          </w:rPr>
          <w:fldChar w:fldCharType="end"/>
        </w:r>
      </w:hyperlink>
    </w:p>
    <w:p w14:paraId="1F13ECB0" w14:textId="139C240B" w:rsidR="008344E0" w:rsidRDefault="00000000">
      <w:pPr>
        <w:pStyle w:val="TOC3"/>
        <w:rPr>
          <w:rFonts w:eastAsiaTheme="minorEastAsia"/>
          <w:kern w:val="2"/>
          <w:sz w:val="24"/>
          <w:szCs w:val="24"/>
          <w:lang w:eastAsia="en-AU"/>
          <w14:ligatures w14:val="standardContextual"/>
        </w:rPr>
      </w:pPr>
      <w:hyperlink w:anchor="_Toc174692671" w:history="1">
        <w:r w:rsidR="008344E0" w:rsidRPr="00D20B60">
          <w:rPr>
            <w:rStyle w:val="Hyperlink"/>
          </w:rPr>
          <w:t>We considered stakeholder views on the current surcharges</w:t>
        </w:r>
        <w:r w:rsidR="008344E0">
          <w:rPr>
            <w:webHidden/>
          </w:rPr>
          <w:tab/>
        </w:r>
        <w:r w:rsidR="008344E0">
          <w:rPr>
            <w:webHidden/>
          </w:rPr>
          <w:fldChar w:fldCharType="begin"/>
        </w:r>
        <w:r w:rsidR="008344E0">
          <w:rPr>
            <w:webHidden/>
          </w:rPr>
          <w:instrText xml:space="preserve"> PAGEREF _Toc174692671 \h </w:instrText>
        </w:r>
        <w:r w:rsidR="008344E0">
          <w:rPr>
            <w:webHidden/>
          </w:rPr>
        </w:r>
        <w:r w:rsidR="008344E0">
          <w:rPr>
            <w:webHidden/>
          </w:rPr>
          <w:fldChar w:fldCharType="separate"/>
        </w:r>
        <w:r w:rsidR="00054BC1">
          <w:rPr>
            <w:webHidden/>
          </w:rPr>
          <w:t>25</w:t>
        </w:r>
        <w:r w:rsidR="008344E0">
          <w:rPr>
            <w:webHidden/>
          </w:rPr>
          <w:fldChar w:fldCharType="end"/>
        </w:r>
      </w:hyperlink>
    </w:p>
    <w:p w14:paraId="5A6BEF68" w14:textId="1CB6DE97" w:rsidR="008344E0" w:rsidRDefault="00000000">
      <w:pPr>
        <w:pStyle w:val="TOC3"/>
        <w:rPr>
          <w:rFonts w:eastAsiaTheme="minorEastAsia"/>
          <w:kern w:val="2"/>
          <w:sz w:val="24"/>
          <w:szCs w:val="24"/>
          <w:lang w:eastAsia="en-AU"/>
          <w14:ligatures w14:val="standardContextual"/>
        </w:rPr>
      </w:pPr>
      <w:hyperlink w:anchor="_Toc174692672" w:history="1">
        <w:r w:rsidR="008344E0" w:rsidRPr="00D20B60">
          <w:rPr>
            <w:rStyle w:val="Hyperlink"/>
          </w:rPr>
          <w:t>Our final decision is to maintain the existing non</w:t>
        </w:r>
        <w:r w:rsidR="008344E0" w:rsidRPr="00D20B60">
          <w:rPr>
            <w:rStyle w:val="Hyperlink"/>
          </w:rPr>
          <w:noBreakHyphen/>
          <w:t>cash payment surcharges</w:t>
        </w:r>
        <w:r w:rsidR="008344E0">
          <w:rPr>
            <w:webHidden/>
          </w:rPr>
          <w:tab/>
        </w:r>
        <w:r w:rsidR="008344E0">
          <w:rPr>
            <w:webHidden/>
          </w:rPr>
          <w:fldChar w:fldCharType="begin"/>
        </w:r>
        <w:r w:rsidR="008344E0">
          <w:rPr>
            <w:webHidden/>
          </w:rPr>
          <w:instrText xml:space="preserve"> PAGEREF _Toc174692672 \h </w:instrText>
        </w:r>
        <w:r w:rsidR="008344E0">
          <w:rPr>
            <w:webHidden/>
          </w:rPr>
        </w:r>
        <w:r w:rsidR="008344E0">
          <w:rPr>
            <w:webHidden/>
          </w:rPr>
          <w:fldChar w:fldCharType="separate"/>
        </w:r>
        <w:r w:rsidR="00054BC1">
          <w:rPr>
            <w:webHidden/>
          </w:rPr>
          <w:t>27</w:t>
        </w:r>
        <w:r w:rsidR="008344E0">
          <w:rPr>
            <w:webHidden/>
          </w:rPr>
          <w:fldChar w:fldCharType="end"/>
        </w:r>
      </w:hyperlink>
    </w:p>
    <w:p w14:paraId="40FADF41" w14:textId="692B6F25" w:rsidR="008344E0" w:rsidRDefault="00000000">
      <w:pPr>
        <w:pStyle w:val="TOC1"/>
        <w:rPr>
          <w:rFonts w:eastAsiaTheme="minorEastAsia"/>
          <w:b w:val="0"/>
          <w:noProof/>
          <w:kern w:val="2"/>
          <w:sz w:val="24"/>
          <w:szCs w:val="24"/>
          <w:lang w:eastAsia="en-AU"/>
          <w14:ligatures w14:val="standardContextual"/>
        </w:rPr>
      </w:pPr>
      <w:hyperlink w:anchor="_Toc174692675" w:history="1">
        <w:r w:rsidR="008344E0" w:rsidRPr="00D20B60">
          <w:rPr>
            <w:rStyle w:val="Hyperlink"/>
            <w:noProof/>
          </w:rPr>
          <w:t>Appendix A: Maximum unbooked taxi fares (from 23 September 2024)</w:t>
        </w:r>
        <w:r w:rsidR="008344E0">
          <w:rPr>
            <w:noProof/>
            <w:webHidden/>
          </w:rPr>
          <w:tab/>
        </w:r>
        <w:r w:rsidR="008344E0">
          <w:rPr>
            <w:noProof/>
            <w:webHidden/>
          </w:rPr>
          <w:fldChar w:fldCharType="begin"/>
        </w:r>
        <w:r w:rsidR="008344E0">
          <w:rPr>
            <w:noProof/>
            <w:webHidden/>
          </w:rPr>
          <w:instrText xml:space="preserve"> PAGEREF _Toc174692675 \h </w:instrText>
        </w:r>
        <w:r w:rsidR="008344E0">
          <w:rPr>
            <w:noProof/>
            <w:webHidden/>
          </w:rPr>
        </w:r>
        <w:r w:rsidR="008344E0">
          <w:rPr>
            <w:noProof/>
            <w:webHidden/>
          </w:rPr>
          <w:fldChar w:fldCharType="separate"/>
        </w:r>
        <w:r w:rsidR="00054BC1">
          <w:rPr>
            <w:noProof/>
            <w:webHidden/>
          </w:rPr>
          <w:t>31</w:t>
        </w:r>
        <w:r w:rsidR="008344E0">
          <w:rPr>
            <w:noProof/>
            <w:webHidden/>
          </w:rPr>
          <w:fldChar w:fldCharType="end"/>
        </w:r>
      </w:hyperlink>
    </w:p>
    <w:p w14:paraId="735384CC" w14:textId="264C34B8" w:rsidR="008344E0" w:rsidRDefault="00000000">
      <w:pPr>
        <w:pStyle w:val="TOC3"/>
        <w:rPr>
          <w:rFonts w:eastAsiaTheme="minorEastAsia"/>
          <w:kern w:val="2"/>
          <w:sz w:val="24"/>
          <w:szCs w:val="24"/>
          <w:lang w:eastAsia="en-AU"/>
          <w14:ligatures w14:val="standardContextual"/>
        </w:rPr>
      </w:pPr>
      <w:hyperlink w:anchor="_Toc174692676" w:history="1">
        <w:r w:rsidR="008344E0" w:rsidRPr="00D20B60">
          <w:rPr>
            <w:rStyle w:val="Hyperlink"/>
          </w:rPr>
          <w:t>Fare schedule 1 – Metropolitan Melbourne, Dandenong, Frankston and the Mornington Peninsula</w:t>
        </w:r>
        <w:r w:rsidR="008344E0">
          <w:rPr>
            <w:webHidden/>
          </w:rPr>
          <w:tab/>
        </w:r>
        <w:r w:rsidR="008344E0">
          <w:rPr>
            <w:webHidden/>
          </w:rPr>
          <w:fldChar w:fldCharType="begin"/>
        </w:r>
        <w:r w:rsidR="008344E0">
          <w:rPr>
            <w:webHidden/>
          </w:rPr>
          <w:instrText xml:space="preserve"> PAGEREF _Toc174692676 \h </w:instrText>
        </w:r>
        <w:r w:rsidR="008344E0">
          <w:rPr>
            <w:webHidden/>
          </w:rPr>
        </w:r>
        <w:r w:rsidR="008344E0">
          <w:rPr>
            <w:webHidden/>
          </w:rPr>
          <w:fldChar w:fldCharType="separate"/>
        </w:r>
        <w:r w:rsidR="00054BC1">
          <w:rPr>
            <w:webHidden/>
          </w:rPr>
          <w:t>32</w:t>
        </w:r>
        <w:r w:rsidR="008344E0">
          <w:rPr>
            <w:webHidden/>
          </w:rPr>
          <w:fldChar w:fldCharType="end"/>
        </w:r>
      </w:hyperlink>
    </w:p>
    <w:p w14:paraId="661A6B30" w14:textId="1698F7F6" w:rsidR="008344E0" w:rsidRDefault="00000000">
      <w:pPr>
        <w:pStyle w:val="TOC3"/>
        <w:rPr>
          <w:rFonts w:eastAsiaTheme="minorEastAsia"/>
          <w:kern w:val="2"/>
          <w:sz w:val="24"/>
          <w:szCs w:val="24"/>
          <w:lang w:eastAsia="en-AU"/>
          <w14:ligatures w14:val="standardContextual"/>
        </w:rPr>
      </w:pPr>
      <w:hyperlink w:anchor="_Toc174692677" w:history="1">
        <w:r w:rsidR="008344E0" w:rsidRPr="00D20B60">
          <w:rPr>
            <w:rStyle w:val="Hyperlink"/>
          </w:rPr>
          <w:t>Fare schedule 2 – Geelong, Ballarat and Bendigo</w:t>
        </w:r>
        <w:r w:rsidR="008344E0">
          <w:rPr>
            <w:webHidden/>
          </w:rPr>
          <w:tab/>
        </w:r>
        <w:r w:rsidR="008344E0">
          <w:rPr>
            <w:webHidden/>
          </w:rPr>
          <w:fldChar w:fldCharType="begin"/>
        </w:r>
        <w:r w:rsidR="008344E0">
          <w:rPr>
            <w:webHidden/>
          </w:rPr>
          <w:instrText xml:space="preserve"> PAGEREF _Toc174692677 \h </w:instrText>
        </w:r>
        <w:r w:rsidR="008344E0">
          <w:rPr>
            <w:webHidden/>
          </w:rPr>
        </w:r>
        <w:r w:rsidR="008344E0">
          <w:rPr>
            <w:webHidden/>
          </w:rPr>
          <w:fldChar w:fldCharType="separate"/>
        </w:r>
        <w:r w:rsidR="00054BC1">
          <w:rPr>
            <w:webHidden/>
          </w:rPr>
          <w:t>34</w:t>
        </w:r>
        <w:r w:rsidR="008344E0">
          <w:rPr>
            <w:webHidden/>
          </w:rPr>
          <w:fldChar w:fldCharType="end"/>
        </w:r>
      </w:hyperlink>
    </w:p>
    <w:p w14:paraId="1E8EEBA1" w14:textId="4C11FA01" w:rsidR="008344E0" w:rsidRDefault="00000000">
      <w:pPr>
        <w:pStyle w:val="TOC1"/>
        <w:rPr>
          <w:rFonts w:eastAsiaTheme="minorEastAsia"/>
          <w:b w:val="0"/>
          <w:noProof/>
          <w:kern w:val="2"/>
          <w:sz w:val="24"/>
          <w:szCs w:val="24"/>
          <w:lang w:eastAsia="en-AU"/>
          <w14:ligatures w14:val="standardContextual"/>
        </w:rPr>
      </w:pPr>
      <w:hyperlink w:anchor="_Toc174692678" w:history="1">
        <w:r w:rsidR="008344E0" w:rsidRPr="00D20B60">
          <w:rPr>
            <w:rStyle w:val="Hyperlink"/>
            <w:noProof/>
          </w:rPr>
          <w:t>Appendix B: Stakeholder submissions</w:t>
        </w:r>
        <w:r w:rsidR="008344E0">
          <w:rPr>
            <w:noProof/>
            <w:webHidden/>
          </w:rPr>
          <w:tab/>
        </w:r>
        <w:r w:rsidR="008344E0">
          <w:rPr>
            <w:noProof/>
            <w:webHidden/>
          </w:rPr>
          <w:fldChar w:fldCharType="begin"/>
        </w:r>
        <w:r w:rsidR="008344E0">
          <w:rPr>
            <w:noProof/>
            <w:webHidden/>
          </w:rPr>
          <w:instrText xml:space="preserve"> PAGEREF _Toc174692678 \h </w:instrText>
        </w:r>
        <w:r w:rsidR="008344E0">
          <w:rPr>
            <w:noProof/>
            <w:webHidden/>
          </w:rPr>
        </w:r>
        <w:r w:rsidR="008344E0">
          <w:rPr>
            <w:noProof/>
            <w:webHidden/>
          </w:rPr>
          <w:fldChar w:fldCharType="separate"/>
        </w:r>
        <w:r w:rsidR="00054BC1">
          <w:rPr>
            <w:noProof/>
            <w:webHidden/>
          </w:rPr>
          <w:t>36</w:t>
        </w:r>
        <w:r w:rsidR="008344E0">
          <w:rPr>
            <w:noProof/>
            <w:webHidden/>
          </w:rPr>
          <w:fldChar w:fldCharType="end"/>
        </w:r>
      </w:hyperlink>
    </w:p>
    <w:p w14:paraId="6BF23522" w14:textId="628E25C9" w:rsidR="008344E0" w:rsidRDefault="00000000">
      <w:pPr>
        <w:pStyle w:val="TOC1"/>
        <w:rPr>
          <w:rFonts w:eastAsiaTheme="minorEastAsia"/>
          <w:b w:val="0"/>
          <w:noProof/>
          <w:kern w:val="2"/>
          <w:sz w:val="24"/>
          <w:szCs w:val="24"/>
          <w:lang w:eastAsia="en-AU"/>
          <w14:ligatures w14:val="standardContextual"/>
        </w:rPr>
      </w:pPr>
      <w:hyperlink w:anchor="_Toc174692679" w:history="1">
        <w:r w:rsidR="008344E0" w:rsidRPr="00D20B60">
          <w:rPr>
            <w:rStyle w:val="Hyperlink"/>
            <w:noProof/>
          </w:rPr>
          <w:t>Appendix C: Commercial Passenger Vehicle industry</w:t>
        </w:r>
        <w:r w:rsidR="008344E0">
          <w:rPr>
            <w:noProof/>
            <w:webHidden/>
          </w:rPr>
          <w:tab/>
        </w:r>
        <w:r w:rsidR="008344E0">
          <w:rPr>
            <w:noProof/>
            <w:webHidden/>
          </w:rPr>
          <w:fldChar w:fldCharType="begin"/>
        </w:r>
        <w:r w:rsidR="008344E0">
          <w:rPr>
            <w:noProof/>
            <w:webHidden/>
          </w:rPr>
          <w:instrText xml:space="preserve"> PAGEREF _Toc174692679 \h </w:instrText>
        </w:r>
        <w:r w:rsidR="008344E0">
          <w:rPr>
            <w:noProof/>
            <w:webHidden/>
          </w:rPr>
        </w:r>
        <w:r w:rsidR="008344E0">
          <w:rPr>
            <w:noProof/>
            <w:webHidden/>
          </w:rPr>
          <w:fldChar w:fldCharType="separate"/>
        </w:r>
        <w:r w:rsidR="00054BC1">
          <w:rPr>
            <w:noProof/>
            <w:webHidden/>
          </w:rPr>
          <w:t>37</w:t>
        </w:r>
        <w:r w:rsidR="008344E0">
          <w:rPr>
            <w:noProof/>
            <w:webHidden/>
          </w:rPr>
          <w:fldChar w:fldCharType="end"/>
        </w:r>
      </w:hyperlink>
    </w:p>
    <w:p w14:paraId="45ED5BA7" w14:textId="4A7FD7D5" w:rsidR="008344E0" w:rsidRDefault="00000000">
      <w:pPr>
        <w:pStyle w:val="TOC3"/>
        <w:rPr>
          <w:rFonts w:eastAsiaTheme="minorEastAsia"/>
          <w:kern w:val="2"/>
          <w:sz w:val="24"/>
          <w:szCs w:val="24"/>
          <w:lang w:eastAsia="en-AU"/>
          <w14:ligatures w14:val="standardContextual"/>
        </w:rPr>
      </w:pPr>
      <w:hyperlink w:anchor="_Toc174692680" w:history="1">
        <w:r w:rsidR="008344E0" w:rsidRPr="00D20B60">
          <w:rPr>
            <w:rStyle w:val="Hyperlink"/>
          </w:rPr>
          <w:t>The commercial passenger vehicle industry</w:t>
        </w:r>
        <w:r w:rsidR="008344E0">
          <w:rPr>
            <w:webHidden/>
          </w:rPr>
          <w:tab/>
        </w:r>
        <w:r w:rsidR="008344E0">
          <w:rPr>
            <w:webHidden/>
          </w:rPr>
          <w:fldChar w:fldCharType="begin"/>
        </w:r>
        <w:r w:rsidR="008344E0">
          <w:rPr>
            <w:webHidden/>
          </w:rPr>
          <w:instrText xml:space="preserve"> PAGEREF _Toc174692680 \h </w:instrText>
        </w:r>
        <w:r w:rsidR="008344E0">
          <w:rPr>
            <w:webHidden/>
          </w:rPr>
        </w:r>
        <w:r w:rsidR="008344E0">
          <w:rPr>
            <w:webHidden/>
          </w:rPr>
          <w:fldChar w:fldCharType="separate"/>
        </w:r>
        <w:r w:rsidR="00054BC1">
          <w:rPr>
            <w:webHidden/>
          </w:rPr>
          <w:t>37</w:t>
        </w:r>
        <w:r w:rsidR="008344E0">
          <w:rPr>
            <w:webHidden/>
          </w:rPr>
          <w:fldChar w:fldCharType="end"/>
        </w:r>
      </w:hyperlink>
    </w:p>
    <w:p w14:paraId="3BC66C2A" w14:textId="692A6796" w:rsidR="008344E0" w:rsidRDefault="00000000">
      <w:pPr>
        <w:pStyle w:val="TOC3"/>
        <w:rPr>
          <w:rFonts w:eastAsiaTheme="minorEastAsia"/>
          <w:kern w:val="2"/>
          <w:sz w:val="24"/>
          <w:szCs w:val="24"/>
          <w:lang w:eastAsia="en-AU"/>
          <w14:ligatures w14:val="standardContextual"/>
        </w:rPr>
      </w:pPr>
      <w:hyperlink w:anchor="_Toc174692684" w:history="1">
        <w:r w:rsidR="008344E0" w:rsidRPr="00D20B60">
          <w:rPr>
            <w:rStyle w:val="Hyperlink"/>
          </w:rPr>
          <w:t>Competition in the commercial passenger vehicle industry</w:t>
        </w:r>
        <w:r w:rsidR="008344E0">
          <w:rPr>
            <w:webHidden/>
          </w:rPr>
          <w:tab/>
        </w:r>
        <w:r w:rsidR="008344E0">
          <w:rPr>
            <w:webHidden/>
          </w:rPr>
          <w:fldChar w:fldCharType="begin"/>
        </w:r>
        <w:r w:rsidR="008344E0">
          <w:rPr>
            <w:webHidden/>
          </w:rPr>
          <w:instrText xml:space="preserve"> PAGEREF _Toc174692684 \h </w:instrText>
        </w:r>
        <w:r w:rsidR="008344E0">
          <w:rPr>
            <w:webHidden/>
          </w:rPr>
        </w:r>
        <w:r w:rsidR="008344E0">
          <w:rPr>
            <w:webHidden/>
          </w:rPr>
          <w:fldChar w:fldCharType="separate"/>
        </w:r>
        <w:r w:rsidR="00054BC1">
          <w:rPr>
            <w:webHidden/>
          </w:rPr>
          <w:t>39</w:t>
        </w:r>
        <w:r w:rsidR="008344E0">
          <w:rPr>
            <w:webHidden/>
          </w:rPr>
          <w:fldChar w:fldCharType="end"/>
        </w:r>
      </w:hyperlink>
    </w:p>
    <w:p w14:paraId="46356E58" w14:textId="701E81A4" w:rsidR="008344E0" w:rsidRDefault="00000000">
      <w:pPr>
        <w:pStyle w:val="TOC3"/>
        <w:rPr>
          <w:rFonts w:eastAsiaTheme="minorEastAsia"/>
          <w:kern w:val="2"/>
          <w:sz w:val="24"/>
          <w:szCs w:val="24"/>
          <w:lang w:eastAsia="en-AU"/>
          <w14:ligatures w14:val="standardContextual"/>
        </w:rPr>
      </w:pPr>
      <w:hyperlink w:anchor="_Toc174692686" w:history="1">
        <w:r w:rsidR="008344E0" w:rsidRPr="00D20B60">
          <w:rPr>
            <w:rStyle w:val="Hyperlink"/>
          </w:rPr>
          <w:t>Comparison of fare regulation and taxi fares in Australian jurisdictions</w:t>
        </w:r>
        <w:r w:rsidR="008344E0">
          <w:rPr>
            <w:webHidden/>
          </w:rPr>
          <w:tab/>
        </w:r>
        <w:r w:rsidR="008344E0">
          <w:rPr>
            <w:webHidden/>
          </w:rPr>
          <w:fldChar w:fldCharType="begin"/>
        </w:r>
        <w:r w:rsidR="008344E0">
          <w:rPr>
            <w:webHidden/>
          </w:rPr>
          <w:instrText xml:space="preserve"> PAGEREF _Toc174692686 \h </w:instrText>
        </w:r>
        <w:r w:rsidR="008344E0">
          <w:rPr>
            <w:webHidden/>
          </w:rPr>
        </w:r>
        <w:r w:rsidR="008344E0">
          <w:rPr>
            <w:webHidden/>
          </w:rPr>
          <w:fldChar w:fldCharType="separate"/>
        </w:r>
        <w:r w:rsidR="00054BC1">
          <w:rPr>
            <w:webHidden/>
          </w:rPr>
          <w:t>40</w:t>
        </w:r>
        <w:r w:rsidR="008344E0">
          <w:rPr>
            <w:webHidden/>
          </w:rPr>
          <w:fldChar w:fldCharType="end"/>
        </w:r>
      </w:hyperlink>
    </w:p>
    <w:p w14:paraId="72C858CC" w14:textId="5688E933" w:rsidR="008344E0" w:rsidRDefault="00000000">
      <w:pPr>
        <w:pStyle w:val="TOC1"/>
        <w:rPr>
          <w:rFonts w:eastAsiaTheme="minorEastAsia"/>
          <w:b w:val="0"/>
          <w:noProof/>
          <w:kern w:val="2"/>
          <w:sz w:val="24"/>
          <w:szCs w:val="24"/>
          <w:lang w:eastAsia="en-AU"/>
          <w14:ligatures w14:val="standardContextual"/>
        </w:rPr>
      </w:pPr>
      <w:hyperlink w:anchor="_Toc174692690" w:history="1">
        <w:r w:rsidR="008344E0" w:rsidRPr="00D20B60">
          <w:rPr>
            <w:rStyle w:val="Hyperlink"/>
            <w:noProof/>
          </w:rPr>
          <w:t>Appendix D: Taxi non-cash payment surcharging in other jurisdictions</w:t>
        </w:r>
        <w:r w:rsidR="008344E0">
          <w:rPr>
            <w:noProof/>
            <w:webHidden/>
          </w:rPr>
          <w:tab/>
        </w:r>
        <w:r w:rsidR="008344E0">
          <w:rPr>
            <w:noProof/>
            <w:webHidden/>
          </w:rPr>
          <w:fldChar w:fldCharType="begin"/>
        </w:r>
        <w:r w:rsidR="008344E0">
          <w:rPr>
            <w:noProof/>
            <w:webHidden/>
          </w:rPr>
          <w:instrText xml:space="preserve"> PAGEREF _Toc174692690 \h </w:instrText>
        </w:r>
        <w:r w:rsidR="008344E0">
          <w:rPr>
            <w:noProof/>
            <w:webHidden/>
          </w:rPr>
        </w:r>
        <w:r w:rsidR="008344E0">
          <w:rPr>
            <w:noProof/>
            <w:webHidden/>
          </w:rPr>
          <w:fldChar w:fldCharType="separate"/>
        </w:r>
        <w:r w:rsidR="00054BC1">
          <w:rPr>
            <w:noProof/>
            <w:webHidden/>
          </w:rPr>
          <w:t>44</w:t>
        </w:r>
        <w:r w:rsidR="008344E0">
          <w:rPr>
            <w:noProof/>
            <w:webHidden/>
          </w:rPr>
          <w:fldChar w:fldCharType="end"/>
        </w:r>
      </w:hyperlink>
    </w:p>
    <w:p w14:paraId="22370CE1" w14:textId="5ABBA830" w:rsidR="008344E0" w:rsidRDefault="00000000">
      <w:pPr>
        <w:pStyle w:val="TOC1"/>
        <w:rPr>
          <w:rFonts w:eastAsiaTheme="minorEastAsia"/>
          <w:b w:val="0"/>
          <w:noProof/>
          <w:kern w:val="2"/>
          <w:sz w:val="24"/>
          <w:szCs w:val="24"/>
          <w:lang w:eastAsia="en-AU"/>
          <w14:ligatures w14:val="standardContextual"/>
        </w:rPr>
      </w:pPr>
      <w:hyperlink w:anchor="_Toc174692692" w:history="1">
        <w:r w:rsidR="008344E0" w:rsidRPr="00D20B60">
          <w:rPr>
            <w:rStyle w:val="Hyperlink"/>
            <w:noProof/>
          </w:rPr>
          <w:t>Appendix E: Taxi cost indexes</w:t>
        </w:r>
        <w:r w:rsidR="008344E0">
          <w:rPr>
            <w:noProof/>
            <w:webHidden/>
          </w:rPr>
          <w:tab/>
        </w:r>
        <w:r w:rsidR="008344E0">
          <w:rPr>
            <w:noProof/>
            <w:webHidden/>
          </w:rPr>
          <w:fldChar w:fldCharType="begin"/>
        </w:r>
        <w:r w:rsidR="008344E0">
          <w:rPr>
            <w:noProof/>
            <w:webHidden/>
          </w:rPr>
          <w:instrText xml:space="preserve"> PAGEREF _Toc174692692 \h </w:instrText>
        </w:r>
        <w:r w:rsidR="008344E0">
          <w:rPr>
            <w:noProof/>
            <w:webHidden/>
          </w:rPr>
        </w:r>
        <w:r w:rsidR="008344E0">
          <w:rPr>
            <w:noProof/>
            <w:webHidden/>
          </w:rPr>
          <w:fldChar w:fldCharType="separate"/>
        </w:r>
        <w:r w:rsidR="00054BC1">
          <w:rPr>
            <w:noProof/>
            <w:webHidden/>
          </w:rPr>
          <w:t>46</w:t>
        </w:r>
        <w:r w:rsidR="008344E0">
          <w:rPr>
            <w:noProof/>
            <w:webHidden/>
          </w:rPr>
          <w:fldChar w:fldCharType="end"/>
        </w:r>
      </w:hyperlink>
    </w:p>
    <w:p w14:paraId="50F11EDB" w14:textId="0C772FEC" w:rsidR="008344E0" w:rsidRDefault="00000000">
      <w:pPr>
        <w:pStyle w:val="TOC3"/>
        <w:rPr>
          <w:rFonts w:eastAsiaTheme="minorEastAsia"/>
          <w:kern w:val="2"/>
          <w:sz w:val="24"/>
          <w:szCs w:val="24"/>
          <w:lang w:eastAsia="en-AU"/>
          <w14:ligatures w14:val="standardContextual"/>
        </w:rPr>
      </w:pPr>
      <w:hyperlink w:anchor="_Toc174692695" w:history="1">
        <w:r w:rsidR="008344E0" w:rsidRPr="00D20B60">
          <w:rPr>
            <w:rStyle w:val="Hyperlink"/>
          </w:rPr>
          <w:t>Our taxi cost indexes suggest the costs of operating a taxi have increased</w:t>
        </w:r>
        <w:r w:rsidR="008344E0">
          <w:rPr>
            <w:webHidden/>
          </w:rPr>
          <w:tab/>
        </w:r>
        <w:r w:rsidR="008344E0">
          <w:rPr>
            <w:webHidden/>
          </w:rPr>
          <w:fldChar w:fldCharType="begin"/>
        </w:r>
        <w:r w:rsidR="008344E0">
          <w:rPr>
            <w:webHidden/>
          </w:rPr>
          <w:instrText xml:space="preserve"> PAGEREF _Toc174692695 \h </w:instrText>
        </w:r>
        <w:r w:rsidR="008344E0">
          <w:rPr>
            <w:webHidden/>
          </w:rPr>
        </w:r>
        <w:r w:rsidR="008344E0">
          <w:rPr>
            <w:webHidden/>
          </w:rPr>
          <w:fldChar w:fldCharType="separate"/>
        </w:r>
        <w:r w:rsidR="00054BC1">
          <w:rPr>
            <w:webHidden/>
          </w:rPr>
          <w:t>50</w:t>
        </w:r>
        <w:r w:rsidR="008344E0">
          <w:rPr>
            <w:webHidden/>
          </w:rPr>
          <w:fldChar w:fldCharType="end"/>
        </w:r>
      </w:hyperlink>
    </w:p>
    <w:p w14:paraId="4D3989E8" w14:textId="799F5786" w:rsidR="008344E0" w:rsidRDefault="00000000">
      <w:pPr>
        <w:pStyle w:val="TOC1"/>
        <w:rPr>
          <w:rFonts w:eastAsiaTheme="minorEastAsia"/>
          <w:b w:val="0"/>
          <w:noProof/>
          <w:kern w:val="2"/>
          <w:sz w:val="24"/>
          <w:szCs w:val="24"/>
          <w:lang w:eastAsia="en-AU"/>
          <w14:ligatures w14:val="standardContextual"/>
        </w:rPr>
      </w:pPr>
      <w:hyperlink w:anchor="_Toc174692696" w:history="1">
        <w:r w:rsidR="008344E0" w:rsidRPr="00D20B60">
          <w:rPr>
            <w:rStyle w:val="Hyperlink"/>
            <w:noProof/>
          </w:rPr>
          <w:t>Appendix F: Non</w:t>
        </w:r>
        <w:r w:rsidR="008344E0" w:rsidRPr="00D20B60">
          <w:rPr>
            <w:rStyle w:val="Hyperlink"/>
            <w:noProof/>
          </w:rPr>
          <w:noBreakHyphen/>
          <w:t>cash payment surcharge benchmarking analysis</w:t>
        </w:r>
        <w:r w:rsidR="008344E0">
          <w:rPr>
            <w:noProof/>
            <w:webHidden/>
          </w:rPr>
          <w:tab/>
        </w:r>
        <w:r w:rsidR="008344E0">
          <w:rPr>
            <w:noProof/>
            <w:webHidden/>
          </w:rPr>
          <w:fldChar w:fldCharType="begin"/>
        </w:r>
        <w:r w:rsidR="008344E0">
          <w:rPr>
            <w:noProof/>
            <w:webHidden/>
          </w:rPr>
          <w:instrText xml:space="preserve"> PAGEREF _Toc174692696 \h </w:instrText>
        </w:r>
        <w:r w:rsidR="008344E0">
          <w:rPr>
            <w:noProof/>
            <w:webHidden/>
          </w:rPr>
        </w:r>
        <w:r w:rsidR="008344E0">
          <w:rPr>
            <w:noProof/>
            <w:webHidden/>
          </w:rPr>
          <w:fldChar w:fldCharType="separate"/>
        </w:r>
        <w:r w:rsidR="00054BC1">
          <w:rPr>
            <w:noProof/>
            <w:webHidden/>
          </w:rPr>
          <w:t>52</w:t>
        </w:r>
        <w:r w:rsidR="008344E0">
          <w:rPr>
            <w:noProof/>
            <w:webHidden/>
          </w:rPr>
          <w:fldChar w:fldCharType="end"/>
        </w:r>
      </w:hyperlink>
    </w:p>
    <w:p w14:paraId="336C54A9" w14:textId="67539BEF" w:rsidR="008344E0" w:rsidRDefault="00000000">
      <w:pPr>
        <w:pStyle w:val="TOC3"/>
        <w:rPr>
          <w:rFonts w:eastAsiaTheme="minorEastAsia"/>
          <w:kern w:val="2"/>
          <w:sz w:val="24"/>
          <w:szCs w:val="24"/>
          <w:lang w:eastAsia="en-AU"/>
          <w14:ligatures w14:val="standardContextual"/>
        </w:rPr>
      </w:pPr>
      <w:hyperlink w:anchor="_Toc174692697" w:history="1">
        <w:r w:rsidR="008344E0" w:rsidRPr="00D20B60">
          <w:rPr>
            <w:rStyle w:val="Hyperlink"/>
          </w:rPr>
          <w:t>How we estimated the reasonable cost of processing non</w:t>
        </w:r>
        <w:r w:rsidR="008344E0" w:rsidRPr="00D20B60">
          <w:rPr>
            <w:rStyle w:val="Hyperlink"/>
          </w:rPr>
          <w:noBreakHyphen/>
          <w:t>cash payments</w:t>
        </w:r>
        <w:r w:rsidR="008344E0">
          <w:rPr>
            <w:webHidden/>
          </w:rPr>
          <w:tab/>
        </w:r>
        <w:r w:rsidR="008344E0">
          <w:rPr>
            <w:webHidden/>
          </w:rPr>
          <w:fldChar w:fldCharType="begin"/>
        </w:r>
        <w:r w:rsidR="008344E0">
          <w:rPr>
            <w:webHidden/>
          </w:rPr>
          <w:instrText xml:space="preserve"> PAGEREF _Toc174692697 \h </w:instrText>
        </w:r>
        <w:r w:rsidR="008344E0">
          <w:rPr>
            <w:webHidden/>
          </w:rPr>
        </w:r>
        <w:r w:rsidR="008344E0">
          <w:rPr>
            <w:webHidden/>
          </w:rPr>
          <w:fldChar w:fldCharType="separate"/>
        </w:r>
        <w:r w:rsidR="00054BC1">
          <w:rPr>
            <w:webHidden/>
          </w:rPr>
          <w:t>52</w:t>
        </w:r>
        <w:r w:rsidR="008344E0">
          <w:rPr>
            <w:webHidden/>
          </w:rPr>
          <w:fldChar w:fldCharType="end"/>
        </w:r>
      </w:hyperlink>
    </w:p>
    <w:p w14:paraId="741981C9" w14:textId="39F4BD71" w:rsidR="008344E0" w:rsidRDefault="00000000">
      <w:pPr>
        <w:pStyle w:val="TOC3"/>
        <w:rPr>
          <w:rFonts w:eastAsiaTheme="minorEastAsia"/>
          <w:kern w:val="2"/>
          <w:sz w:val="24"/>
          <w:szCs w:val="24"/>
          <w:lang w:eastAsia="en-AU"/>
          <w14:ligatures w14:val="standardContextual"/>
        </w:rPr>
      </w:pPr>
      <w:hyperlink w:anchor="_Toc174692704" w:history="1">
        <w:r w:rsidR="008344E0" w:rsidRPr="00D20B60">
          <w:rPr>
            <w:rStyle w:val="Hyperlink"/>
          </w:rPr>
          <w:t>The implied surcharge for small businesses is between 1.8 per cent and 3.6 per cent</w:t>
        </w:r>
        <w:r w:rsidR="008344E0">
          <w:rPr>
            <w:webHidden/>
          </w:rPr>
          <w:tab/>
        </w:r>
        <w:r w:rsidR="008344E0">
          <w:rPr>
            <w:webHidden/>
          </w:rPr>
          <w:fldChar w:fldCharType="begin"/>
        </w:r>
        <w:r w:rsidR="008344E0">
          <w:rPr>
            <w:webHidden/>
          </w:rPr>
          <w:instrText xml:space="preserve"> PAGEREF _Toc174692704 \h </w:instrText>
        </w:r>
        <w:r w:rsidR="008344E0">
          <w:rPr>
            <w:webHidden/>
          </w:rPr>
        </w:r>
        <w:r w:rsidR="008344E0">
          <w:rPr>
            <w:webHidden/>
          </w:rPr>
          <w:fldChar w:fldCharType="separate"/>
        </w:r>
        <w:r w:rsidR="00054BC1">
          <w:rPr>
            <w:webHidden/>
          </w:rPr>
          <w:t>61</w:t>
        </w:r>
        <w:r w:rsidR="008344E0">
          <w:rPr>
            <w:webHidden/>
          </w:rPr>
          <w:fldChar w:fldCharType="end"/>
        </w:r>
      </w:hyperlink>
    </w:p>
    <w:p w14:paraId="119503F1" w14:textId="109C34F5" w:rsidR="008344E0" w:rsidRDefault="00000000">
      <w:pPr>
        <w:pStyle w:val="TOC1"/>
        <w:rPr>
          <w:rFonts w:eastAsiaTheme="minorEastAsia"/>
          <w:b w:val="0"/>
          <w:noProof/>
          <w:kern w:val="2"/>
          <w:sz w:val="24"/>
          <w:szCs w:val="24"/>
          <w:lang w:eastAsia="en-AU"/>
          <w14:ligatures w14:val="standardContextual"/>
        </w:rPr>
      </w:pPr>
      <w:hyperlink w:anchor="_Toc174692705" w:history="1">
        <w:r w:rsidR="008344E0" w:rsidRPr="00D20B60">
          <w:rPr>
            <w:rStyle w:val="Hyperlink"/>
            <w:noProof/>
          </w:rPr>
          <w:t>Appendix G: Our legal considerations</w:t>
        </w:r>
        <w:r w:rsidR="008344E0">
          <w:rPr>
            <w:noProof/>
            <w:webHidden/>
          </w:rPr>
          <w:tab/>
        </w:r>
        <w:r w:rsidR="008344E0">
          <w:rPr>
            <w:noProof/>
            <w:webHidden/>
          </w:rPr>
          <w:fldChar w:fldCharType="begin"/>
        </w:r>
        <w:r w:rsidR="008344E0">
          <w:rPr>
            <w:noProof/>
            <w:webHidden/>
          </w:rPr>
          <w:instrText xml:space="preserve"> PAGEREF _Toc174692705 \h </w:instrText>
        </w:r>
        <w:r w:rsidR="008344E0">
          <w:rPr>
            <w:noProof/>
            <w:webHidden/>
          </w:rPr>
        </w:r>
        <w:r w:rsidR="008344E0">
          <w:rPr>
            <w:noProof/>
            <w:webHidden/>
          </w:rPr>
          <w:fldChar w:fldCharType="separate"/>
        </w:r>
        <w:r w:rsidR="00054BC1">
          <w:rPr>
            <w:noProof/>
            <w:webHidden/>
          </w:rPr>
          <w:t>63</w:t>
        </w:r>
        <w:r w:rsidR="008344E0">
          <w:rPr>
            <w:noProof/>
            <w:webHidden/>
          </w:rPr>
          <w:fldChar w:fldCharType="end"/>
        </w:r>
      </w:hyperlink>
    </w:p>
    <w:p w14:paraId="1CC4FB36" w14:textId="7B5610A9" w:rsidR="008344E0" w:rsidRDefault="00000000">
      <w:pPr>
        <w:pStyle w:val="TOC3"/>
        <w:rPr>
          <w:rFonts w:eastAsiaTheme="minorEastAsia"/>
          <w:kern w:val="2"/>
          <w:sz w:val="24"/>
          <w:szCs w:val="24"/>
          <w:lang w:eastAsia="en-AU"/>
          <w14:ligatures w14:val="standardContextual"/>
        </w:rPr>
      </w:pPr>
      <w:hyperlink w:anchor="_Toc174692706" w:history="1">
        <w:r w:rsidR="008344E0" w:rsidRPr="00D20B60">
          <w:rPr>
            <w:rStyle w:val="Hyperlink"/>
          </w:rPr>
          <w:t>Our legislative powers and functions</w:t>
        </w:r>
        <w:r w:rsidR="008344E0">
          <w:rPr>
            <w:webHidden/>
          </w:rPr>
          <w:tab/>
        </w:r>
        <w:r w:rsidR="008344E0">
          <w:rPr>
            <w:webHidden/>
          </w:rPr>
          <w:fldChar w:fldCharType="begin"/>
        </w:r>
        <w:r w:rsidR="008344E0">
          <w:rPr>
            <w:webHidden/>
          </w:rPr>
          <w:instrText xml:space="preserve"> PAGEREF _Toc174692706 \h </w:instrText>
        </w:r>
        <w:r w:rsidR="008344E0">
          <w:rPr>
            <w:webHidden/>
          </w:rPr>
        </w:r>
        <w:r w:rsidR="008344E0">
          <w:rPr>
            <w:webHidden/>
          </w:rPr>
          <w:fldChar w:fldCharType="separate"/>
        </w:r>
        <w:r w:rsidR="00054BC1">
          <w:rPr>
            <w:webHidden/>
          </w:rPr>
          <w:t>63</w:t>
        </w:r>
        <w:r w:rsidR="008344E0">
          <w:rPr>
            <w:webHidden/>
          </w:rPr>
          <w:fldChar w:fldCharType="end"/>
        </w:r>
      </w:hyperlink>
    </w:p>
    <w:p w14:paraId="19606FA6" w14:textId="7A45A4FF" w:rsidR="008344E0" w:rsidRDefault="00000000">
      <w:pPr>
        <w:pStyle w:val="TOC3"/>
        <w:rPr>
          <w:rFonts w:eastAsiaTheme="minorEastAsia"/>
          <w:kern w:val="2"/>
          <w:sz w:val="24"/>
          <w:szCs w:val="24"/>
          <w:lang w:eastAsia="en-AU"/>
          <w14:ligatures w14:val="standardContextual"/>
        </w:rPr>
      </w:pPr>
      <w:hyperlink w:anchor="_Toc174692709" w:history="1">
        <w:r w:rsidR="008344E0" w:rsidRPr="00D20B60">
          <w:rPr>
            <w:rStyle w:val="Hyperlink"/>
          </w:rPr>
          <w:t>Our statutory objectives</w:t>
        </w:r>
        <w:r w:rsidR="008344E0">
          <w:rPr>
            <w:webHidden/>
          </w:rPr>
          <w:tab/>
        </w:r>
        <w:r w:rsidR="008344E0">
          <w:rPr>
            <w:webHidden/>
          </w:rPr>
          <w:fldChar w:fldCharType="begin"/>
        </w:r>
        <w:r w:rsidR="008344E0">
          <w:rPr>
            <w:webHidden/>
          </w:rPr>
          <w:instrText xml:space="preserve"> PAGEREF _Toc174692709 \h </w:instrText>
        </w:r>
        <w:r w:rsidR="008344E0">
          <w:rPr>
            <w:webHidden/>
          </w:rPr>
        </w:r>
        <w:r w:rsidR="008344E0">
          <w:rPr>
            <w:webHidden/>
          </w:rPr>
          <w:fldChar w:fldCharType="separate"/>
        </w:r>
        <w:r w:rsidR="00054BC1">
          <w:rPr>
            <w:webHidden/>
          </w:rPr>
          <w:t>65</w:t>
        </w:r>
        <w:r w:rsidR="008344E0">
          <w:rPr>
            <w:webHidden/>
          </w:rPr>
          <w:fldChar w:fldCharType="end"/>
        </w:r>
      </w:hyperlink>
    </w:p>
    <w:p w14:paraId="2BF68879" w14:textId="5C42DAA6" w:rsidR="008344E0" w:rsidRDefault="00000000">
      <w:pPr>
        <w:pStyle w:val="TOC3"/>
        <w:rPr>
          <w:rFonts w:eastAsiaTheme="minorEastAsia"/>
          <w:kern w:val="2"/>
          <w:sz w:val="24"/>
          <w:szCs w:val="24"/>
          <w:lang w:eastAsia="en-AU"/>
          <w14:ligatures w14:val="standardContextual"/>
        </w:rPr>
      </w:pPr>
      <w:hyperlink w:anchor="_Toc174692712" w:history="1">
        <w:r w:rsidR="008344E0" w:rsidRPr="00D20B60">
          <w:rPr>
            <w:rStyle w:val="Hyperlink"/>
          </w:rPr>
          <w:t>Matters we must have regard to</w:t>
        </w:r>
        <w:r w:rsidR="008344E0">
          <w:rPr>
            <w:webHidden/>
          </w:rPr>
          <w:tab/>
        </w:r>
        <w:r w:rsidR="008344E0">
          <w:rPr>
            <w:webHidden/>
          </w:rPr>
          <w:fldChar w:fldCharType="begin"/>
        </w:r>
        <w:r w:rsidR="008344E0">
          <w:rPr>
            <w:webHidden/>
          </w:rPr>
          <w:instrText xml:space="preserve"> PAGEREF _Toc174692712 \h </w:instrText>
        </w:r>
        <w:r w:rsidR="008344E0">
          <w:rPr>
            <w:webHidden/>
          </w:rPr>
        </w:r>
        <w:r w:rsidR="008344E0">
          <w:rPr>
            <w:webHidden/>
          </w:rPr>
          <w:fldChar w:fldCharType="separate"/>
        </w:r>
        <w:r w:rsidR="00054BC1">
          <w:rPr>
            <w:webHidden/>
          </w:rPr>
          <w:t>66</w:t>
        </w:r>
        <w:r w:rsidR="008344E0">
          <w:rPr>
            <w:webHidden/>
          </w:rPr>
          <w:fldChar w:fldCharType="end"/>
        </w:r>
      </w:hyperlink>
    </w:p>
    <w:p w14:paraId="2BDE4B5F" w14:textId="04C9227C" w:rsidR="008344E0" w:rsidRDefault="00000000">
      <w:pPr>
        <w:pStyle w:val="TOC3"/>
        <w:rPr>
          <w:rFonts w:eastAsiaTheme="minorEastAsia"/>
          <w:kern w:val="2"/>
          <w:sz w:val="24"/>
          <w:szCs w:val="24"/>
          <w:lang w:eastAsia="en-AU"/>
          <w14:ligatures w14:val="standardContextual"/>
        </w:rPr>
      </w:pPr>
      <w:hyperlink w:anchor="_Toc174692713" w:history="1">
        <w:r w:rsidR="008344E0" w:rsidRPr="00D20B60">
          <w:rPr>
            <w:rStyle w:val="Hyperlink"/>
          </w:rPr>
          <w:t>Our regulation of unbooked taxi fares and non-cash payment surcharges</w:t>
        </w:r>
        <w:r w:rsidR="008344E0">
          <w:rPr>
            <w:webHidden/>
          </w:rPr>
          <w:tab/>
        </w:r>
        <w:r w:rsidR="008344E0">
          <w:rPr>
            <w:webHidden/>
          </w:rPr>
          <w:fldChar w:fldCharType="begin"/>
        </w:r>
        <w:r w:rsidR="008344E0">
          <w:rPr>
            <w:webHidden/>
          </w:rPr>
          <w:instrText xml:space="preserve"> PAGEREF _Toc174692713 \h </w:instrText>
        </w:r>
        <w:r w:rsidR="008344E0">
          <w:rPr>
            <w:webHidden/>
          </w:rPr>
        </w:r>
        <w:r w:rsidR="008344E0">
          <w:rPr>
            <w:webHidden/>
          </w:rPr>
          <w:fldChar w:fldCharType="separate"/>
        </w:r>
        <w:r w:rsidR="00054BC1">
          <w:rPr>
            <w:webHidden/>
          </w:rPr>
          <w:t>67</w:t>
        </w:r>
        <w:r w:rsidR="008344E0">
          <w:rPr>
            <w:webHidden/>
          </w:rPr>
          <w:fldChar w:fldCharType="end"/>
        </w:r>
      </w:hyperlink>
    </w:p>
    <w:p w14:paraId="72898825" w14:textId="6E77745D" w:rsidR="008344E0" w:rsidRDefault="008344E0">
      <w:pPr>
        <w:pStyle w:val="TOC1"/>
        <w:rPr>
          <w:rFonts w:eastAsiaTheme="minorEastAsia"/>
          <w:b w:val="0"/>
          <w:noProof/>
          <w:kern w:val="2"/>
          <w:sz w:val="24"/>
          <w:szCs w:val="24"/>
          <w:lang w:eastAsia="en-AU"/>
          <w14:ligatures w14:val="standardContextual"/>
        </w:rPr>
      </w:pPr>
    </w:p>
    <w:p w14:paraId="16415D1B" w14:textId="296D1F75" w:rsidR="003A30F3" w:rsidRDefault="00782E55" w:rsidP="003A30F3">
      <w:r>
        <w:rPr>
          <w:color w:val="236192" w:themeColor="accent1"/>
        </w:rPr>
        <w:fldChar w:fldCharType="end"/>
      </w:r>
    </w:p>
    <w:p w14:paraId="649D9FBC" w14:textId="77777777" w:rsidR="003A30F3" w:rsidRPr="003A30F3" w:rsidRDefault="003A30F3" w:rsidP="003A30F3">
      <w:pPr>
        <w:sectPr w:rsidR="003A30F3" w:rsidRPr="003A30F3" w:rsidSect="0053218D">
          <w:footerReference w:type="default" r:id="rId19"/>
          <w:type w:val="continuous"/>
          <w:pgSz w:w="11906" w:h="16838" w:code="9"/>
          <w:pgMar w:top="1134" w:right="1134" w:bottom="1134" w:left="1134" w:header="709" w:footer="692" w:gutter="0"/>
          <w:pgNumType w:fmt="lowerRoman"/>
          <w:cols w:space="708"/>
          <w:docGrid w:linePitch="360"/>
        </w:sectPr>
      </w:pPr>
    </w:p>
    <w:p w14:paraId="0E05E1B7" w14:textId="77777777" w:rsidR="00710792" w:rsidRDefault="00710792" w:rsidP="00710792">
      <w:pPr>
        <w:pStyle w:val="Heading1"/>
      </w:pPr>
      <w:bookmarkStart w:id="20" w:name="_Toc174692639"/>
      <w:r>
        <w:lastRenderedPageBreak/>
        <w:t>Summary</w:t>
      </w:r>
      <w:bookmarkEnd w:id="20"/>
    </w:p>
    <w:p w14:paraId="2E8C33B9" w14:textId="4B979895" w:rsidR="00780030" w:rsidRDefault="0078668B" w:rsidP="00F3756E">
      <w:pPr>
        <w:pStyle w:val="Heading2"/>
      </w:pPr>
      <w:bookmarkStart w:id="21" w:name="_Toc173691360"/>
      <w:bookmarkStart w:id="22" w:name="_Toc174692640"/>
      <w:r>
        <w:t xml:space="preserve">Our role </w:t>
      </w:r>
      <w:r w:rsidR="009A5B9F">
        <w:t>in taxi</w:t>
      </w:r>
      <w:r w:rsidR="005E434D">
        <w:t xml:space="preserve"> price</w:t>
      </w:r>
      <w:r w:rsidR="009A5B9F">
        <w:t xml:space="preserve"> </w:t>
      </w:r>
      <w:r w:rsidR="00A56ABD">
        <w:t>regulation</w:t>
      </w:r>
      <w:bookmarkEnd w:id="21"/>
      <w:bookmarkEnd w:id="22"/>
    </w:p>
    <w:p w14:paraId="05A231B0" w14:textId="303B72EB" w:rsidR="00AF74C8" w:rsidRDefault="00AF74C8" w:rsidP="00AF74C8">
      <w:r>
        <w:t>Taxis provide vital services to the community and are an important part of Victoria’s transport system. For some people, taxis are their primary means of transport, enabling them to participate in the broader community and economy.</w:t>
      </w:r>
    </w:p>
    <w:p w14:paraId="08C012E4" w14:textId="77777777" w:rsidR="0015639F" w:rsidRDefault="00AF74C8" w:rsidP="00AF74C8">
      <w:r>
        <w:t>The Essential Services Commission has a role in the price regulation of some aspects of taxi services. In fulfilling our role, our</w:t>
      </w:r>
      <w:r w:rsidR="0015639F">
        <w:t xml:space="preserve"> objectives include:</w:t>
      </w:r>
    </w:p>
    <w:p w14:paraId="3212622E" w14:textId="77777777" w:rsidR="0015639F" w:rsidRDefault="0015639F" w:rsidP="0015639F">
      <w:pPr>
        <w:pStyle w:val="ListBullet"/>
      </w:pPr>
      <w:r>
        <w:t>promoting the long-term interests of consumers</w:t>
      </w:r>
      <w:r>
        <w:rPr>
          <w:rStyle w:val="FootnoteReference"/>
        </w:rPr>
        <w:footnoteReference w:id="2"/>
      </w:r>
    </w:p>
    <w:p w14:paraId="064D3BC8" w14:textId="77777777" w:rsidR="0015639F" w:rsidRDefault="0015639F" w:rsidP="0015639F">
      <w:pPr>
        <w:pStyle w:val="ListBullet"/>
      </w:pPr>
      <w:r>
        <w:t>promoting the efficient provision and use of unbooked taxi services</w:t>
      </w:r>
      <w:r>
        <w:rPr>
          <w:rStyle w:val="FootnoteReference"/>
        </w:rPr>
        <w:footnoteReference w:id="3"/>
      </w:r>
    </w:p>
    <w:p w14:paraId="5BFB1C8E" w14:textId="77777777" w:rsidR="0015639F" w:rsidRDefault="0015639F" w:rsidP="0015639F">
      <w:pPr>
        <w:pStyle w:val="ListBullet"/>
      </w:pPr>
      <w:r>
        <w:t>promoting efficiency in the taxi non-cash payment industry</w:t>
      </w:r>
      <w:r>
        <w:rPr>
          <w:rStyle w:val="FootnoteReference"/>
        </w:rPr>
        <w:footnoteReference w:id="4"/>
      </w:r>
    </w:p>
    <w:p w14:paraId="0A36C97E" w14:textId="4B835691" w:rsidR="0015639F" w:rsidRDefault="0015639F" w:rsidP="0015639F">
      <w:pPr>
        <w:pStyle w:val="ListBullet"/>
      </w:pPr>
      <w:r>
        <w:t>ensuring that those who facilitate non-cash payment transactions are able to recover the reasonable cost of accepting and processing these transactions.</w:t>
      </w:r>
      <w:r>
        <w:rPr>
          <w:rStyle w:val="FootnoteReference"/>
        </w:rPr>
        <w:footnoteReference w:id="5"/>
      </w:r>
    </w:p>
    <w:p w14:paraId="7C33705F" w14:textId="369C5BF1" w:rsidR="00AF74C8" w:rsidRDefault="00AF74C8" w:rsidP="00AF74C8">
      <w:r>
        <w:t xml:space="preserve">We are required to conduct a review of our current determinations on the maximum unbooked taxi fares and </w:t>
      </w:r>
      <w:r w:rsidR="006A2DE0">
        <w:t xml:space="preserve">the </w:t>
      </w:r>
      <w:r>
        <w:t xml:space="preserve">maximum non-cash payment surcharges </w:t>
      </w:r>
      <w:r w:rsidR="00A43E71">
        <w:t xml:space="preserve">within </w:t>
      </w:r>
      <w:r w:rsidR="45C72D83">
        <w:t>two years</w:t>
      </w:r>
      <w:r w:rsidR="00A43E71">
        <w:t xml:space="preserve"> of them being made</w:t>
      </w:r>
      <w:r>
        <w:t>.</w:t>
      </w:r>
      <w:r w:rsidR="00B210B7">
        <w:rPr>
          <w:rStyle w:val="FootnoteReference"/>
        </w:rPr>
        <w:footnoteReference w:id="6"/>
      </w:r>
    </w:p>
    <w:p w14:paraId="23F1A8ED" w14:textId="1656B074" w:rsidR="007108C3" w:rsidRDefault="004A159C" w:rsidP="008368A8">
      <w:pPr>
        <w:pStyle w:val="Heading2numbered"/>
      </w:pPr>
      <w:bookmarkStart w:id="23" w:name="_Toc173691361"/>
      <w:bookmarkStart w:id="24" w:name="_Toc174692641"/>
      <w:r>
        <w:t>Our final decision</w:t>
      </w:r>
      <w:bookmarkEnd w:id="23"/>
      <w:bookmarkEnd w:id="24"/>
    </w:p>
    <w:p w14:paraId="202AEE3F" w14:textId="47D44ED7" w:rsidR="00B21225" w:rsidRDefault="00DC03B7" w:rsidP="00AF74C8">
      <w:r>
        <w:t>Our review</w:t>
      </w:r>
      <w:r w:rsidR="002C1CBA">
        <w:t xml:space="preserve"> of maximum unbooked taxi fares and the maximum non-cash payment surcharges </w:t>
      </w:r>
      <w:r w:rsidR="002F435A">
        <w:t xml:space="preserve">included </w:t>
      </w:r>
      <w:r w:rsidR="008259CA">
        <w:t xml:space="preserve">the release of </w:t>
      </w:r>
      <w:r w:rsidR="002C1CBA">
        <w:t>a consultation paper in October 2023</w:t>
      </w:r>
      <w:r w:rsidR="002F435A">
        <w:t xml:space="preserve"> and a</w:t>
      </w:r>
      <w:r w:rsidR="00415081">
        <w:t xml:space="preserve"> draft decision </w:t>
      </w:r>
      <w:r w:rsidR="00E648D8">
        <w:t>in June 2024</w:t>
      </w:r>
      <w:r w:rsidR="002C1CBA">
        <w:t xml:space="preserve">. We received </w:t>
      </w:r>
      <w:r w:rsidR="00E648D8">
        <w:t>23</w:t>
      </w:r>
      <w:r w:rsidR="002C1CBA">
        <w:t xml:space="preserve"> submissions </w:t>
      </w:r>
      <w:r w:rsidR="007108C3">
        <w:t>throughout</w:t>
      </w:r>
      <w:r w:rsidR="00E648D8">
        <w:t xml:space="preserve"> the review period </w:t>
      </w:r>
      <w:r w:rsidR="002C1CBA">
        <w:t>and held one-on-one meetings with stakeholder</w:t>
      </w:r>
      <w:r w:rsidR="006B2945">
        <w:t xml:space="preserve">s. </w:t>
      </w:r>
    </w:p>
    <w:p w14:paraId="6712FD67" w14:textId="61A2F9ED" w:rsidR="00553CA1" w:rsidRDefault="001D6201" w:rsidP="00AF74C8">
      <w:r>
        <w:t>Our draft decision outlined our preliminary views and reasoning</w:t>
      </w:r>
      <w:r w:rsidR="000B2E56">
        <w:t>, on which we</w:t>
      </w:r>
      <w:r w:rsidR="002A3FDB">
        <w:t xml:space="preserve"> </w:t>
      </w:r>
      <w:r w:rsidR="001A6829">
        <w:t>sought feedback from stakeholders</w:t>
      </w:r>
      <w:r w:rsidR="000B2E56">
        <w:t xml:space="preserve">. </w:t>
      </w:r>
      <w:r w:rsidR="00CA1E59">
        <w:t>After considering feedback on our draft decision, w</w:t>
      </w:r>
      <w:r w:rsidR="008C2AA7">
        <w:t>e have made two new price determinations</w:t>
      </w:r>
      <w:r w:rsidR="474CC9F2">
        <w:t>;</w:t>
      </w:r>
      <w:r w:rsidR="004E0136">
        <w:t xml:space="preserve"> </w:t>
      </w:r>
      <w:r w:rsidR="49B8BCCF">
        <w:t>o</w:t>
      </w:r>
      <w:r w:rsidR="00E07E61">
        <w:t xml:space="preserve">ne </w:t>
      </w:r>
      <w:r w:rsidR="004E0136">
        <w:t>to increase maximum unbooked taxi fares</w:t>
      </w:r>
      <w:r w:rsidR="0C858E6E">
        <w:t>,</w:t>
      </w:r>
      <w:r w:rsidR="004E0136">
        <w:t xml:space="preserve"> and the other </w:t>
      </w:r>
      <w:r w:rsidR="00FD2236">
        <w:t>to</w:t>
      </w:r>
      <w:r w:rsidR="66327C9F">
        <w:t xml:space="preserve"> </w:t>
      </w:r>
      <w:r w:rsidR="008C2AA7" w:rsidDel="00FD2236">
        <w:t xml:space="preserve">retain </w:t>
      </w:r>
      <w:r w:rsidR="00FD2236">
        <w:t xml:space="preserve">the current </w:t>
      </w:r>
      <w:r w:rsidR="00D92C7B">
        <w:t xml:space="preserve">maximum </w:t>
      </w:r>
      <w:r w:rsidR="00FD2236">
        <w:t>non-cash payment surcharges</w:t>
      </w:r>
      <w:r w:rsidR="004E7228">
        <w:t>.</w:t>
      </w:r>
      <w:r w:rsidR="00EC58E4">
        <w:rPr>
          <w:rStyle w:val="FootnoteReference"/>
        </w:rPr>
        <w:footnoteReference w:id="7"/>
      </w:r>
      <w:r w:rsidR="00201735">
        <w:t xml:space="preserve"> </w:t>
      </w:r>
      <w:r w:rsidR="00AF4C14">
        <w:t xml:space="preserve">This final decision </w:t>
      </w:r>
      <w:r w:rsidR="00BD5532">
        <w:t>sets out our supporting reasons and analysis for the determinations</w:t>
      </w:r>
      <w:r w:rsidR="00D546CA">
        <w:t>. Where ou</w:t>
      </w:r>
      <w:r w:rsidR="00B763F1">
        <w:t xml:space="preserve">r </w:t>
      </w:r>
      <w:r w:rsidR="008838C5">
        <w:t>final decision</w:t>
      </w:r>
      <w:r w:rsidR="00A047A1">
        <w:t xml:space="preserve"> </w:t>
      </w:r>
      <w:r w:rsidR="00566991">
        <w:t>is unchanged from our draft decision</w:t>
      </w:r>
      <w:r w:rsidR="00441E45">
        <w:t xml:space="preserve">, we </w:t>
      </w:r>
      <w:r w:rsidR="00441E45">
        <w:lastRenderedPageBreak/>
        <w:t xml:space="preserve">have not detailed </w:t>
      </w:r>
      <w:r w:rsidR="00796C66">
        <w:t>all</w:t>
      </w:r>
      <w:r w:rsidR="00441E45">
        <w:t xml:space="preserve"> supporting reasons in </w:t>
      </w:r>
      <w:r w:rsidR="002F58D8">
        <w:t>our final decision</w:t>
      </w:r>
      <w:r w:rsidR="00796C66">
        <w:t xml:space="preserve">. Instead, we have noted </w:t>
      </w:r>
      <w:r w:rsidR="003B3B25">
        <w:t xml:space="preserve">that </w:t>
      </w:r>
      <w:r w:rsidR="00620926">
        <w:t>our views are unchanged from our draft decision.</w:t>
      </w:r>
      <w:r w:rsidR="00EC58E4">
        <w:rPr>
          <w:rStyle w:val="FootnoteReference"/>
        </w:rPr>
        <w:footnoteReference w:id="8"/>
      </w:r>
    </w:p>
    <w:p w14:paraId="5C6AD5EF" w14:textId="0AF0170D" w:rsidR="00AF74C8" w:rsidRDefault="00AF74C8" w:rsidP="00C505C5">
      <w:pPr>
        <w:pStyle w:val="Heading3"/>
      </w:pPr>
      <w:bookmarkStart w:id="25" w:name="_Toc173691362"/>
      <w:bookmarkStart w:id="26" w:name="_Toc174692642"/>
      <w:r>
        <w:t xml:space="preserve">Our </w:t>
      </w:r>
      <w:r w:rsidR="000B5866">
        <w:t xml:space="preserve">final </w:t>
      </w:r>
      <w:r>
        <w:t>decision is to increase maximum unbooked taxi fares</w:t>
      </w:r>
      <w:bookmarkEnd w:id="25"/>
      <w:bookmarkEnd w:id="26"/>
    </w:p>
    <w:p w14:paraId="720EB25F" w14:textId="2B7C1BAA" w:rsidR="00AF74C8" w:rsidRDefault="00AF74C8" w:rsidP="00C505C5">
      <w:pPr>
        <w:pStyle w:val="Pull-out"/>
      </w:pPr>
      <w:r>
        <w:t xml:space="preserve">Our </w:t>
      </w:r>
      <w:r w:rsidR="000B5866">
        <w:t>final</w:t>
      </w:r>
      <w:r>
        <w:t xml:space="preserve"> decision is </w:t>
      </w:r>
      <w:r w:rsidR="00A25114">
        <w:t xml:space="preserve">for </w:t>
      </w:r>
      <w:r>
        <w:t xml:space="preserve">maximum unbooked taxi fares </w:t>
      </w:r>
      <w:r w:rsidR="00A25114">
        <w:t xml:space="preserve">to </w:t>
      </w:r>
      <w:r>
        <w:t xml:space="preserve">increase by </w:t>
      </w:r>
      <w:r w:rsidR="00B50112" w:rsidRPr="00653C53">
        <w:t>5.</w:t>
      </w:r>
      <w:r w:rsidR="0077572F">
        <w:t>5 </w:t>
      </w:r>
      <w:r w:rsidRPr="00B50112">
        <w:t>per cent</w:t>
      </w:r>
      <w:r w:rsidR="116A6E61">
        <w:t xml:space="preserve">, except for high occupancy fees and charges, which </w:t>
      </w:r>
      <w:r w:rsidR="00A25114">
        <w:t xml:space="preserve">will </w:t>
      </w:r>
      <w:r w:rsidR="116A6E61">
        <w:t xml:space="preserve">increase by </w:t>
      </w:r>
      <w:r w:rsidR="00B50112" w:rsidRPr="00352E8A">
        <w:t>6.</w:t>
      </w:r>
      <w:r w:rsidR="002D6E95" w:rsidRPr="00352E8A">
        <w:t>2</w:t>
      </w:r>
      <w:r w:rsidR="0077572F">
        <w:t> </w:t>
      </w:r>
      <w:r w:rsidR="116A6E61" w:rsidRPr="00B50112">
        <w:t>per cent.</w:t>
      </w:r>
      <w:r w:rsidR="00E144C9">
        <w:rPr>
          <w:rStyle w:val="FootnoteReference"/>
        </w:rPr>
        <w:footnoteReference w:id="9"/>
      </w:r>
    </w:p>
    <w:p w14:paraId="08CD8477" w14:textId="07697D37" w:rsidR="007646C9" w:rsidRDefault="00AF74C8" w:rsidP="00AF74C8">
      <w:r>
        <w:t xml:space="preserve">These increases reflect the change in the cost of operating a taxi since </w:t>
      </w:r>
      <w:r w:rsidR="00645F2B">
        <w:t>fares were last updated in October 2023</w:t>
      </w:r>
      <w:r w:rsidR="0007703C">
        <w:t>.</w:t>
      </w:r>
      <w:r>
        <w:t xml:space="preserve"> </w:t>
      </w:r>
    </w:p>
    <w:p w14:paraId="099E218C" w14:textId="2F55C75A" w:rsidR="00AF74C8" w:rsidRDefault="000E6156" w:rsidP="00AF74C8">
      <w:r>
        <w:t>As outlined in our draft report, o</w:t>
      </w:r>
      <w:r w:rsidR="0015639F">
        <w:t xml:space="preserve">ur methodology for assessing the change in the costs of operating a taxi </w:t>
      </w:r>
      <w:r w:rsidR="00814CCF">
        <w:t xml:space="preserve">has </w:t>
      </w:r>
      <w:r w:rsidR="0015639F">
        <w:t>remain</w:t>
      </w:r>
      <w:r w:rsidR="009B5373">
        <w:t>ed</w:t>
      </w:r>
      <w:r w:rsidR="0015639F">
        <w:t xml:space="preserve"> unchanged</w:t>
      </w:r>
      <w:r w:rsidR="009B5373">
        <w:t xml:space="preserve"> from our </w:t>
      </w:r>
      <w:r w:rsidR="00F77C45">
        <w:t>2022 review</w:t>
      </w:r>
      <w:r w:rsidR="0015639F">
        <w:t xml:space="preserve">. </w:t>
      </w:r>
      <w:r w:rsidR="00036603">
        <w:t xml:space="preserve">We </w:t>
      </w:r>
      <w:r w:rsidR="00F77C45">
        <w:t>have</w:t>
      </w:r>
      <w:r w:rsidR="00036603">
        <w:t xml:space="preserve"> updated </w:t>
      </w:r>
      <w:r w:rsidR="0015639F">
        <w:t>the</w:t>
      </w:r>
      <w:r w:rsidR="00036603">
        <w:t xml:space="preserve"> taxi cost index</w:t>
      </w:r>
      <w:r w:rsidR="00316E9D">
        <w:t>es</w:t>
      </w:r>
      <w:r w:rsidR="000963BD">
        <w:rPr>
          <w:rStyle w:val="FootnoteReference"/>
        </w:rPr>
        <w:footnoteReference w:id="10"/>
      </w:r>
      <w:r w:rsidR="00036603">
        <w:t xml:space="preserve"> with the latest information to</w:t>
      </w:r>
      <w:r w:rsidR="0015639F">
        <w:t xml:space="preserve"> inform our </w:t>
      </w:r>
      <w:r w:rsidR="00F77C45">
        <w:t xml:space="preserve">final </w:t>
      </w:r>
      <w:r w:rsidR="0015639F">
        <w:t>decision</w:t>
      </w:r>
      <w:r w:rsidR="00F77C45">
        <w:t xml:space="preserve"> for this review</w:t>
      </w:r>
      <w:r w:rsidR="00036603">
        <w:t>.</w:t>
      </w:r>
      <w:r w:rsidR="00DB66F1">
        <w:rPr>
          <w:rStyle w:val="FootnoteReference"/>
        </w:rPr>
        <w:footnoteReference w:id="11"/>
      </w:r>
    </w:p>
    <w:p w14:paraId="6BB0FBEA" w14:textId="58443212" w:rsidR="00AF74C8" w:rsidRDefault="00AF74C8" w:rsidP="00AF74C8">
      <w:pPr>
        <w:rPr>
          <w:vertAlign w:val="superscript"/>
        </w:rPr>
      </w:pPr>
      <w:r>
        <w:t xml:space="preserve">The maximum fares only apply to unbooked trips that begin </w:t>
      </w:r>
      <w:r w:rsidR="00FB07C4">
        <w:t xml:space="preserve">in </w:t>
      </w:r>
      <w:r>
        <w:t xml:space="preserve">the Melbourne </w:t>
      </w:r>
      <w:r w:rsidR="00FB07C4">
        <w:t xml:space="preserve">Metropolitan </w:t>
      </w:r>
      <w:r>
        <w:t>or Urban and Large Regional Zones (which includes Dandenong, Frankston, the Mornington Peninsula, Ballarat, Bendigo and Geelong).</w:t>
      </w:r>
      <w:r w:rsidR="00036603">
        <w:rPr>
          <w:rStyle w:val="FootnoteReference"/>
        </w:rPr>
        <w:footnoteReference w:id="12"/>
      </w:r>
      <w:r w:rsidR="00914E00">
        <w:t xml:space="preserve"> </w:t>
      </w:r>
      <w:r w:rsidR="004830C2">
        <w:t xml:space="preserve">As they are maximum fares, taxi service providers can choose to </w:t>
      </w:r>
      <w:r w:rsidR="00F330F7">
        <w:t xml:space="preserve">charge </w:t>
      </w:r>
      <w:r w:rsidR="00C94FD1">
        <w:t xml:space="preserve">lower fares. </w:t>
      </w:r>
    </w:p>
    <w:p w14:paraId="2CB849E1" w14:textId="026653A0" w:rsidR="000D029D" w:rsidRDefault="004E22E4" w:rsidP="00AF74C8">
      <w:r>
        <w:t xml:space="preserve">Booked taxi fares and rideshare services are </w:t>
      </w:r>
      <w:r w:rsidR="00EC6455">
        <w:t xml:space="preserve">not </w:t>
      </w:r>
      <w:r w:rsidR="009022F7">
        <w:t xml:space="preserve">covered by </w:t>
      </w:r>
      <w:r w:rsidR="003A2841">
        <w:t xml:space="preserve">our decision. </w:t>
      </w:r>
    </w:p>
    <w:p w14:paraId="5789C121" w14:textId="469F1652" w:rsidR="00AF74C8" w:rsidRDefault="00317F58" w:rsidP="00AF74C8">
      <w:r>
        <w:t>Our final decision is</w:t>
      </w:r>
      <w:r w:rsidR="00AF74C8">
        <w:t xml:space="preserve"> to </w:t>
      </w:r>
      <w:r>
        <w:t>also</w:t>
      </w:r>
      <w:r w:rsidR="00AF74C8">
        <w:t xml:space="preserve"> set a fare adjustment mechanism that will index fares </w:t>
      </w:r>
      <w:r w:rsidR="2E3EAB31">
        <w:t>annually</w:t>
      </w:r>
      <w:r w:rsidR="00AF74C8">
        <w:t xml:space="preserve">. If certain conditions are met, the mechanism will </w:t>
      </w:r>
      <w:r w:rsidR="00B22D5E">
        <w:t xml:space="preserve">adjust </w:t>
      </w:r>
      <w:r w:rsidR="00AF74C8">
        <w:t xml:space="preserve">maximum fares </w:t>
      </w:r>
      <w:r w:rsidR="007E3D7C" w:rsidRPr="00E660B7">
        <w:t xml:space="preserve">in </w:t>
      </w:r>
      <w:r w:rsidR="00E660B7" w:rsidRPr="00E660B7">
        <w:t>September</w:t>
      </w:r>
      <w:r w:rsidR="00EC5594" w:rsidRPr="00E660B7">
        <w:t xml:space="preserve"> 2025</w:t>
      </w:r>
      <w:r w:rsidR="00EC5594">
        <w:t xml:space="preserve"> </w:t>
      </w:r>
      <w:r w:rsidR="007E3D7C">
        <w:t>in line with the</w:t>
      </w:r>
      <w:r w:rsidR="00AF74C8">
        <w:t xml:space="preserve"> change in our taxi cost index</w:t>
      </w:r>
      <w:r w:rsidR="00C02101">
        <w:t>es</w:t>
      </w:r>
      <w:r w:rsidR="00AF74C8">
        <w:t>.</w:t>
      </w:r>
    </w:p>
    <w:p w14:paraId="5AC2E23B" w14:textId="0B647DBE" w:rsidR="00AF74C8" w:rsidRDefault="00744355" w:rsidP="00AF74C8">
      <w:r>
        <w:t xml:space="preserve">Our </w:t>
      </w:r>
      <w:r w:rsidR="00975694">
        <w:t>final</w:t>
      </w:r>
      <w:r>
        <w:t xml:space="preserve"> decision is</w:t>
      </w:r>
      <w:r w:rsidR="00AF74C8">
        <w:t xml:space="preserve"> to </w:t>
      </w:r>
      <w:r w:rsidR="00100E88">
        <w:t>retain</w:t>
      </w:r>
      <w:r w:rsidR="00AF74C8">
        <w:t xml:space="preserve"> the current fare structure. This means we </w:t>
      </w:r>
      <w:r w:rsidR="006170CA">
        <w:t xml:space="preserve">have </w:t>
      </w:r>
      <w:r w:rsidR="00AF74C8">
        <w:t>maintain</w:t>
      </w:r>
      <w:r w:rsidR="006170CA">
        <w:t>ed</w:t>
      </w:r>
      <w:r w:rsidR="00AF74C8">
        <w:t xml:space="preserve"> options for either a </w:t>
      </w:r>
      <w:r w:rsidR="006E702D">
        <w:t>‘</w:t>
      </w:r>
      <w:r w:rsidR="00AF74C8">
        <w:t>time and distance</w:t>
      </w:r>
      <w:r w:rsidR="006E702D">
        <w:t>’</w:t>
      </w:r>
      <w:r w:rsidR="00AF74C8">
        <w:t xml:space="preserve"> or </w:t>
      </w:r>
      <w:r w:rsidR="00BE7A2F">
        <w:t>‘</w:t>
      </w:r>
      <w:r w:rsidR="00AF74C8">
        <w:t>time or distance</w:t>
      </w:r>
      <w:r w:rsidR="00BE7A2F">
        <w:t>’</w:t>
      </w:r>
      <w:r w:rsidR="00AF74C8">
        <w:t xml:space="preserve"> tariff structure. We </w:t>
      </w:r>
      <w:r w:rsidR="006170CA">
        <w:t>hav</w:t>
      </w:r>
      <w:r w:rsidR="00D91DD5">
        <w:t>e</w:t>
      </w:r>
      <w:r w:rsidR="00AF74C8">
        <w:t xml:space="preserve"> not</w:t>
      </w:r>
      <w:r w:rsidR="00AF74C8" w:rsidDel="00EC54DB">
        <w:t xml:space="preserve"> </w:t>
      </w:r>
      <w:r w:rsidR="00EC54DB">
        <w:t xml:space="preserve">changed </w:t>
      </w:r>
      <w:r w:rsidR="00AF74C8">
        <w:t>the cleaning fee.</w:t>
      </w:r>
    </w:p>
    <w:p w14:paraId="016DEA13" w14:textId="6E598647" w:rsidR="00AF74C8" w:rsidRPr="00065399" w:rsidRDefault="00AF74C8" w:rsidP="00841E92">
      <w:pPr>
        <w:pStyle w:val="Heading3"/>
      </w:pPr>
      <w:bookmarkStart w:id="27" w:name="_Toc173691363"/>
      <w:bookmarkStart w:id="28" w:name="_Toc174692643"/>
      <w:r w:rsidRPr="004A159C">
        <w:rPr>
          <w:rStyle w:val="Heading2Char"/>
          <w:b/>
          <w:sz w:val="22"/>
          <w:szCs w:val="24"/>
        </w:rPr>
        <w:lastRenderedPageBreak/>
        <w:t xml:space="preserve">Our </w:t>
      </w:r>
      <w:r w:rsidR="000B5866" w:rsidRPr="004A159C">
        <w:rPr>
          <w:rStyle w:val="Heading2Char"/>
          <w:b/>
          <w:sz w:val="22"/>
          <w:szCs w:val="24"/>
        </w:rPr>
        <w:t>final</w:t>
      </w:r>
      <w:r w:rsidRPr="004A159C">
        <w:rPr>
          <w:rStyle w:val="Heading2Char"/>
          <w:b/>
          <w:sz w:val="22"/>
          <w:szCs w:val="24"/>
        </w:rPr>
        <w:t xml:space="preserve"> decision is to </w:t>
      </w:r>
      <w:r w:rsidR="005E5271" w:rsidRPr="004A159C">
        <w:rPr>
          <w:rStyle w:val="Heading2Char"/>
          <w:b/>
          <w:sz w:val="22"/>
          <w:szCs w:val="24"/>
        </w:rPr>
        <w:t>re</w:t>
      </w:r>
      <w:r w:rsidRPr="004A159C">
        <w:rPr>
          <w:rStyle w:val="Heading2Char"/>
          <w:b/>
          <w:sz w:val="22"/>
          <w:szCs w:val="24"/>
        </w:rPr>
        <w:t>tain the current non-cash payment surcharges</w:t>
      </w:r>
      <w:bookmarkEnd w:id="27"/>
      <w:bookmarkEnd w:id="28"/>
    </w:p>
    <w:p w14:paraId="70B978F2" w14:textId="78D450F9" w:rsidR="00AF74C8" w:rsidRDefault="00AF74C8" w:rsidP="003A2841">
      <w:pPr>
        <w:pStyle w:val="Pull-out"/>
      </w:pPr>
      <w:r>
        <w:t xml:space="preserve">Our </w:t>
      </w:r>
      <w:r w:rsidR="000B5866">
        <w:t>final d</w:t>
      </w:r>
      <w:r>
        <w:t>ecision is that the maximum non-cash payment surcharge for taxi services in Victoria will remain at:</w:t>
      </w:r>
    </w:p>
    <w:p w14:paraId="1661D5E7" w14:textId="5D5DC132" w:rsidR="00AF74C8" w:rsidRDefault="00A2076A" w:rsidP="003A2841">
      <w:pPr>
        <w:pStyle w:val="Pull-outBullet1"/>
      </w:pPr>
      <w:r>
        <w:t>4</w:t>
      </w:r>
      <w:r w:rsidR="00AF74C8">
        <w:t xml:space="preserve"> per cent (including GST) for all non-cash payment methods, except commercial passenger vehicle specific payment instruments</w:t>
      </w:r>
    </w:p>
    <w:p w14:paraId="4257B2D8" w14:textId="4D780434" w:rsidR="00AF74C8" w:rsidRDefault="00A2076A" w:rsidP="003A2841">
      <w:pPr>
        <w:pStyle w:val="Pull-outBullet1"/>
      </w:pPr>
      <w:r>
        <w:t>6</w:t>
      </w:r>
      <w:r w:rsidR="00AF74C8">
        <w:t xml:space="preserve"> per cent (no GST payable) for commercial passenger vehicle specific payment instruments (such as Cabcharge payment instruments).</w:t>
      </w:r>
    </w:p>
    <w:p w14:paraId="3974DD97" w14:textId="33175042" w:rsidR="00AF74C8" w:rsidRDefault="00AF74C8" w:rsidP="4A333638">
      <w:r>
        <w:t xml:space="preserve">The maximum non-cash payment surcharge </w:t>
      </w:r>
      <w:r w:rsidR="00DC707E">
        <w:t>can be applied</w:t>
      </w:r>
      <w:r>
        <w:t xml:space="preserve"> when a passenger uses a method other than cash to pay for a taxi service. It applies to all</w:t>
      </w:r>
      <w:r w:rsidR="1153CBA7">
        <w:t xml:space="preserve"> booked and unbooked</w:t>
      </w:r>
      <w:r>
        <w:t xml:space="preserve"> taxi trips in Victoria.</w:t>
      </w:r>
    </w:p>
    <w:p w14:paraId="5C6440F0" w14:textId="3AF3D53F" w:rsidR="00D36544" w:rsidRDefault="00AF74C8" w:rsidP="00AF74C8">
      <w:pPr>
        <w:rPr>
          <w:highlight w:val="yellow"/>
        </w:rPr>
      </w:pPr>
      <w:r>
        <w:t xml:space="preserve">In coming to our </w:t>
      </w:r>
      <w:r w:rsidR="00561557">
        <w:t xml:space="preserve">final </w:t>
      </w:r>
      <w:r>
        <w:t xml:space="preserve">decision, we examined </w:t>
      </w:r>
      <w:r w:rsidR="66EE61A6">
        <w:t xml:space="preserve">historic and contemporary </w:t>
      </w:r>
      <w:r w:rsidR="083119F7">
        <w:t>data and</w:t>
      </w:r>
      <w:r w:rsidR="2B4034B1">
        <w:t xml:space="preserve"> </w:t>
      </w:r>
      <w:r>
        <w:t>information</w:t>
      </w:r>
      <w:r w:rsidR="3FCE02BD">
        <w:t>,</w:t>
      </w:r>
      <w:r>
        <w:t xml:space="preserve"> and </w:t>
      </w:r>
      <w:r w:rsidR="00095C73">
        <w:t xml:space="preserve">stakeholders’ </w:t>
      </w:r>
      <w:r>
        <w:t xml:space="preserve">views </w:t>
      </w:r>
      <w:r w:rsidR="00095C73">
        <w:t>about</w:t>
      </w:r>
      <w:r>
        <w:t xml:space="preserve"> whether the surcharges recovered the reasonable costs of accepting and processing non-cash </w:t>
      </w:r>
      <w:r w:rsidR="00983248">
        <w:t>payments</w:t>
      </w:r>
      <w:r>
        <w:t>. Stakeholders presented mixed views on the surcharges</w:t>
      </w:r>
      <w:r w:rsidRPr="0081647D">
        <w:t xml:space="preserve">. </w:t>
      </w:r>
    </w:p>
    <w:p w14:paraId="7E4B80C9" w14:textId="189672E4" w:rsidR="00AF74C8" w:rsidRDefault="00AD00D5" w:rsidP="00AF74C8">
      <w:r>
        <w:t>On balance</w:t>
      </w:r>
      <w:r w:rsidR="00AF74C8" w:rsidRPr="0081647D">
        <w:t xml:space="preserve">, </w:t>
      </w:r>
      <w:r w:rsidR="005867CB">
        <w:t>at this time</w:t>
      </w:r>
      <w:r w:rsidR="007A66D2">
        <w:t>,</w:t>
      </w:r>
      <w:r w:rsidR="00AF74C8" w:rsidRPr="0081647D">
        <w:t xml:space="preserve"> we </w:t>
      </w:r>
      <w:r w:rsidR="00361BE7" w:rsidRPr="0081647D">
        <w:t xml:space="preserve">consider </w:t>
      </w:r>
      <w:r w:rsidR="00275764" w:rsidRPr="0081647D" w:rsidDel="00084DCA">
        <w:t xml:space="preserve">it is appropriate to </w:t>
      </w:r>
      <w:r w:rsidR="00275764" w:rsidRPr="0081647D">
        <w:t xml:space="preserve">retain the </w:t>
      </w:r>
      <w:r w:rsidR="00150CCB" w:rsidRPr="0081647D">
        <w:t xml:space="preserve">current </w:t>
      </w:r>
      <w:r w:rsidR="005D0278">
        <w:t>maximum</w:t>
      </w:r>
      <w:r w:rsidR="00150CCB" w:rsidRPr="0081647D">
        <w:t xml:space="preserve"> non-cash payment surcharges</w:t>
      </w:r>
      <w:r w:rsidR="005867CB">
        <w:t>.</w:t>
      </w:r>
      <w:r w:rsidR="00084DCA" w:rsidRPr="0081647D">
        <w:t xml:space="preserve"> </w:t>
      </w:r>
    </w:p>
    <w:p w14:paraId="2699C3FF" w14:textId="5515CE78" w:rsidR="00AF74C8" w:rsidRDefault="00AF74C8" w:rsidP="1AD6D6F4">
      <w:r>
        <w:t xml:space="preserve">We performed benchmarking analysis to </w:t>
      </w:r>
      <w:r w:rsidR="00405FEC">
        <w:t>determine that, on balance,</w:t>
      </w:r>
      <w:r>
        <w:t xml:space="preserve"> the current </w:t>
      </w:r>
      <w:r w:rsidR="00EB0877">
        <w:t xml:space="preserve">maximum </w:t>
      </w:r>
      <w:r>
        <w:t xml:space="preserve">4 per cent surcharge for most payment methods </w:t>
      </w:r>
      <w:r w:rsidR="00405FEC">
        <w:t>remains</w:t>
      </w:r>
      <w:r>
        <w:t xml:space="preserve"> appropriate</w:t>
      </w:r>
      <w:r w:rsidR="00BA2DF3">
        <w:t xml:space="preserve"> at this point in time</w:t>
      </w:r>
      <w:r>
        <w:t xml:space="preserve">. We compared </w:t>
      </w:r>
      <w:r w:rsidR="005D0278">
        <w:t xml:space="preserve">this </w:t>
      </w:r>
      <w:r>
        <w:t xml:space="preserve">surcharge to the cost of non-cash payments for small businesses across the </w:t>
      </w:r>
      <w:r w:rsidR="00516FA0">
        <w:t>economy but</w:t>
      </w:r>
      <w:r w:rsidR="7009A0A3">
        <w:t xml:space="preserve"> </w:t>
      </w:r>
      <w:r>
        <w:t xml:space="preserve">tailored the analysis to reflect </w:t>
      </w:r>
      <w:r w:rsidR="3F502687">
        <w:t xml:space="preserve">taxi </w:t>
      </w:r>
      <w:r w:rsidR="2B9C18D6">
        <w:t>market</w:t>
      </w:r>
      <w:r w:rsidR="3F502687">
        <w:t xml:space="preserve"> </w:t>
      </w:r>
      <w:r>
        <w:t>conditions.</w:t>
      </w:r>
    </w:p>
    <w:p w14:paraId="3198A25F" w14:textId="7ECEA7C8" w:rsidR="00AF74C8" w:rsidRDefault="008933F3" w:rsidP="00AF74C8">
      <w:r>
        <w:t>Our benchmarking analysis shows</w:t>
      </w:r>
      <w:r w:rsidR="00AF74C8">
        <w:t xml:space="preserve"> that surcharges ranging from </w:t>
      </w:r>
      <w:r w:rsidR="003214AE" w:rsidRPr="00DE2F28">
        <w:t>1.8 per cent</w:t>
      </w:r>
      <w:r w:rsidR="00AF74C8" w:rsidRPr="00DE2F28">
        <w:t xml:space="preserve"> to </w:t>
      </w:r>
      <w:r w:rsidR="003214AE" w:rsidRPr="00DE2F28">
        <w:t>3.6</w:t>
      </w:r>
      <w:r w:rsidR="00AF74C8" w:rsidRPr="00DE2F28">
        <w:t xml:space="preserve"> per cent may</w:t>
      </w:r>
      <w:r w:rsidR="00AF74C8">
        <w:t xml:space="preserve"> recover the cost of accepting and processing non-cash </w:t>
      </w:r>
      <w:r w:rsidR="00AF74C8" w:rsidRPr="00C47901">
        <w:t xml:space="preserve">payments in the taxi </w:t>
      </w:r>
      <w:r w:rsidR="009530EE" w:rsidRPr="00C47901">
        <w:t>industry.</w:t>
      </w:r>
      <w:r w:rsidR="00AF74C8" w:rsidRPr="00C47901">
        <w:t xml:space="preserve"> </w:t>
      </w:r>
      <w:r w:rsidR="00B25092" w:rsidRPr="00C47901">
        <w:t>T</w:t>
      </w:r>
      <w:r w:rsidR="00CE5C58" w:rsidRPr="00C47901">
        <w:t xml:space="preserve">his analysis </w:t>
      </w:r>
      <w:r w:rsidR="0093675B" w:rsidRPr="00C47901">
        <w:t xml:space="preserve">is based on </w:t>
      </w:r>
      <w:r w:rsidR="00436281" w:rsidRPr="00C47901">
        <w:t xml:space="preserve">the average payment terminal processing </w:t>
      </w:r>
      <w:r w:rsidR="00E02D12" w:rsidRPr="00C47901">
        <w:t xml:space="preserve">on average </w:t>
      </w:r>
      <w:r w:rsidR="00436281" w:rsidRPr="00C47901">
        <w:t>$</w:t>
      </w:r>
      <w:r w:rsidR="00CC15BF" w:rsidRPr="00C47901">
        <w:t>1,625</w:t>
      </w:r>
      <w:r w:rsidR="00436281" w:rsidRPr="00C47901">
        <w:t xml:space="preserve"> </w:t>
      </w:r>
      <w:r w:rsidR="00F23053">
        <w:t>of</w:t>
      </w:r>
      <w:r w:rsidR="00436281" w:rsidRPr="00C47901">
        <w:t xml:space="preserve"> </w:t>
      </w:r>
      <w:r w:rsidR="000E7BFF" w:rsidRPr="00C47901">
        <w:t xml:space="preserve">non-cash payment </w:t>
      </w:r>
      <w:r w:rsidR="00436281" w:rsidRPr="0081647D">
        <w:t>revenue</w:t>
      </w:r>
      <w:r w:rsidR="00E02D12" w:rsidRPr="0081647D">
        <w:t xml:space="preserve"> per month</w:t>
      </w:r>
      <w:r w:rsidR="005D600E" w:rsidRPr="0081647D">
        <w:t xml:space="preserve">, which in part reflects our assumption </w:t>
      </w:r>
      <w:r w:rsidR="00CE5C58" w:rsidRPr="0081647D">
        <w:t>that</w:t>
      </w:r>
      <w:r w:rsidR="006E1C3E" w:rsidRPr="0081647D">
        <w:t xml:space="preserve"> drivers </w:t>
      </w:r>
      <w:r w:rsidR="005D600E" w:rsidRPr="0081647D">
        <w:t xml:space="preserve">continue to </w:t>
      </w:r>
      <w:r w:rsidR="006E1C3E" w:rsidRPr="0081647D">
        <w:t xml:space="preserve">use multiple </w:t>
      </w:r>
      <w:r w:rsidR="005D600E" w:rsidRPr="0081647D">
        <w:t xml:space="preserve">payment </w:t>
      </w:r>
      <w:r w:rsidR="006E1C3E" w:rsidRPr="0081647D">
        <w:t>terminals</w:t>
      </w:r>
      <w:r w:rsidR="005D600E" w:rsidRPr="0081647D">
        <w:t>.</w:t>
      </w:r>
    </w:p>
    <w:p w14:paraId="00EAFD24" w14:textId="625DE2F8" w:rsidR="00B531E1" w:rsidRDefault="00443D74" w:rsidP="00AF74C8">
      <w:r>
        <w:t xml:space="preserve">The 6 per cent </w:t>
      </w:r>
      <w:r w:rsidR="00551080">
        <w:t>maximum</w:t>
      </w:r>
      <w:r>
        <w:t xml:space="preserve"> surcharge </w:t>
      </w:r>
      <w:r w:rsidR="00172901">
        <w:t xml:space="preserve">for commercial passenger vehicle specific </w:t>
      </w:r>
      <w:r w:rsidR="00D62309">
        <w:t xml:space="preserve">payment </w:t>
      </w:r>
      <w:r w:rsidR="00172901">
        <w:t xml:space="preserve">instruments reflects </w:t>
      </w:r>
      <w:r w:rsidR="00B1616A">
        <w:t xml:space="preserve">additional </w:t>
      </w:r>
      <w:r w:rsidR="00A33121">
        <w:t>costs associated with issuing these</w:t>
      </w:r>
      <w:r w:rsidR="00627E60">
        <w:t xml:space="preserve"> payment instruments</w:t>
      </w:r>
      <w:r w:rsidR="00194944">
        <w:t>. These include</w:t>
      </w:r>
      <w:r w:rsidR="00564595">
        <w:t xml:space="preserve"> </w:t>
      </w:r>
      <w:r w:rsidR="004F00E3">
        <w:t>expenditures</w:t>
      </w:r>
      <w:r w:rsidR="005E57A8">
        <w:t xml:space="preserve"> related to account management and working capita</w:t>
      </w:r>
      <w:r w:rsidR="00EA19B7">
        <w:t>l to fund account holder credit</w:t>
      </w:r>
      <w:r w:rsidR="007B32B9" w:rsidDel="00194944">
        <w:t xml:space="preserve">. </w:t>
      </w:r>
    </w:p>
    <w:p w14:paraId="7BA00CE0" w14:textId="4F9C9274" w:rsidR="00005634" w:rsidRDefault="006B2FC8" w:rsidP="00AF74C8">
      <w:r>
        <w:t xml:space="preserve">These </w:t>
      </w:r>
      <w:r w:rsidR="00E264AA">
        <w:t>supplementary</w:t>
      </w:r>
      <w:r w:rsidR="00E264AA" w:rsidDel="00E264AA">
        <w:t xml:space="preserve"> </w:t>
      </w:r>
      <w:r>
        <w:t>costs were reflecte</w:t>
      </w:r>
      <w:r w:rsidR="00BE79D1">
        <w:t xml:space="preserve">d in data we collected </w:t>
      </w:r>
      <w:r w:rsidR="001A1C14">
        <w:t xml:space="preserve">for </w:t>
      </w:r>
      <w:r w:rsidR="0048062D">
        <w:t>this</w:t>
      </w:r>
      <w:r w:rsidR="00031E0E">
        <w:t xml:space="preserve"> and</w:t>
      </w:r>
      <w:r w:rsidR="001A1C14">
        <w:t xml:space="preserve"> previous reviews</w:t>
      </w:r>
      <w:r w:rsidR="00D34889">
        <w:t>.</w:t>
      </w:r>
      <w:r w:rsidR="00B053D6">
        <w:t xml:space="preserve"> </w:t>
      </w:r>
      <w:r w:rsidR="00830C83">
        <w:t>F</w:t>
      </w:r>
      <w:r w:rsidR="003418AB">
        <w:t xml:space="preserve">uture reviews will </w:t>
      </w:r>
      <w:r w:rsidR="00AC772A">
        <w:t>examine if this remains the case.</w:t>
      </w:r>
    </w:p>
    <w:p w14:paraId="4799DA06" w14:textId="6F560339" w:rsidR="00AF74C8" w:rsidRDefault="00954206" w:rsidP="00AF74C8">
      <w:r>
        <w:t>At present</w:t>
      </w:r>
      <w:r w:rsidR="00D5146B">
        <w:t xml:space="preserve"> </w:t>
      </w:r>
      <w:r w:rsidR="00975106">
        <w:t xml:space="preserve">the </w:t>
      </w:r>
      <w:r w:rsidR="00452D3E">
        <w:t xml:space="preserve">only </w:t>
      </w:r>
      <w:r w:rsidR="00975106">
        <w:t>commercial passenger vehicle specific payment instrument</w:t>
      </w:r>
      <w:r w:rsidR="00005634">
        <w:t xml:space="preserve"> is </w:t>
      </w:r>
      <w:r w:rsidR="00D5146B">
        <w:t>Cabcharge, operated</w:t>
      </w:r>
      <w:r w:rsidR="0004409B">
        <w:t xml:space="preserve"> </w:t>
      </w:r>
      <w:r w:rsidR="00D41ADA">
        <w:t>by</w:t>
      </w:r>
      <w:r w:rsidR="00005634">
        <w:t xml:space="preserve"> </w:t>
      </w:r>
      <w:r w:rsidR="00446DF3">
        <w:t>A2B</w:t>
      </w:r>
      <w:r w:rsidR="007637FC">
        <w:t xml:space="preserve"> Australia</w:t>
      </w:r>
      <w:r w:rsidR="00D5146B">
        <w:t xml:space="preserve"> Limited</w:t>
      </w:r>
      <w:r w:rsidR="00AF74C8">
        <w:t xml:space="preserve">. It will also apply to </w:t>
      </w:r>
      <w:r w:rsidR="2DF23C9C">
        <w:t xml:space="preserve">any </w:t>
      </w:r>
      <w:r w:rsidR="00AF74C8">
        <w:t xml:space="preserve">future </w:t>
      </w:r>
      <w:r w:rsidR="004C53F0">
        <w:t xml:space="preserve">commercial passenger vehicle </w:t>
      </w:r>
      <w:r w:rsidR="00AF74C8">
        <w:t>specific payment instruments</w:t>
      </w:r>
      <w:r w:rsidR="4C76B281">
        <w:t xml:space="preserve"> that are developed by market participants</w:t>
      </w:r>
      <w:r w:rsidR="005C073C">
        <w:t xml:space="preserve"> during the regulatory period</w:t>
      </w:r>
      <w:r w:rsidR="00AF74C8">
        <w:t>.</w:t>
      </w:r>
    </w:p>
    <w:p w14:paraId="3D69BAB2" w14:textId="78675956" w:rsidR="003344CB" w:rsidRDefault="00BC2FA0" w:rsidP="00B503C2">
      <w:r>
        <w:lastRenderedPageBreak/>
        <w:t xml:space="preserve">The maximum 6 per cent surcharge does not apply to passengers </w:t>
      </w:r>
      <w:r w:rsidR="00C01BE7">
        <w:t xml:space="preserve">who </w:t>
      </w:r>
      <w:r>
        <w:t>use other payment methods</w:t>
      </w:r>
      <w:r w:rsidR="00005634">
        <w:t xml:space="preserve"> </w:t>
      </w:r>
      <w:r w:rsidR="00AB281A">
        <w:t>—</w:t>
      </w:r>
      <w:r w:rsidR="00D90247">
        <w:t xml:space="preserve"> </w:t>
      </w:r>
      <w:r w:rsidR="00005634">
        <w:t xml:space="preserve">debit and credit cards, </w:t>
      </w:r>
      <w:r w:rsidR="006365EA">
        <w:t xml:space="preserve">where </w:t>
      </w:r>
      <w:r w:rsidR="00D5146B">
        <w:t xml:space="preserve">the </w:t>
      </w:r>
      <w:r w:rsidR="006365EA">
        <w:t xml:space="preserve">4 per cent </w:t>
      </w:r>
      <w:r w:rsidR="00133650">
        <w:t>maximum surcharge</w:t>
      </w:r>
      <w:r w:rsidR="00D5146B">
        <w:t xml:space="preserve"> applies.</w:t>
      </w:r>
    </w:p>
    <w:p w14:paraId="5AD347A4" w14:textId="159402C3" w:rsidR="003344CB" w:rsidRDefault="00A122FB" w:rsidP="00931418">
      <w:pPr>
        <w:pStyle w:val="Heading4"/>
      </w:pPr>
      <w:r>
        <w:t>The m</w:t>
      </w:r>
      <w:r w:rsidR="0040780E">
        <w:t xml:space="preserve">arket </w:t>
      </w:r>
      <w:r w:rsidR="00D45876">
        <w:t>for payment</w:t>
      </w:r>
      <w:r w:rsidR="00F725ED">
        <w:t>s is</w:t>
      </w:r>
      <w:r>
        <w:t xml:space="preserve"> ev</w:t>
      </w:r>
      <w:r w:rsidR="00D45876">
        <w:t>olving</w:t>
      </w:r>
    </w:p>
    <w:p w14:paraId="09D69E07" w14:textId="765B5686" w:rsidR="004553E8" w:rsidRDefault="00393C39" w:rsidP="001E207D">
      <w:r>
        <w:t>Our</w:t>
      </w:r>
      <w:r w:rsidR="00A44D3F">
        <w:t xml:space="preserve"> final decision </w:t>
      </w:r>
      <w:r w:rsidR="004553E8">
        <w:t>is</w:t>
      </w:r>
      <w:r w:rsidR="0037135B">
        <w:t xml:space="preserve"> based on how </w:t>
      </w:r>
      <w:r w:rsidR="00F602AF">
        <w:t xml:space="preserve">the </w:t>
      </w:r>
      <w:r w:rsidR="008128AB">
        <w:t>taxi payment</w:t>
      </w:r>
      <w:r w:rsidR="00787F7E">
        <w:t>s</w:t>
      </w:r>
      <w:r w:rsidR="008128AB">
        <w:t xml:space="preserve"> </w:t>
      </w:r>
      <w:r w:rsidR="00C314A2">
        <w:t xml:space="preserve">market </w:t>
      </w:r>
      <w:r w:rsidR="00CD4338">
        <w:t>ha</w:t>
      </w:r>
      <w:r w:rsidR="00760A3E">
        <w:t>s</w:t>
      </w:r>
      <w:r w:rsidR="00CD4338">
        <w:t xml:space="preserve"> been operating</w:t>
      </w:r>
      <w:r w:rsidR="004423DC">
        <w:t>.</w:t>
      </w:r>
      <w:r w:rsidR="004706DD">
        <w:t xml:space="preserve"> </w:t>
      </w:r>
      <w:r w:rsidR="00141FA9">
        <w:t xml:space="preserve">However, we are aware </w:t>
      </w:r>
      <w:r w:rsidR="00B53B19">
        <w:t>of</w:t>
      </w:r>
      <w:r w:rsidR="001C52FB">
        <w:t xml:space="preserve"> </w:t>
      </w:r>
      <w:r w:rsidR="00391E39">
        <w:t xml:space="preserve">the </w:t>
      </w:r>
      <w:r w:rsidR="0091387E">
        <w:t>following development</w:t>
      </w:r>
      <w:r w:rsidR="00662CC6">
        <w:t>s</w:t>
      </w:r>
      <w:r w:rsidR="0064724D">
        <w:t>:</w:t>
      </w:r>
    </w:p>
    <w:p w14:paraId="60D7841D" w14:textId="4D874750" w:rsidR="006317B8" w:rsidRDefault="00A2382C" w:rsidP="007D309A">
      <w:pPr>
        <w:pStyle w:val="ListBullet"/>
      </w:pPr>
      <w:r>
        <w:t>T</w:t>
      </w:r>
      <w:r w:rsidR="00D55BD2">
        <w:t xml:space="preserve">he approval of </w:t>
      </w:r>
      <w:r w:rsidR="008223E0">
        <w:t>additional</w:t>
      </w:r>
      <w:r w:rsidR="008D7183">
        <w:t xml:space="preserve"> </w:t>
      </w:r>
      <w:r w:rsidR="00245150">
        <w:t xml:space="preserve">payment </w:t>
      </w:r>
      <w:r w:rsidR="00E73C82">
        <w:t>providers and terminals</w:t>
      </w:r>
      <w:r w:rsidR="008D7183">
        <w:t xml:space="preserve"> </w:t>
      </w:r>
      <w:r w:rsidR="00D70D26">
        <w:t>for processing</w:t>
      </w:r>
      <w:r w:rsidR="00EB6744">
        <w:t xml:space="preserve"> Multi Purpose Taxi Program</w:t>
      </w:r>
      <w:r w:rsidR="00901406">
        <w:t xml:space="preserve"> </w:t>
      </w:r>
      <w:r w:rsidR="003B3C66">
        <w:t>subsidies</w:t>
      </w:r>
      <w:r w:rsidR="00557CF7">
        <w:t>.</w:t>
      </w:r>
    </w:p>
    <w:p w14:paraId="797FD416" w14:textId="270C8FEE" w:rsidR="008A1F36" w:rsidRDefault="00A2382C" w:rsidP="00120D87">
      <w:pPr>
        <w:pStyle w:val="ListBullet"/>
      </w:pPr>
      <w:r>
        <w:t>C</w:t>
      </w:r>
      <w:r w:rsidR="00B24A0A">
        <w:t xml:space="preserve">hanges in </w:t>
      </w:r>
      <w:r w:rsidR="003F272A">
        <w:t xml:space="preserve">payments </w:t>
      </w:r>
      <w:r w:rsidR="006317B8">
        <w:t>technolog</w:t>
      </w:r>
      <w:r w:rsidR="003F272A">
        <w:t xml:space="preserve">y, including </w:t>
      </w:r>
      <w:r w:rsidR="00EF64A0">
        <w:t xml:space="preserve">increased uptake of </w:t>
      </w:r>
      <w:r w:rsidR="00954D30">
        <w:t>t</w:t>
      </w:r>
      <w:r w:rsidR="0036049E">
        <w:t xml:space="preserve">ap-to-phone </w:t>
      </w:r>
      <w:r w:rsidR="002768AD">
        <w:t>arrangements</w:t>
      </w:r>
      <w:r w:rsidR="00557CF7">
        <w:t>.</w:t>
      </w:r>
      <w:r w:rsidR="00671AD4">
        <w:t xml:space="preserve"> </w:t>
      </w:r>
    </w:p>
    <w:p w14:paraId="0409B7EC" w14:textId="09950A23" w:rsidR="00023BB3" w:rsidRDefault="00A2382C" w:rsidP="00EA60C0">
      <w:pPr>
        <w:pStyle w:val="ListBullet"/>
      </w:pPr>
      <w:r>
        <w:t>C</w:t>
      </w:r>
      <w:r w:rsidR="00774BBE">
        <w:t xml:space="preserve">losure of the 3G network and </w:t>
      </w:r>
      <w:r w:rsidR="00FA4225">
        <w:t xml:space="preserve">the roll-out of 4G </w:t>
      </w:r>
      <w:r w:rsidR="006360C2">
        <w:t>taxi</w:t>
      </w:r>
      <w:r w:rsidR="00FA4225">
        <w:t>meters</w:t>
      </w:r>
      <w:r w:rsidR="00CF088C">
        <w:t xml:space="preserve">, providing opportunities for </w:t>
      </w:r>
      <w:r w:rsidR="000474EC">
        <w:t xml:space="preserve">integration of payment terminals and </w:t>
      </w:r>
      <w:r w:rsidR="003925F5">
        <w:t>taximeters/dispatch systems</w:t>
      </w:r>
      <w:r w:rsidR="00E331CF">
        <w:t xml:space="preserve">. </w:t>
      </w:r>
      <w:r w:rsidR="00206213">
        <w:t xml:space="preserve"> </w:t>
      </w:r>
    </w:p>
    <w:p w14:paraId="3D400CEB" w14:textId="5466F9B6" w:rsidR="00380EA6" w:rsidRDefault="00127392" w:rsidP="001E207D">
      <w:r>
        <w:t xml:space="preserve">We </w:t>
      </w:r>
      <w:r w:rsidR="00F833EB">
        <w:t>will consider</w:t>
      </w:r>
      <w:r>
        <w:t xml:space="preserve"> </w:t>
      </w:r>
      <w:r w:rsidR="00B9376B">
        <w:t xml:space="preserve">the evolving </w:t>
      </w:r>
      <w:r w:rsidR="00F7606C">
        <w:t xml:space="preserve">payments </w:t>
      </w:r>
      <w:r w:rsidR="007357E7">
        <w:t>market</w:t>
      </w:r>
      <w:r>
        <w:t xml:space="preserve">, and </w:t>
      </w:r>
      <w:r w:rsidR="001B1C9A">
        <w:t xml:space="preserve">in future reviews </w:t>
      </w:r>
      <w:r w:rsidR="00805A2D">
        <w:t xml:space="preserve">test </w:t>
      </w:r>
      <w:r w:rsidR="00D41B8D">
        <w:t xml:space="preserve">assumptions </w:t>
      </w:r>
      <w:r w:rsidR="001B1C9A">
        <w:t xml:space="preserve">as to </w:t>
      </w:r>
      <w:r w:rsidR="00A04BF3">
        <w:t>the reasonableness</w:t>
      </w:r>
      <w:r w:rsidR="00AF5151">
        <w:t xml:space="preserve"> </w:t>
      </w:r>
      <w:r w:rsidR="00BA0A1E">
        <w:t>(</w:t>
      </w:r>
      <w:r w:rsidR="00AF5151">
        <w:t>in scope and quantum</w:t>
      </w:r>
      <w:r w:rsidR="00BA0A1E">
        <w:t xml:space="preserve">) </w:t>
      </w:r>
      <w:r w:rsidR="00A04BF3">
        <w:t>of costs</w:t>
      </w:r>
      <w:r w:rsidR="001B1C9A">
        <w:t>.</w:t>
      </w:r>
      <w:r w:rsidR="00E91234">
        <w:t xml:space="preserve"> </w:t>
      </w:r>
    </w:p>
    <w:p w14:paraId="6B396DEF" w14:textId="0E136FA6" w:rsidR="001E207D" w:rsidRPr="001E207D" w:rsidRDefault="003A0140" w:rsidP="001E207D">
      <w:r>
        <w:t xml:space="preserve"> </w:t>
      </w:r>
      <w:r w:rsidR="00206213">
        <w:t xml:space="preserve">  </w:t>
      </w:r>
      <w:r w:rsidR="008D7183">
        <w:t xml:space="preserve"> </w:t>
      </w:r>
      <w:r w:rsidR="00901406">
        <w:t xml:space="preserve"> </w:t>
      </w:r>
      <w:r w:rsidR="000E3B6D">
        <w:t xml:space="preserve"> </w:t>
      </w:r>
    </w:p>
    <w:p w14:paraId="4E63C8D4" w14:textId="77777777" w:rsidR="003344CB" w:rsidRDefault="003344CB" w:rsidP="00B503C2">
      <w:pPr>
        <w:sectPr w:rsidR="003344CB" w:rsidSect="0053218D">
          <w:footerReference w:type="default" r:id="rId20"/>
          <w:type w:val="continuous"/>
          <w:pgSz w:w="11906" w:h="16838" w:code="9"/>
          <w:pgMar w:top="1134" w:right="1134" w:bottom="1134" w:left="1134" w:header="709" w:footer="692" w:gutter="0"/>
          <w:pgNumType w:fmt="lowerRoman"/>
          <w:cols w:space="708"/>
          <w:docGrid w:linePitch="360"/>
        </w:sectPr>
      </w:pPr>
    </w:p>
    <w:p w14:paraId="22110922" w14:textId="77777777" w:rsidR="00710792" w:rsidRDefault="00710792" w:rsidP="007019B3">
      <w:pPr>
        <w:pStyle w:val="Heading1numbered"/>
      </w:pPr>
      <w:bookmarkStart w:id="29" w:name="_Toc174692644"/>
      <w:r>
        <w:lastRenderedPageBreak/>
        <w:t>Introduction</w:t>
      </w:r>
      <w:bookmarkEnd w:id="29"/>
    </w:p>
    <w:p w14:paraId="7ACD0AD5" w14:textId="2A14D244" w:rsidR="001449E2" w:rsidRDefault="0084684A" w:rsidP="00681AEC">
      <w:bookmarkStart w:id="30" w:name="_Toc480988882"/>
      <w:bookmarkStart w:id="31" w:name="_Toc481138193"/>
      <w:bookmarkStart w:id="32" w:name="_Toc481138401"/>
      <w:r>
        <w:t>Every two years, w</w:t>
      </w:r>
      <w:r w:rsidR="00681AEC">
        <w:t>e are required to review and set</w:t>
      </w:r>
      <w:r w:rsidR="001449E2">
        <w:t>:</w:t>
      </w:r>
    </w:p>
    <w:p w14:paraId="692F9C3F" w14:textId="23D5C124" w:rsidR="00D405BE" w:rsidRDefault="00681AEC" w:rsidP="001449E2">
      <w:pPr>
        <w:pStyle w:val="ListBullet"/>
      </w:pPr>
      <w:r>
        <w:t xml:space="preserve">maximum unbooked taxi fares </w:t>
      </w:r>
    </w:p>
    <w:p w14:paraId="1F073728" w14:textId="64E2D34E" w:rsidR="00A66735" w:rsidRDefault="00C868EA" w:rsidP="00775B6D">
      <w:pPr>
        <w:pStyle w:val="ListBullet"/>
      </w:pPr>
      <w:r>
        <w:t>m</w:t>
      </w:r>
      <w:r w:rsidR="00D405BE">
        <w:t xml:space="preserve">aximum </w:t>
      </w:r>
      <w:r w:rsidR="00681AEC">
        <w:t>non</w:t>
      </w:r>
      <w:r w:rsidR="00715A4D">
        <w:noBreakHyphen/>
      </w:r>
      <w:r w:rsidR="00681AEC">
        <w:t xml:space="preserve">cash payment surcharges. </w:t>
      </w:r>
    </w:p>
    <w:p w14:paraId="621F210A" w14:textId="0D580254" w:rsidR="00383A7C" w:rsidRDefault="00383A7C" w:rsidP="00681AEC">
      <w:r>
        <w:t xml:space="preserve">This paper sets out our </w:t>
      </w:r>
      <w:r w:rsidR="00465B68">
        <w:t xml:space="preserve">final </w:t>
      </w:r>
      <w:r>
        <w:t xml:space="preserve">decision of our review. </w:t>
      </w:r>
    </w:p>
    <w:p w14:paraId="2B847337" w14:textId="3D51CE1B" w:rsidR="00681AEC" w:rsidRDefault="00F437BC" w:rsidP="00681AEC">
      <w:r>
        <w:t xml:space="preserve">The </w:t>
      </w:r>
      <w:r w:rsidR="00F30670">
        <w:t>legislation</w:t>
      </w:r>
      <w:r w:rsidR="00681AEC">
        <w:t xml:space="preserve"> </w:t>
      </w:r>
      <w:r w:rsidR="00290321">
        <w:t xml:space="preserve">provides that the commission’s role is </w:t>
      </w:r>
      <w:r w:rsidR="00681AEC">
        <w:t xml:space="preserve">to set maximum unbooked fares and </w:t>
      </w:r>
      <w:r w:rsidR="00465B68">
        <w:t xml:space="preserve">non-cash payment </w:t>
      </w:r>
      <w:r w:rsidR="00681AEC">
        <w:t>surcharges.</w:t>
      </w:r>
      <w:r w:rsidR="00A66735">
        <w:t xml:space="preserve"> </w:t>
      </w:r>
      <w:r w:rsidR="00BE399F">
        <w:t>Safe Transport Victoria</w:t>
      </w:r>
      <w:r w:rsidR="00DD0E0E">
        <w:t>, in accordance with legislation it administers,</w:t>
      </w:r>
      <w:r w:rsidR="00BE399F">
        <w:t xml:space="preserve"> </w:t>
      </w:r>
      <w:r w:rsidR="00635815">
        <w:t xml:space="preserve">is responsible </w:t>
      </w:r>
      <w:r w:rsidR="0D7C7035">
        <w:t xml:space="preserve">for ensuring operators </w:t>
      </w:r>
      <w:r w:rsidR="00B55AD0">
        <w:t xml:space="preserve">comply </w:t>
      </w:r>
      <w:r w:rsidR="0D7C7035">
        <w:t>with the</w:t>
      </w:r>
      <w:r w:rsidR="006D03F4">
        <w:t>se</w:t>
      </w:r>
      <w:r w:rsidR="0D7C7035">
        <w:t xml:space="preserve"> determination</w:t>
      </w:r>
      <w:r w:rsidR="00BB2FD5">
        <w:t>s</w:t>
      </w:r>
      <w:r w:rsidR="0D7C7035">
        <w:t xml:space="preserve">. </w:t>
      </w:r>
    </w:p>
    <w:p w14:paraId="1344D981" w14:textId="23F6DC77" w:rsidR="00681AEC" w:rsidRDefault="00681AEC" w:rsidP="00681AEC">
      <w:pPr>
        <w:pStyle w:val="Heading2"/>
      </w:pPr>
      <w:bookmarkStart w:id="33" w:name="_Toc174692645"/>
      <w:r>
        <w:t xml:space="preserve">Our role in </w:t>
      </w:r>
      <w:r w:rsidR="00F906DE">
        <w:t>the</w:t>
      </w:r>
      <w:r>
        <w:t xml:space="preserve"> commercial passenger vehicle industry</w:t>
      </w:r>
      <w:bookmarkEnd w:id="33"/>
      <w:r w:rsidR="0A9FA55C">
        <w:t xml:space="preserve"> </w:t>
      </w:r>
    </w:p>
    <w:p w14:paraId="5358D924" w14:textId="5048C47F" w:rsidR="00681AEC" w:rsidRDefault="00681AEC" w:rsidP="00681AEC">
      <w:pPr>
        <w:pStyle w:val="Heading3"/>
      </w:pPr>
      <w:bookmarkStart w:id="34" w:name="_Toc166678835"/>
      <w:bookmarkStart w:id="35" w:name="_Toc167345790"/>
      <w:bookmarkStart w:id="36" w:name="_Toc167346484"/>
      <w:bookmarkStart w:id="37" w:name="_Toc167780279"/>
      <w:bookmarkStart w:id="38" w:name="_Toc173691366"/>
      <w:bookmarkStart w:id="39" w:name="_Toc174692646"/>
      <w:r>
        <w:t>Maximum unbooked taxi fares</w:t>
      </w:r>
      <w:bookmarkEnd w:id="34"/>
      <w:bookmarkEnd w:id="35"/>
      <w:bookmarkEnd w:id="36"/>
      <w:bookmarkEnd w:id="37"/>
      <w:bookmarkEnd w:id="38"/>
      <w:bookmarkEnd w:id="39"/>
    </w:p>
    <w:p w14:paraId="128F2B86" w14:textId="26C1AA8A" w:rsidR="00681AEC" w:rsidRDefault="00681AEC" w:rsidP="00681AEC">
      <w:r>
        <w:t xml:space="preserve">The commercial passenger vehicle industry provides the hire of </w:t>
      </w:r>
      <w:r w:rsidR="31AC3C52">
        <w:t>point</w:t>
      </w:r>
      <w:r w:rsidR="00F75B2F">
        <w:t>-t</w:t>
      </w:r>
      <w:r w:rsidR="31AC3C52">
        <w:t>o</w:t>
      </w:r>
      <w:r w:rsidR="00F75B2F">
        <w:t>-</w:t>
      </w:r>
      <w:r w:rsidR="31AC3C52">
        <w:t>point</w:t>
      </w:r>
      <w:r>
        <w:t xml:space="preserve"> transport. </w:t>
      </w:r>
      <w:r w:rsidR="00B72668">
        <w:t xml:space="preserve">Point-to-point transport </w:t>
      </w:r>
      <w:r>
        <w:t>is different to other forms of commercial transport that run on pre</w:t>
      </w:r>
      <w:r w:rsidR="00715A4D">
        <w:noBreakHyphen/>
      </w:r>
      <w:r>
        <w:t>specified routes</w:t>
      </w:r>
      <w:r w:rsidR="0400921D">
        <w:t xml:space="preserve"> and timetables</w:t>
      </w:r>
      <w:r w:rsidR="79EF4349">
        <w:t>.</w:t>
      </w:r>
      <w:r>
        <w:t xml:space="preserve"> Taxis are a commercial passenger vehicle that can perform booked and unbooked services.</w:t>
      </w:r>
      <w:r w:rsidR="001F1F59">
        <w:rPr>
          <w:rStyle w:val="FootnoteReference"/>
        </w:rPr>
        <w:footnoteReference w:id="13"/>
      </w:r>
      <w:r>
        <w:t xml:space="preserve"> </w:t>
      </w:r>
    </w:p>
    <w:p w14:paraId="5D443F8D" w14:textId="52EC8D0D" w:rsidR="00D87392" w:rsidRDefault="00A25145" w:rsidP="00F50E9B">
      <w:pPr>
        <w:pStyle w:val="Heading4"/>
      </w:pPr>
      <w:r>
        <w:t xml:space="preserve">Booked </w:t>
      </w:r>
      <w:r w:rsidR="00FA1EC8">
        <w:t>and unbooked taxi services</w:t>
      </w:r>
    </w:p>
    <w:p w14:paraId="1985674F" w14:textId="1D25EB82" w:rsidR="00681AEC" w:rsidRDefault="00681AEC" w:rsidP="00681AEC">
      <w:r>
        <w:t>Booked commercial passenger vehicle services are trips made through a booking service</w:t>
      </w:r>
      <w:r w:rsidR="009C63C1">
        <w:t xml:space="preserve"> provider</w:t>
      </w:r>
      <w:r w:rsidR="494599FA">
        <w:t>, where passengers</w:t>
      </w:r>
      <w:r w:rsidR="009C63C1">
        <w:t xml:space="preserve"> typically</w:t>
      </w:r>
      <w:r>
        <w:t xml:space="preserve"> </w:t>
      </w:r>
      <w:r w:rsidR="79AC2BEC">
        <w:t>reserve their trip</w:t>
      </w:r>
      <w:r>
        <w:t xml:space="preserve"> in advance via an app, over the phone or via a website.</w:t>
      </w:r>
    </w:p>
    <w:p w14:paraId="2DD8FAF2" w14:textId="0E1FBD89" w:rsidR="00681AEC" w:rsidRDefault="00681AEC" w:rsidP="00681AEC">
      <w:r>
        <w:t xml:space="preserve">In contrast, unbooked commercial passenger vehicle services are all other trips, such as </w:t>
      </w:r>
      <w:r w:rsidR="148B23E4">
        <w:t xml:space="preserve">those </w:t>
      </w:r>
      <w:r>
        <w:t xml:space="preserve">hailed from the street or at a designated taxi rank. In this </w:t>
      </w:r>
      <w:r w:rsidR="00FE24C0">
        <w:t>decision</w:t>
      </w:r>
      <w:r>
        <w:t xml:space="preserve">, we refer to unbooked commercial passenger vehicle services as ‘unbooked taxi services’. </w:t>
      </w:r>
    </w:p>
    <w:p w14:paraId="7F81A29B" w14:textId="37A558E9" w:rsidR="007E63D9" w:rsidRDefault="007E63D9" w:rsidP="004E00BC">
      <w:pPr>
        <w:pStyle w:val="Heading4"/>
      </w:pPr>
      <w:r>
        <w:t xml:space="preserve">Maximum </w:t>
      </w:r>
      <w:r w:rsidR="00586959">
        <w:t>fare zones</w:t>
      </w:r>
    </w:p>
    <w:p w14:paraId="06FD84B3" w14:textId="1B4CC113" w:rsidR="000A5D92" w:rsidRDefault="00681AEC" w:rsidP="000F54BB">
      <w:r>
        <w:t xml:space="preserve">We set the maximum fares for unbooked trips that begin in the Melbourne </w:t>
      </w:r>
      <w:r w:rsidR="00E55DD8">
        <w:t xml:space="preserve">Metropolitan </w:t>
      </w:r>
      <w:r>
        <w:t>or Urban and Large Regional Zones only (which includes Dandenong, Frankston, the Mornington Peninsula, Ballarat, Bendigo and Geelong). The fares of unbooked taxi trips that begin in other areas of Victoria are not regulated.</w:t>
      </w:r>
      <w:r w:rsidR="00636FDF">
        <w:rPr>
          <w:rStyle w:val="FootnoteReference"/>
        </w:rPr>
        <w:footnoteReference w:id="14"/>
      </w:r>
      <w:r>
        <w:t xml:space="preserve"> </w:t>
      </w:r>
    </w:p>
    <w:p w14:paraId="18146E67" w14:textId="5127CE04" w:rsidR="005F0AD0" w:rsidRDefault="005F0AD0" w:rsidP="004E00BC">
      <w:pPr>
        <w:pStyle w:val="Heading4"/>
      </w:pPr>
      <w:r>
        <w:lastRenderedPageBreak/>
        <w:t>Taxi operators</w:t>
      </w:r>
      <w:r w:rsidR="00351107" w:rsidRPr="00351107">
        <w:rPr>
          <w:noProof/>
        </w:rPr>
        <w:t xml:space="preserve"> </w:t>
      </w:r>
    </w:p>
    <w:p w14:paraId="7AF01FC9" w14:textId="31B5DE1C" w:rsidR="00681AEC" w:rsidRDefault="00BF5998" w:rsidP="00681AEC">
      <w:r>
        <w:t>P</w:t>
      </w:r>
      <w:r w:rsidR="00681AEC">
        <w:t>eople who own and maintain taxis a</w:t>
      </w:r>
      <w:r w:rsidR="77FE175E">
        <w:t>re</w:t>
      </w:r>
      <w:r w:rsidR="00681AEC">
        <w:t xml:space="preserve"> taxi operators</w:t>
      </w:r>
      <w:r w:rsidR="00ED50EF">
        <w:t>.</w:t>
      </w:r>
      <w:r w:rsidR="00681AEC">
        <w:t xml:space="preserve"> </w:t>
      </w:r>
      <w:r w:rsidR="00ED50EF">
        <w:t>T</w:t>
      </w:r>
      <w:r w:rsidR="4D37F031">
        <w:t>hey</w:t>
      </w:r>
      <w:r w:rsidR="00681AEC">
        <w:t xml:space="preserve"> may rent vehicles out to taxi drivers or drive taxis themselves.</w:t>
      </w:r>
    </w:p>
    <w:p w14:paraId="69004D3D" w14:textId="2CE8888B" w:rsidR="00681AEC" w:rsidRDefault="00681AEC" w:rsidP="004E00BC">
      <w:pPr>
        <w:pStyle w:val="Pull-out"/>
      </w:pPr>
      <w:r>
        <w:t xml:space="preserve">Our </w:t>
      </w:r>
      <w:r w:rsidR="00557BD6">
        <w:t>final</w:t>
      </w:r>
      <w:r>
        <w:t xml:space="preserve"> decision on maximum unbooked taxi fares is set out in </w:t>
      </w:r>
      <w:hyperlink w:anchor="_Unbooked_taxi_fares" w:history="1">
        <w:r w:rsidR="00C87857">
          <w:rPr>
            <w:rStyle w:val="Hyperlink"/>
          </w:rPr>
          <w:t>C</w:t>
        </w:r>
        <w:r w:rsidRPr="00CC59CD">
          <w:rPr>
            <w:rStyle w:val="Hyperlink"/>
          </w:rPr>
          <w:t>hapter 2</w:t>
        </w:r>
      </w:hyperlink>
      <w:r>
        <w:t>.</w:t>
      </w:r>
    </w:p>
    <w:p w14:paraId="4BA01AAA" w14:textId="3FA3E249" w:rsidR="00681AEC" w:rsidRDefault="00681AEC" w:rsidP="00681AEC">
      <w:pPr>
        <w:pStyle w:val="Heading3"/>
      </w:pPr>
      <w:bookmarkStart w:id="40" w:name="_Toc166678836"/>
      <w:bookmarkStart w:id="41" w:name="_Toc167345791"/>
      <w:bookmarkStart w:id="42" w:name="_Toc167346485"/>
      <w:bookmarkStart w:id="43" w:name="_Toc167780280"/>
      <w:bookmarkStart w:id="44" w:name="_Toc173691367"/>
      <w:bookmarkStart w:id="45" w:name="_Toc174692647"/>
      <w:r>
        <w:t>Maximum non</w:t>
      </w:r>
      <w:r w:rsidR="00715A4D">
        <w:noBreakHyphen/>
      </w:r>
      <w:r>
        <w:t>cash payment surcharges</w:t>
      </w:r>
      <w:bookmarkEnd w:id="40"/>
      <w:bookmarkEnd w:id="41"/>
      <w:bookmarkEnd w:id="42"/>
      <w:bookmarkEnd w:id="43"/>
      <w:bookmarkEnd w:id="44"/>
      <w:bookmarkEnd w:id="45"/>
    </w:p>
    <w:p w14:paraId="582BCF1D" w14:textId="50C6F857" w:rsidR="00681AEC" w:rsidRDefault="00681AEC" w:rsidP="00681AEC">
      <w:r>
        <w:t>Non</w:t>
      </w:r>
      <w:r w:rsidR="00715A4D">
        <w:noBreakHyphen/>
      </w:r>
      <w:r>
        <w:t xml:space="preserve">cash payment surcharges are fees charged to taxi passengers for paying by a method other than cash. For example, a surcharge </w:t>
      </w:r>
      <w:r w:rsidR="00C60C18">
        <w:t xml:space="preserve">may be applied </w:t>
      </w:r>
      <w:r>
        <w:t xml:space="preserve">when a passenger pays via a credit or debit card, or when using a </w:t>
      </w:r>
      <w:r w:rsidR="00902B3C">
        <w:t xml:space="preserve">commercial passenger vehicle </w:t>
      </w:r>
      <w:r>
        <w:t>specific payment system</w:t>
      </w:r>
      <w:r w:rsidR="785A2EB6">
        <w:t>,</w:t>
      </w:r>
      <w:r>
        <w:t xml:space="preserve"> like Cabcharge. The surcharge is </w:t>
      </w:r>
      <w:r w:rsidR="00A86E93">
        <w:t>calculated as a percentage of the taxi fare an</w:t>
      </w:r>
      <w:r w:rsidR="000702F8">
        <w:t>d</w:t>
      </w:r>
      <w:r w:rsidR="00A86E93">
        <w:t xml:space="preserve"> </w:t>
      </w:r>
      <w:r>
        <w:t xml:space="preserve">added to the taxi fare. </w:t>
      </w:r>
    </w:p>
    <w:p w14:paraId="23B55FD5" w14:textId="343C8E92" w:rsidR="00681AEC" w:rsidRDefault="00681AEC" w:rsidP="00681AEC">
      <w:r>
        <w:t>We set the maximum non</w:t>
      </w:r>
      <w:r w:rsidR="00715A4D">
        <w:noBreakHyphen/>
      </w:r>
      <w:r>
        <w:t>cash payment surcharge</w:t>
      </w:r>
      <w:r w:rsidR="00345EC7">
        <w:t>s</w:t>
      </w:r>
      <w:r>
        <w:t xml:space="preserve"> for all taxi trips (booked and unbooked) in Victoria.</w:t>
      </w:r>
    </w:p>
    <w:p w14:paraId="6D5E6956" w14:textId="2D9D6B51" w:rsidR="00681AEC" w:rsidRDefault="00681AEC" w:rsidP="00D5548E">
      <w:pPr>
        <w:pStyle w:val="Heading4"/>
      </w:pPr>
      <w:r>
        <w:t>What are non</w:t>
      </w:r>
      <w:r w:rsidR="00715A4D">
        <w:noBreakHyphen/>
      </w:r>
      <w:r>
        <w:t>cash payment surcharges?</w:t>
      </w:r>
    </w:p>
    <w:p w14:paraId="447C4A6F" w14:textId="4ACB46FC" w:rsidR="00BF5998" w:rsidRDefault="00681AEC" w:rsidP="00681AEC">
      <w:r>
        <w:t>When a buyer uses a non</w:t>
      </w:r>
      <w:r w:rsidR="00715A4D">
        <w:noBreakHyphen/>
      </w:r>
      <w:r>
        <w:t xml:space="preserve">cash payment method to make a purchase, the </w:t>
      </w:r>
      <w:r w:rsidR="00574F08">
        <w:t>merchant (</w:t>
      </w:r>
      <w:r>
        <w:t>seller</w:t>
      </w:r>
      <w:r w:rsidR="00574F08">
        <w:t>)</w:t>
      </w:r>
      <w:r>
        <w:t xml:space="preserve"> incurs a cost for processing the payment.</w:t>
      </w:r>
    </w:p>
    <w:p w14:paraId="031CD382" w14:textId="4CAFC64A" w:rsidR="0053280C" w:rsidRDefault="00681AEC" w:rsidP="00681AEC">
      <w:r>
        <w:t>This cost may vary, depending on the size of the merchant’s business and the type of payment method used.</w:t>
      </w:r>
    </w:p>
    <w:p w14:paraId="59FC0778" w14:textId="4F778334" w:rsidR="00681AEC" w:rsidRDefault="00681AEC" w:rsidP="00681AEC">
      <w:r>
        <w:t>The merchant may choose to apply a surcharge to cover the cost of accepting and processing the</w:t>
      </w:r>
      <w:r w:rsidR="00E562B3">
        <w:t>se</w:t>
      </w:r>
      <w:r>
        <w:t xml:space="preserve"> payment</w:t>
      </w:r>
      <w:r w:rsidR="00E562B3">
        <w:t>s</w:t>
      </w:r>
      <w:r>
        <w:t>.</w:t>
      </w:r>
      <w:r w:rsidR="0020484D" w:rsidRPr="0020484D">
        <w:rPr>
          <w:rStyle w:val="FootnoteReference"/>
        </w:rPr>
        <w:t xml:space="preserve"> </w:t>
      </w:r>
      <w:r w:rsidR="0020484D">
        <w:rPr>
          <w:rStyle w:val="FootnoteReference"/>
        </w:rPr>
        <w:footnoteReference w:id="15"/>
      </w:r>
      <w:r>
        <w:t xml:space="preserve"> </w:t>
      </w:r>
    </w:p>
    <w:p w14:paraId="34B77F28" w14:textId="3D36618F" w:rsidR="00681AEC" w:rsidRDefault="00681AEC" w:rsidP="00681AEC">
      <w:r>
        <w:t>In the taxi industry, the surcharge will be paid by the passenger when using non</w:t>
      </w:r>
      <w:r w:rsidR="00715A4D">
        <w:noBreakHyphen/>
      </w:r>
      <w:r>
        <w:t>cash payment methods, such as debit or credit cards. The surcharge will either be collected by:</w:t>
      </w:r>
    </w:p>
    <w:p w14:paraId="7E95DEF8" w14:textId="62BA0AEE" w:rsidR="00681AEC" w:rsidRDefault="00681AEC" w:rsidP="00D5548E">
      <w:pPr>
        <w:pStyle w:val="ListBullet"/>
      </w:pPr>
      <w:r w:rsidRPr="004E00BC">
        <w:rPr>
          <w:b/>
          <w:bCs/>
        </w:rPr>
        <w:t>taxi payment processors</w:t>
      </w:r>
      <w:r>
        <w:t xml:space="preserve"> – these businesses provide terminals and equipment to taxi drivers, </w:t>
      </w:r>
      <w:r w:rsidR="00BB719C">
        <w:t>taxi operators or booking service providers</w:t>
      </w:r>
      <w:r>
        <w:t xml:space="preserve">, to facilitate payments between customers and taxi drivers. Most taxi drivers will use terminals provided by taxi payment processors. </w:t>
      </w:r>
    </w:p>
    <w:p w14:paraId="5697CE32" w14:textId="5560932C" w:rsidR="00681AEC" w:rsidRDefault="00681AEC" w:rsidP="00D5548E">
      <w:pPr>
        <w:pStyle w:val="ListBullet"/>
      </w:pPr>
      <w:r w:rsidRPr="004E00BC">
        <w:rPr>
          <w:b/>
          <w:bCs/>
        </w:rPr>
        <w:t>booking service providers</w:t>
      </w:r>
      <w:r>
        <w:t xml:space="preserve"> – booking service providers may provide terminals to taxi drivers or recover the cost of non</w:t>
      </w:r>
      <w:r w:rsidR="00715A4D">
        <w:noBreakHyphen/>
      </w:r>
      <w:r>
        <w:t xml:space="preserve">cash payments directly via the use of smartphone apps </w:t>
      </w:r>
      <w:r w:rsidR="00277DBE">
        <w:t>or online booking services</w:t>
      </w:r>
      <w:r>
        <w:t>.</w:t>
      </w:r>
      <w:r w:rsidR="00277DBE">
        <w:rPr>
          <w:rStyle w:val="FootnoteReference"/>
        </w:rPr>
        <w:footnoteReference w:id="16"/>
      </w:r>
    </w:p>
    <w:p w14:paraId="18CE48FB" w14:textId="4ED8F071" w:rsidR="00681AEC" w:rsidRDefault="00681AEC" w:rsidP="00D5548E">
      <w:pPr>
        <w:pStyle w:val="ListBullet"/>
      </w:pPr>
      <w:r w:rsidRPr="004E00BC">
        <w:rPr>
          <w:b/>
          <w:bCs/>
        </w:rPr>
        <w:lastRenderedPageBreak/>
        <w:t>taxi driver</w:t>
      </w:r>
      <w:r w:rsidR="007F5D73" w:rsidRPr="004E00BC">
        <w:rPr>
          <w:b/>
          <w:bCs/>
        </w:rPr>
        <w:t>s</w:t>
      </w:r>
      <w:r w:rsidRPr="004E00BC">
        <w:rPr>
          <w:b/>
          <w:bCs/>
        </w:rPr>
        <w:t xml:space="preserve"> or operator</w:t>
      </w:r>
      <w:r w:rsidR="007F5D73" w:rsidRPr="004E00BC">
        <w:rPr>
          <w:b/>
          <w:bCs/>
        </w:rPr>
        <w:t>s</w:t>
      </w:r>
      <w:r>
        <w:t xml:space="preserve"> – taxi drivers or operators may choose to use payment terminals they have sourced directly from a bank or other payment facilitator. </w:t>
      </w:r>
    </w:p>
    <w:p w14:paraId="3CD27F7A" w14:textId="77777777" w:rsidR="00681AEC" w:rsidRDefault="00681AEC" w:rsidP="00D5548E">
      <w:pPr>
        <w:pStyle w:val="Heading4"/>
      </w:pPr>
      <w:r>
        <w:t>Taxi payment processors</w:t>
      </w:r>
    </w:p>
    <w:p w14:paraId="7271514C" w14:textId="1B01940A" w:rsidR="00681AEC" w:rsidRDefault="00622B9A" w:rsidP="00681AEC">
      <w:r>
        <w:t>T</w:t>
      </w:r>
      <w:r w:rsidR="00681AEC">
        <w:t>axi payment processors provide services to booking service providers, taxi drivers and taxi operators</w:t>
      </w:r>
      <w:r w:rsidR="00292C7F">
        <w:t xml:space="preserve"> to facilitate payments</w:t>
      </w:r>
      <w:r w:rsidR="79EF4349">
        <w:t>.</w:t>
      </w:r>
      <w:r w:rsidR="00681AEC">
        <w:t xml:space="preserve"> In some cases</w:t>
      </w:r>
      <w:r w:rsidR="1AADE735">
        <w:t>,</w:t>
      </w:r>
      <w:r w:rsidR="00681AEC">
        <w:t xml:space="preserve"> they also act as booking service providers.</w:t>
      </w:r>
    </w:p>
    <w:p w14:paraId="0048B29F" w14:textId="77916966" w:rsidR="00681AEC" w:rsidRDefault="00292C7F" w:rsidP="00681AEC">
      <w:r>
        <w:t>They</w:t>
      </w:r>
      <w:r w:rsidR="00681AEC">
        <w:t xml:space="preserve"> provide payment terminals and equipment to enable taxi drivers to accept passengers</w:t>
      </w:r>
      <w:r w:rsidR="00B82A21">
        <w:t xml:space="preserve"> credit, debit or charge cards</w:t>
      </w:r>
      <w:r w:rsidR="00681AEC">
        <w:t xml:space="preserve">. This </w:t>
      </w:r>
      <w:r w:rsidR="00F51A5D">
        <w:t>typically</w:t>
      </w:r>
      <w:r w:rsidR="00681AEC">
        <w:t xml:space="preserve"> involves obtaining terminals from terminal providers and entering pricing plans with acquirers (financial institutions that have access to various card/payment schemes</w:t>
      </w:r>
      <w:r w:rsidR="2A42BCCD">
        <w:t>)</w:t>
      </w:r>
      <w:r w:rsidR="79EF4349">
        <w:t>.</w:t>
      </w:r>
      <w:r w:rsidR="004B5433">
        <w:rPr>
          <w:rStyle w:val="FootnoteReference"/>
        </w:rPr>
        <w:footnoteReference w:id="17"/>
      </w:r>
      <w:r w:rsidR="00681AEC">
        <w:t xml:space="preserve">  </w:t>
      </w:r>
    </w:p>
    <w:p w14:paraId="7FF92159" w14:textId="6E448C7E" w:rsidR="00681AEC" w:rsidRDefault="00681AEC" w:rsidP="00681AEC">
      <w:r>
        <w:t>Some taxi payment processors have relationships with certain booking service providers or taxi operators</w:t>
      </w:r>
      <w:r w:rsidR="7BB98A90">
        <w:t>;</w:t>
      </w:r>
      <w:r w:rsidR="00B37CD0">
        <w:t xml:space="preserve"> </w:t>
      </w:r>
      <w:r>
        <w:t xml:space="preserve">others compete by offering terminals </w:t>
      </w:r>
      <w:r w:rsidR="00903599">
        <w:t xml:space="preserve">directly </w:t>
      </w:r>
      <w:r>
        <w:t>to taxi drivers.</w:t>
      </w:r>
    </w:p>
    <w:p w14:paraId="2B28AA0C" w14:textId="4FE3BF5B" w:rsidR="00717B0B" w:rsidRDefault="00717B0B" w:rsidP="00717B0B">
      <w:pPr>
        <w:pStyle w:val="Pull-out"/>
      </w:pPr>
      <w:r>
        <w:t xml:space="preserve">Our </w:t>
      </w:r>
      <w:r w:rsidR="005903C8">
        <w:t xml:space="preserve">final </w:t>
      </w:r>
      <w:r>
        <w:t>decision on maximum non</w:t>
      </w:r>
      <w:r>
        <w:noBreakHyphen/>
        <w:t xml:space="preserve">cash payment surcharges is set out in </w:t>
      </w:r>
      <w:hyperlink w:anchor="_Non-cash_payment_surcharge" w:history="1">
        <w:r w:rsidR="00C87857">
          <w:rPr>
            <w:rStyle w:val="Hyperlink"/>
          </w:rPr>
          <w:t>C</w:t>
        </w:r>
        <w:r w:rsidRPr="00717B0B">
          <w:rPr>
            <w:rStyle w:val="Hyperlink"/>
          </w:rPr>
          <w:t>hapter 3</w:t>
        </w:r>
      </w:hyperlink>
      <w:r>
        <w:t xml:space="preserve">. </w:t>
      </w:r>
    </w:p>
    <w:p w14:paraId="503A153E" w14:textId="343EDCF6" w:rsidR="00681AEC" w:rsidRDefault="00206B99" w:rsidP="004B5433">
      <w:pPr>
        <w:pStyle w:val="Heading2"/>
      </w:pPr>
      <w:bookmarkStart w:id="46" w:name="_Toc174692648"/>
      <w:r>
        <w:t>Recent m</w:t>
      </w:r>
      <w:r w:rsidR="00681AEC">
        <w:t>arket developments</w:t>
      </w:r>
      <w:bookmarkEnd w:id="46"/>
    </w:p>
    <w:p w14:paraId="5F4DCD4E" w14:textId="3FB4B51F" w:rsidR="00681AEC" w:rsidRDefault="00681AEC" w:rsidP="004B5433">
      <w:pPr>
        <w:pStyle w:val="Heading3"/>
      </w:pPr>
      <w:bookmarkStart w:id="47" w:name="_Toc166678838"/>
      <w:bookmarkStart w:id="48" w:name="_Toc167345793"/>
      <w:bookmarkStart w:id="49" w:name="_Toc167346487"/>
      <w:bookmarkStart w:id="50" w:name="_Toc167780282"/>
      <w:bookmarkStart w:id="51" w:name="_Toc173691369"/>
      <w:bookmarkStart w:id="52" w:name="_Toc174692649"/>
      <w:r>
        <w:t>Inflation increased b</w:t>
      </w:r>
      <w:r w:rsidRPr="00206B99">
        <w:t>y 9</w:t>
      </w:r>
      <w:r w:rsidR="00D22689" w:rsidRPr="00206B99">
        <w:t>.5</w:t>
      </w:r>
      <w:r w:rsidR="00715A4D" w:rsidRPr="00206B99">
        <w:t> per</w:t>
      </w:r>
      <w:r w:rsidR="00715A4D">
        <w:t> </w:t>
      </w:r>
      <w:r>
        <w:t>cent since June 2022</w:t>
      </w:r>
      <w:bookmarkEnd w:id="47"/>
      <w:bookmarkEnd w:id="48"/>
      <w:bookmarkEnd w:id="49"/>
      <w:bookmarkEnd w:id="50"/>
      <w:bookmarkEnd w:id="51"/>
      <w:bookmarkEnd w:id="52"/>
    </w:p>
    <w:p w14:paraId="46CA04C0" w14:textId="3525D412" w:rsidR="00681AEC" w:rsidRDefault="00681AEC" w:rsidP="00681AEC">
      <w:r>
        <w:t>Since our</w:t>
      </w:r>
      <w:r w:rsidR="79EF4349">
        <w:t xml:space="preserve"> </w:t>
      </w:r>
      <w:r w:rsidR="0C4899FB">
        <w:t>2022</w:t>
      </w:r>
      <w:r>
        <w:t xml:space="preserve"> </w:t>
      </w:r>
      <w:r w:rsidR="00ED2EA1">
        <w:t>reviews,</w:t>
      </w:r>
      <w:r>
        <w:t xml:space="preserve"> it has been a period of high inflation. This has put cost pressures on both taxi service providers</w:t>
      </w:r>
      <w:r w:rsidR="0061631C">
        <w:t>, payment processors</w:t>
      </w:r>
      <w:r>
        <w:t xml:space="preserve"> and Victorian consumers. Since June 2022, the consumer price index has increased by </w:t>
      </w:r>
      <w:r w:rsidRPr="0055663C">
        <w:t>9</w:t>
      </w:r>
      <w:r w:rsidR="00D22689" w:rsidRPr="0055663C">
        <w:t>.5</w:t>
      </w:r>
      <w:r w:rsidR="00715A4D">
        <w:t> per </w:t>
      </w:r>
      <w:r>
        <w:t>cent.</w:t>
      </w:r>
      <w:r w:rsidR="00F33F20">
        <w:rPr>
          <w:rStyle w:val="FootnoteReference"/>
        </w:rPr>
        <w:footnoteReference w:id="18"/>
      </w:r>
    </w:p>
    <w:p w14:paraId="4F25044E" w14:textId="32FA585C" w:rsidR="00681AEC" w:rsidRDefault="00681AEC" w:rsidP="00681AEC">
      <w:r>
        <w:t xml:space="preserve">However, this has also been a period of taxi fare increases. In our 2022 review we increased maximum unbooked taxi fares </w:t>
      </w:r>
      <w:r w:rsidR="0DF8A363">
        <w:t xml:space="preserve">by 11.2 per cent, the first </w:t>
      </w:r>
      <w:r w:rsidR="05A0DFDA">
        <w:t>rise</w:t>
      </w:r>
      <w:r>
        <w:t xml:space="preserve"> </w:t>
      </w:r>
      <w:r w:rsidR="6EE888BC">
        <w:t>in eight years</w:t>
      </w:r>
      <w:r>
        <w:t xml:space="preserve">. We also introduced an annual indexation mechanism which increased </w:t>
      </w:r>
      <w:r w:rsidR="00E7641D">
        <w:t xml:space="preserve">maximum </w:t>
      </w:r>
      <w:r>
        <w:t xml:space="preserve">fares </w:t>
      </w:r>
      <w:r w:rsidR="7BDAD22D">
        <w:t xml:space="preserve">a </w:t>
      </w:r>
      <w:r>
        <w:t>further 4.1</w:t>
      </w:r>
      <w:r w:rsidR="00715A4D">
        <w:t> per </w:t>
      </w:r>
      <w:r>
        <w:t xml:space="preserve">cent in October 2023. </w:t>
      </w:r>
    </w:p>
    <w:p w14:paraId="308097F3" w14:textId="77777777" w:rsidR="00F002B5" w:rsidRDefault="00681AEC" w:rsidP="00681AEC">
      <w:bookmarkStart w:id="53" w:name="_Toc167345794"/>
      <w:bookmarkStart w:id="54" w:name="_Toc167346488"/>
      <w:bookmarkStart w:id="55" w:name="_Toc167780283"/>
      <w:bookmarkStart w:id="56" w:name="_Toc173691370"/>
      <w:bookmarkStart w:id="57" w:name="_Toc174692650"/>
      <w:bookmarkStart w:id="58" w:name="_Toc166678839"/>
      <w:r w:rsidRPr="00F002B5">
        <w:rPr>
          <w:rStyle w:val="Heading3Char"/>
        </w:rPr>
        <w:t>Demand for commercial passenger vehicles</w:t>
      </w:r>
      <w:bookmarkEnd w:id="53"/>
      <w:bookmarkEnd w:id="54"/>
      <w:bookmarkEnd w:id="55"/>
      <w:bookmarkEnd w:id="56"/>
      <w:bookmarkEnd w:id="57"/>
      <w:r w:rsidR="00F002B5">
        <w:t xml:space="preserve"> </w:t>
      </w:r>
      <w:r>
        <w:t xml:space="preserve"> </w:t>
      </w:r>
      <w:bookmarkEnd w:id="58"/>
    </w:p>
    <w:p w14:paraId="2F6F8756" w14:textId="3F9AA027" w:rsidR="00681AEC" w:rsidRDefault="51662ACE" w:rsidP="00681AEC">
      <w:r>
        <w:t>Our</w:t>
      </w:r>
      <w:r w:rsidR="00681AEC">
        <w:t xml:space="preserve"> previous review</w:t>
      </w:r>
      <w:r w:rsidR="5CB6F11E">
        <w:t xml:space="preserve"> </w:t>
      </w:r>
      <w:r w:rsidR="45D75DFB">
        <w:t>coincided with Vic</w:t>
      </w:r>
      <w:r w:rsidR="00255FCF">
        <w:t>t</w:t>
      </w:r>
      <w:r w:rsidR="45D75DFB">
        <w:t>oria</w:t>
      </w:r>
      <w:r w:rsidR="000F1F81">
        <w:t xml:space="preserve"> </w:t>
      </w:r>
      <w:r w:rsidR="00681AEC">
        <w:t>emerging from the coronavirus pandemic, and it was unclear how the taxi market would develop.</w:t>
      </w:r>
    </w:p>
    <w:p w14:paraId="0BAF0666" w14:textId="3343D880" w:rsidR="0095734E" w:rsidRDefault="00681AEC" w:rsidP="00681AEC">
      <w:r>
        <w:lastRenderedPageBreak/>
        <w:t xml:space="preserve">We have heard from stakeholders that demand for taxis has not returned to 2019 </w:t>
      </w:r>
      <w:r w:rsidR="00EE529A">
        <w:t xml:space="preserve">(pre-pandemic) </w:t>
      </w:r>
      <w:r>
        <w:t xml:space="preserve">levels. </w:t>
      </w:r>
      <w:r w:rsidR="000A66F3">
        <w:t>This is</w:t>
      </w:r>
      <w:r w:rsidR="00C97B0A">
        <w:t xml:space="preserve"> supported by </w:t>
      </w:r>
      <w:r>
        <w:t xml:space="preserve">Commercial Passenger Vehicle Levy </w:t>
      </w:r>
      <w:r w:rsidR="378542B7">
        <w:t>data</w:t>
      </w:r>
      <w:r w:rsidR="000A66F3">
        <w:t>,</w:t>
      </w:r>
      <w:r>
        <w:t xml:space="preserve"> </w:t>
      </w:r>
      <w:r w:rsidR="000A66F3">
        <w:t>which reveals</w:t>
      </w:r>
      <w:r>
        <w:t xml:space="preserve"> </w:t>
      </w:r>
      <w:r w:rsidR="005A6B97">
        <w:t>the num</w:t>
      </w:r>
      <w:r w:rsidR="00132473">
        <w:t xml:space="preserve">ber of </w:t>
      </w:r>
      <w:r>
        <w:t xml:space="preserve">commercial passenger vehicle trips has not recovered to </w:t>
      </w:r>
      <w:r w:rsidR="7E120CD0">
        <w:t>pre</w:t>
      </w:r>
      <w:r w:rsidR="000F1F81">
        <w:t>-</w:t>
      </w:r>
      <w:r w:rsidR="7E120CD0">
        <w:t>pandemic</w:t>
      </w:r>
      <w:r>
        <w:t xml:space="preserve"> levels.</w:t>
      </w:r>
      <w:r w:rsidR="009B5E1D">
        <w:rPr>
          <w:rStyle w:val="FootnoteReference"/>
        </w:rPr>
        <w:footnoteReference w:id="19"/>
      </w:r>
      <w:r>
        <w:t xml:space="preserve"> </w:t>
      </w:r>
    </w:p>
    <w:p w14:paraId="71D9AC2F" w14:textId="45F29A9A" w:rsidR="00681AEC" w:rsidRDefault="0095734E" w:rsidP="00097FAB">
      <w:r>
        <w:t>Table 1 shows that</w:t>
      </w:r>
      <w:r w:rsidR="00097FAB">
        <w:t>,</w:t>
      </w:r>
      <w:r>
        <w:t xml:space="preserve"> </w:t>
      </w:r>
      <w:r w:rsidR="00097FAB">
        <w:t>a</w:t>
      </w:r>
      <w:r w:rsidR="00681AEC">
        <w:t xml:space="preserve">fter a low in </w:t>
      </w:r>
      <w:r w:rsidR="7E120CD0">
        <w:t>2020</w:t>
      </w:r>
      <w:r w:rsidR="00245636">
        <w:rPr>
          <w:color w:val="000000"/>
          <w:sz w:val="27"/>
          <w:szCs w:val="27"/>
        </w:rPr>
        <w:t>–</w:t>
      </w:r>
      <w:r w:rsidR="7E120CD0">
        <w:t>21</w:t>
      </w:r>
      <w:r w:rsidR="00681AEC">
        <w:t xml:space="preserve"> (due to the coronavirus pandemic), the number of trips </w:t>
      </w:r>
      <w:r w:rsidR="00D0620C">
        <w:t xml:space="preserve">has </w:t>
      </w:r>
      <w:r w:rsidR="00681AEC">
        <w:t>increased every year</w:t>
      </w:r>
      <w:r w:rsidR="00C114F4">
        <w:t xml:space="preserve">. </w:t>
      </w:r>
      <w:r w:rsidR="00681AEC">
        <w:t xml:space="preserve">However, the </w:t>
      </w:r>
      <w:r w:rsidR="7E120CD0">
        <w:t>2022</w:t>
      </w:r>
      <w:r w:rsidR="00956675">
        <w:rPr>
          <w:color w:val="000000"/>
          <w:sz w:val="27"/>
          <w:szCs w:val="27"/>
        </w:rPr>
        <w:t>–</w:t>
      </w:r>
      <w:r w:rsidR="7E120CD0">
        <w:t>23</w:t>
      </w:r>
      <w:r w:rsidR="00681AEC">
        <w:t xml:space="preserve"> figure</w:t>
      </w:r>
      <w:r w:rsidR="008D5CE7">
        <w:t xml:space="preserve"> </w:t>
      </w:r>
      <w:r w:rsidR="00AC1975">
        <w:t>(</w:t>
      </w:r>
      <w:r w:rsidR="0F4CAD73">
        <w:t>which</w:t>
      </w:r>
      <w:r w:rsidR="00681AEC">
        <w:t xml:space="preserve"> is </w:t>
      </w:r>
      <w:r w:rsidR="0F4CAD73">
        <w:t xml:space="preserve">the latest </w:t>
      </w:r>
      <w:r w:rsidR="0FA5E73D">
        <w:t xml:space="preserve">available </w:t>
      </w:r>
      <w:r w:rsidR="00AC1975">
        <w:t>data),</w:t>
      </w:r>
      <w:r w:rsidR="00681AEC">
        <w:t xml:space="preserve"> is still </w:t>
      </w:r>
      <w:r w:rsidR="00C114F4">
        <w:t>13</w:t>
      </w:r>
      <w:r w:rsidR="00715A4D">
        <w:t> per </w:t>
      </w:r>
      <w:r w:rsidR="00681AEC">
        <w:t xml:space="preserve">cent below </w:t>
      </w:r>
      <w:r w:rsidR="7E120CD0">
        <w:t>2019</w:t>
      </w:r>
      <w:r w:rsidR="00956675">
        <w:rPr>
          <w:color w:val="000000"/>
          <w:sz w:val="27"/>
          <w:szCs w:val="27"/>
        </w:rPr>
        <w:t>–</w:t>
      </w:r>
      <w:r w:rsidR="7E120CD0">
        <w:t>20.</w:t>
      </w:r>
    </w:p>
    <w:p w14:paraId="23455141" w14:textId="31EECC05" w:rsidR="00B349CA" w:rsidRDefault="004B5433" w:rsidP="00B349CA">
      <w:pPr>
        <w:pStyle w:val="Figure-Table-BoxHeading"/>
        <w:ind w:left="0" w:firstLine="0"/>
      </w:pPr>
      <w:r w:rsidRPr="007F6932">
        <w:t>Table</w:t>
      </w:r>
      <w:r w:rsidR="00B349CA" w:rsidRPr="007F6932">
        <w:t xml:space="preserve"> 1</w:t>
      </w:r>
      <w:r w:rsidR="00681AEC">
        <w:tab/>
        <w:t>Change in commercial passenger vehicle levy revenue – implied trips</w:t>
      </w:r>
    </w:p>
    <w:tbl>
      <w:tblPr>
        <w:tblStyle w:val="TableGrid"/>
        <w:tblW w:w="0" w:type="auto"/>
        <w:tblLook w:val="04A0" w:firstRow="1" w:lastRow="0" w:firstColumn="1" w:lastColumn="0" w:noHBand="0" w:noVBand="1"/>
      </w:tblPr>
      <w:tblGrid>
        <w:gridCol w:w="1701"/>
        <w:gridCol w:w="2645"/>
        <w:gridCol w:w="2646"/>
        <w:gridCol w:w="2646"/>
      </w:tblGrid>
      <w:tr w:rsidR="005A663C" w14:paraId="55FBC450" w14:textId="77777777" w:rsidTr="005A1F74">
        <w:trPr>
          <w:cnfStyle w:val="100000000000" w:firstRow="1" w:lastRow="0" w:firstColumn="0" w:lastColumn="0" w:oddVBand="0" w:evenVBand="0" w:oddHBand="0" w:evenHBand="0" w:firstRowFirstColumn="0" w:firstRowLastColumn="0" w:lastRowFirstColumn="0" w:lastRowLastColumn="0"/>
        </w:trPr>
        <w:tc>
          <w:tcPr>
            <w:tcW w:w="1701" w:type="dxa"/>
          </w:tcPr>
          <w:p w14:paraId="7C84BA7D" w14:textId="77777777" w:rsidR="005A663C" w:rsidRDefault="005A663C" w:rsidP="005A663C">
            <w:pPr>
              <w:pStyle w:val="TableHeading"/>
            </w:pPr>
          </w:p>
        </w:tc>
        <w:tc>
          <w:tcPr>
            <w:tcW w:w="2645" w:type="dxa"/>
            <w:vAlign w:val="center"/>
          </w:tcPr>
          <w:p w14:paraId="0AF33F28" w14:textId="00B0D77C" w:rsidR="005A663C" w:rsidRDefault="005A663C" w:rsidP="005A1F74">
            <w:pPr>
              <w:pStyle w:val="TableHeading"/>
              <w:ind w:right="113"/>
              <w:jc w:val="right"/>
            </w:pPr>
            <w:r w:rsidRPr="009A7B58">
              <w:t>CPV levy revenue collected ($'000)</w:t>
            </w:r>
          </w:p>
        </w:tc>
        <w:tc>
          <w:tcPr>
            <w:tcW w:w="2646" w:type="dxa"/>
            <w:vAlign w:val="center"/>
          </w:tcPr>
          <w:p w14:paraId="30CA8AD1" w14:textId="1B474DA5" w:rsidR="005A663C" w:rsidRDefault="005A663C" w:rsidP="005A1F74">
            <w:pPr>
              <w:pStyle w:val="TableHeading"/>
              <w:ind w:right="113"/>
              <w:jc w:val="right"/>
            </w:pPr>
            <w:r w:rsidRPr="009A7B58">
              <w:t>CPV levy ($)</w:t>
            </w:r>
          </w:p>
        </w:tc>
        <w:tc>
          <w:tcPr>
            <w:tcW w:w="2646" w:type="dxa"/>
            <w:vAlign w:val="center"/>
          </w:tcPr>
          <w:p w14:paraId="653C50FC" w14:textId="197A831E" w:rsidR="005A663C" w:rsidRDefault="005A663C" w:rsidP="005A1F74">
            <w:pPr>
              <w:pStyle w:val="TableHeading"/>
              <w:ind w:right="113"/>
              <w:jc w:val="right"/>
            </w:pPr>
            <w:r w:rsidRPr="009A7B58">
              <w:t>Number of CPV trips taken ('000)</w:t>
            </w:r>
          </w:p>
        </w:tc>
      </w:tr>
      <w:tr w:rsidR="00072A0D" w14:paraId="51362707" w14:textId="77777777" w:rsidTr="005A1F74">
        <w:trPr>
          <w:cnfStyle w:val="000000100000" w:firstRow="0" w:lastRow="0" w:firstColumn="0" w:lastColumn="0" w:oddVBand="0" w:evenVBand="0" w:oddHBand="1" w:evenHBand="0" w:firstRowFirstColumn="0" w:firstRowLastColumn="0" w:lastRowFirstColumn="0" w:lastRowLastColumn="0"/>
        </w:trPr>
        <w:tc>
          <w:tcPr>
            <w:tcW w:w="1701" w:type="dxa"/>
          </w:tcPr>
          <w:p w14:paraId="36A71910" w14:textId="2D3759F7" w:rsidR="00072A0D" w:rsidRDefault="00072A0D" w:rsidP="00072A0D">
            <w:pPr>
              <w:pStyle w:val="TableBody"/>
            </w:pPr>
            <w:r w:rsidRPr="00B54CB2">
              <w:t>2019</w:t>
            </w:r>
            <w:r w:rsidR="00203693">
              <w:t>–</w:t>
            </w:r>
            <w:r w:rsidRPr="00B54CB2">
              <w:t>20</w:t>
            </w:r>
          </w:p>
        </w:tc>
        <w:tc>
          <w:tcPr>
            <w:tcW w:w="2645" w:type="dxa"/>
            <w:vAlign w:val="center"/>
          </w:tcPr>
          <w:p w14:paraId="43795926" w14:textId="70F13E17" w:rsidR="00072A0D" w:rsidRDefault="00072A0D" w:rsidP="005A1F74">
            <w:pPr>
              <w:pStyle w:val="TableBody"/>
              <w:ind w:right="113"/>
              <w:jc w:val="right"/>
            </w:pPr>
            <w:r w:rsidRPr="00B54CB2">
              <w:t>67</w:t>
            </w:r>
            <w:r w:rsidR="00362F78">
              <w:t>,</w:t>
            </w:r>
            <w:r w:rsidRPr="00B54CB2">
              <w:t>239</w:t>
            </w:r>
          </w:p>
        </w:tc>
        <w:tc>
          <w:tcPr>
            <w:tcW w:w="2646" w:type="dxa"/>
            <w:vAlign w:val="center"/>
          </w:tcPr>
          <w:p w14:paraId="215DD495" w14:textId="36BBDE2B" w:rsidR="00072A0D" w:rsidRDefault="00072A0D" w:rsidP="005A1F74">
            <w:pPr>
              <w:pStyle w:val="TableBody"/>
              <w:ind w:right="113"/>
              <w:jc w:val="right"/>
            </w:pPr>
            <w:r w:rsidRPr="00B54CB2">
              <w:t>1</w:t>
            </w:r>
          </w:p>
        </w:tc>
        <w:tc>
          <w:tcPr>
            <w:tcW w:w="2646" w:type="dxa"/>
            <w:vAlign w:val="center"/>
          </w:tcPr>
          <w:p w14:paraId="27B12070" w14:textId="159B001E" w:rsidR="00072A0D" w:rsidRDefault="00072A0D" w:rsidP="005A1F74">
            <w:pPr>
              <w:pStyle w:val="TableBody"/>
              <w:ind w:right="113"/>
              <w:jc w:val="right"/>
            </w:pPr>
            <w:r w:rsidRPr="00B54CB2">
              <w:t xml:space="preserve">67,239 </w:t>
            </w:r>
          </w:p>
        </w:tc>
      </w:tr>
      <w:tr w:rsidR="00072A0D" w14:paraId="199AC553" w14:textId="77777777" w:rsidTr="005A1F74">
        <w:trPr>
          <w:cnfStyle w:val="000000010000" w:firstRow="0" w:lastRow="0" w:firstColumn="0" w:lastColumn="0" w:oddVBand="0" w:evenVBand="0" w:oddHBand="0" w:evenHBand="1" w:firstRowFirstColumn="0" w:firstRowLastColumn="0" w:lastRowFirstColumn="0" w:lastRowLastColumn="0"/>
        </w:trPr>
        <w:tc>
          <w:tcPr>
            <w:tcW w:w="1701" w:type="dxa"/>
          </w:tcPr>
          <w:p w14:paraId="2584162E" w14:textId="247A8DD7" w:rsidR="00072A0D" w:rsidRDefault="00072A0D" w:rsidP="00072A0D">
            <w:pPr>
              <w:pStyle w:val="TableBody"/>
            </w:pPr>
            <w:r w:rsidRPr="00B54CB2">
              <w:t>2020</w:t>
            </w:r>
            <w:r w:rsidR="00203693">
              <w:t>–</w:t>
            </w:r>
            <w:r w:rsidRPr="00B54CB2">
              <w:t>21</w:t>
            </w:r>
          </w:p>
        </w:tc>
        <w:tc>
          <w:tcPr>
            <w:tcW w:w="2645" w:type="dxa"/>
            <w:vAlign w:val="center"/>
          </w:tcPr>
          <w:p w14:paraId="5753A5FF" w14:textId="08F7FB81" w:rsidR="00072A0D" w:rsidRDefault="00072A0D" w:rsidP="005A1F74">
            <w:pPr>
              <w:pStyle w:val="TableBody"/>
              <w:ind w:right="113"/>
              <w:jc w:val="right"/>
            </w:pPr>
            <w:r w:rsidRPr="00B54CB2">
              <w:t>26</w:t>
            </w:r>
            <w:r w:rsidR="00362F78">
              <w:t>,</w:t>
            </w:r>
            <w:r w:rsidRPr="00B54CB2">
              <w:t>971</w:t>
            </w:r>
          </w:p>
        </w:tc>
        <w:tc>
          <w:tcPr>
            <w:tcW w:w="2646" w:type="dxa"/>
            <w:vAlign w:val="center"/>
          </w:tcPr>
          <w:p w14:paraId="3F1405D2" w14:textId="0CFA2140" w:rsidR="00072A0D" w:rsidRDefault="00072A0D" w:rsidP="005A1F74">
            <w:pPr>
              <w:pStyle w:val="TableBody"/>
              <w:ind w:right="113"/>
              <w:jc w:val="right"/>
            </w:pPr>
            <w:r w:rsidRPr="00B54CB2">
              <w:t>1</w:t>
            </w:r>
          </w:p>
        </w:tc>
        <w:tc>
          <w:tcPr>
            <w:tcW w:w="2646" w:type="dxa"/>
            <w:vAlign w:val="center"/>
          </w:tcPr>
          <w:p w14:paraId="7E302F7D" w14:textId="3E283358" w:rsidR="00072A0D" w:rsidRDefault="00072A0D" w:rsidP="005A1F74">
            <w:pPr>
              <w:pStyle w:val="TableBody"/>
              <w:ind w:right="113"/>
              <w:jc w:val="right"/>
            </w:pPr>
            <w:r w:rsidRPr="00B54CB2">
              <w:t xml:space="preserve">26,971 </w:t>
            </w:r>
          </w:p>
        </w:tc>
      </w:tr>
      <w:tr w:rsidR="00072A0D" w14:paraId="0236F754" w14:textId="77777777" w:rsidTr="005A1F74">
        <w:trPr>
          <w:cnfStyle w:val="000000100000" w:firstRow="0" w:lastRow="0" w:firstColumn="0" w:lastColumn="0" w:oddVBand="0" w:evenVBand="0" w:oddHBand="1" w:evenHBand="0" w:firstRowFirstColumn="0" w:firstRowLastColumn="0" w:lastRowFirstColumn="0" w:lastRowLastColumn="0"/>
        </w:trPr>
        <w:tc>
          <w:tcPr>
            <w:tcW w:w="1701" w:type="dxa"/>
          </w:tcPr>
          <w:p w14:paraId="6190BED1" w14:textId="43E942A2" w:rsidR="00072A0D" w:rsidRDefault="00072A0D" w:rsidP="00072A0D">
            <w:pPr>
              <w:pStyle w:val="TableBody"/>
            </w:pPr>
            <w:r w:rsidRPr="00B54CB2">
              <w:t>2021</w:t>
            </w:r>
            <w:r w:rsidR="00203693">
              <w:t>–</w:t>
            </w:r>
            <w:r w:rsidRPr="00B54CB2">
              <w:t>22</w:t>
            </w:r>
          </w:p>
        </w:tc>
        <w:tc>
          <w:tcPr>
            <w:tcW w:w="2645" w:type="dxa"/>
            <w:vAlign w:val="center"/>
          </w:tcPr>
          <w:p w14:paraId="08F54493" w14:textId="6178291D" w:rsidR="00072A0D" w:rsidRDefault="00072A0D" w:rsidP="005A1F74">
            <w:pPr>
              <w:pStyle w:val="TableBody"/>
              <w:ind w:right="113"/>
              <w:jc w:val="right"/>
            </w:pPr>
            <w:r w:rsidRPr="00B54CB2">
              <w:t>44</w:t>
            </w:r>
            <w:r w:rsidR="00362F78">
              <w:t>,</w:t>
            </w:r>
            <w:r w:rsidRPr="00B54CB2">
              <w:t>981</w:t>
            </w:r>
          </w:p>
        </w:tc>
        <w:tc>
          <w:tcPr>
            <w:tcW w:w="2646" w:type="dxa"/>
            <w:vAlign w:val="center"/>
          </w:tcPr>
          <w:p w14:paraId="44547D6A" w14:textId="191B44DA" w:rsidR="00072A0D" w:rsidRDefault="00072A0D" w:rsidP="005A1F74">
            <w:pPr>
              <w:pStyle w:val="TableBody"/>
              <w:ind w:right="113"/>
              <w:jc w:val="right"/>
            </w:pPr>
            <w:r w:rsidRPr="00B54CB2">
              <w:t>1.05</w:t>
            </w:r>
          </w:p>
        </w:tc>
        <w:tc>
          <w:tcPr>
            <w:tcW w:w="2646" w:type="dxa"/>
            <w:vAlign w:val="center"/>
          </w:tcPr>
          <w:p w14:paraId="785C2651" w14:textId="06B2F6B3" w:rsidR="00072A0D" w:rsidRDefault="00072A0D" w:rsidP="005A1F74">
            <w:pPr>
              <w:pStyle w:val="TableBody"/>
              <w:ind w:right="113"/>
              <w:jc w:val="right"/>
            </w:pPr>
            <w:r w:rsidRPr="00B54CB2">
              <w:t xml:space="preserve">42,839 </w:t>
            </w:r>
          </w:p>
        </w:tc>
      </w:tr>
      <w:tr w:rsidR="00072A0D" w14:paraId="238793C0" w14:textId="77777777" w:rsidTr="005A1F74">
        <w:trPr>
          <w:cnfStyle w:val="000000010000" w:firstRow="0" w:lastRow="0" w:firstColumn="0" w:lastColumn="0" w:oddVBand="0" w:evenVBand="0" w:oddHBand="0" w:evenHBand="1" w:firstRowFirstColumn="0" w:firstRowLastColumn="0" w:lastRowFirstColumn="0" w:lastRowLastColumn="0"/>
        </w:trPr>
        <w:tc>
          <w:tcPr>
            <w:tcW w:w="1701" w:type="dxa"/>
          </w:tcPr>
          <w:p w14:paraId="11BAF569" w14:textId="099C4C4B" w:rsidR="00072A0D" w:rsidRDefault="00072A0D" w:rsidP="00072A0D">
            <w:pPr>
              <w:pStyle w:val="TableBody"/>
            </w:pPr>
            <w:r w:rsidRPr="00B54CB2">
              <w:t>2022</w:t>
            </w:r>
            <w:r w:rsidR="00203693">
              <w:t>–</w:t>
            </w:r>
            <w:r w:rsidRPr="00B54CB2">
              <w:t>23</w:t>
            </w:r>
          </w:p>
        </w:tc>
        <w:tc>
          <w:tcPr>
            <w:tcW w:w="2645" w:type="dxa"/>
            <w:vAlign w:val="center"/>
          </w:tcPr>
          <w:p w14:paraId="4C6570D9" w14:textId="4A8613BA" w:rsidR="00072A0D" w:rsidRDefault="00072A0D" w:rsidP="005A1F74">
            <w:pPr>
              <w:pStyle w:val="TableBody"/>
              <w:ind w:right="113"/>
              <w:jc w:val="right"/>
            </w:pPr>
            <w:r w:rsidRPr="00B54CB2">
              <w:t>61</w:t>
            </w:r>
            <w:r w:rsidR="00362F78">
              <w:t>,</w:t>
            </w:r>
            <w:r w:rsidRPr="00B54CB2">
              <w:t>119</w:t>
            </w:r>
          </w:p>
        </w:tc>
        <w:tc>
          <w:tcPr>
            <w:tcW w:w="2646" w:type="dxa"/>
            <w:vAlign w:val="center"/>
          </w:tcPr>
          <w:p w14:paraId="6AA70C0C" w14:textId="6EEFE0BC" w:rsidR="00072A0D" w:rsidRDefault="00072A0D" w:rsidP="005A1F74">
            <w:pPr>
              <w:pStyle w:val="TableBody"/>
              <w:ind w:right="113"/>
              <w:jc w:val="right"/>
            </w:pPr>
            <w:r w:rsidRPr="00B54CB2">
              <w:t>1.05</w:t>
            </w:r>
          </w:p>
        </w:tc>
        <w:tc>
          <w:tcPr>
            <w:tcW w:w="2646" w:type="dxa"/>
            <w:vAlign w:val="center"/>
          </w:tcPr>
          <w:p w14:paraId="258612AF" w14:textId="49F3A788" w:rsidR="00072A0D" w:rsidRDefault="00072A0D" w:rsidP="005A1F74">
            <w:pPr>
              <w:pStyle w:val="TableBody"/>
              <w:ind w:right="113"/>
              <w:jc w:val="right"/>
            </w:pPr>
            <w:r w:rsidRPr="00B54CB2">
              <w:t xml:space="preserve">58,209 </w:t>
            </w:r>
          </w:p>
        </w:tc>
      </w:tr>
    </w:tbl>
    <w:p w14:paraId="460D0B88" w14:textId="68CE7C4C" w:rsidR="00435FC2" w:rsidRDefault="00435FC2" w:rsidP="00B66E0A">
      <w:pPr>
        <w:pStyle w:val="Source"/>
        <w:jc w:val="left"/>
      </w:pPr>
      <w:r w:rsidRPr="00050C51">
        <w:rPr>
          <w:b/>
          <w:bCs/>
        </w:rPr>
        <w:t xml:space="preserve">Source: </w:t>
      </w:r>
      <w:r w:rsidR="009C6452" w:rsidRPr="009343E4">
        <w:t xml:space="preserve">Essential Services Commission analysis of SRO reported </w:t>
      </w:r>
      <w:r w:rsidR="00B66E0A" w:rsidRPr="009343E4">
        <w:t>commercial passenger vehicle levy revenue.</w:t>
      </w:r>
      <w:r w:rsidR="00B66E0A">
        <w:rPr>
          <w:b/>
          <w:bCs/>
        </w:rPr>
        <w:t xml:space="preserve"> </w:t>
      </w:r>
    </w:p>
    <w:p w14:paraId="7FC97719" w14:textId="09D69189" w:rsidR="00DD36FE" w:rsidRDefault="00DD36FE" w:rsidP="00641748">
      <w:pPr>
        <w:keepLines/>
      </w:pPr>
      <w:r>
        <w:t xml:space="preserve">Submissions </w:t>
      </w:r>
      <w:r w:rsidR="00C36E70">
        <w:t>alerted us to</w:t>
      </w:r>
      <w:r>
        <w:t xml:space="preserve"> increased work from home arrangements and declines in international tourism</w:t>
      </w:r>
      <w:r w:rsidR="006B5F33">
        <w:t>, which</w:t>
      </w:r>
      <w:r>
        <w:t xml:space="preserve"> mean that the types of trips have changed. We observe that taxi volumes at Melbourne Airport are 34</w:t>
      </w:r>
      <w:r w:rsidR="00715A4D">
        <w:t> per </w:t>
      </w:r>
      <w:r>
        <w:t>cent lower in 2022</w:t>
      </w:r>
      <w:r w:rsidR="00C83526">
        <w:t>‍–‍</w:t>
      </w:r>
      <w:r>
        <w:t>23 than 2019–20.</w:t>
      </w:r>
      <w:r w:rsidR="00171621">
        <w:rPr>
          <w:rStyle w:val="FootnoteReference"/>
        </w:rPr>
        <w:footnoteReference w:id="20"/>
      </w:r>
      <w:r>
        <w:t xml:space="preserve"> However</w:t>
      </w:r>
      <w:r w:rsidR="00062008">
        <w:t>,</w:t>
      </w:r>
      <w:r>
        <w:t xml:space="preserve"> this partly reflects </w:t>
      </w:r>
      <w:r w:rsidR="008D321B">
        <w:t xml:space="preserve">a 65 per cent </w:t>
      </w:r>
      <w:r>
        <w:t xml:space="preserve">increase </w:t>
      </w:r>
      <w:r w:rsidR="008D321B">
        <w:t>i</w:t>
      </w:r>
      <w:r w:rsidR="001F5F40">
        <w:t>n</w:t>
      </w:r>
      <w:r w:rsidR="00692398">
        <w:t xml:space="preserve"> the</w:t>
      </w:r>
      <w:r>
        <w:t xml:space="preserve"> use of rideshare at the airport over the same period</w:t>
      </w:r>
      <w:r w:rsidR="00090665">
        <w:t xml:space="preserve">, pointing to heightened </w:t>
      </w:r>
      <w:r w:rsidR="00974CC3">
        <w:t>competition.</w:t>
      </w:r>
      <w:r>
        <w:t xml:space="preserve"> </w:t>
      </w:r>
    </w:p>
    <w:p w14:paraId="6EEAF257" w14:textId="77777777" w:rsidR="00DD36FE" w:rsidRDefault="00DD36FE" w:rsidP="00DD36FE">
      <w:pPr>
        <w:pStyle w:val="Heading3"/>
      </w:pPr>
      <w:bookmarkStart w:id="59" w:name="_Toc166678840"/>
      <w:bookmarkStart w:id="60" w:name="_Toc167345795"/>
      <w:bookmarkStart w:id="61" w:name="_Toc167346489"/>
      <w:bookmarkStart w:id="62" w:name="_Toc167780284"/>
      <w:bookmarkStart w:id="63" w:name="_Toc173691371"/>
      <w:bookmarkStart w:id="64" w:name="_Toc174692651"/>
      <w:r>
        <w:t>Consumer spending behaviour and the payment system</w:t>
      </w:r>
      <w:bookmarkEnd w:id="59"/>
      <w:bookmarkEnd w:id="60"/>
      <w:bookmarkEnd w:id="61"/>
      <w:bookmarkEnd w:id="62"/>
      <w:bookmarkEnd w:id="63"/>
      <w:bookmarkEnd w:id="64"/>
    </w:p>
    <w:p w14:paraId="465FE1FA" w14:textId="29255642" w:rsidR="00DD36FE" w:rsidRDefault="00DD36FE" w:rsidP="00DD36FE">
      <w:r>
        <w:t xml:space="preserve">In the payments industry, there have been some </w:t>
      </w:r>
      <w:r w:rsidDel="00DD36FE">
        <w:t>notable</w:t>
      </w:r>
      <w:r>
        <w:t xml:space="preserve"> changes to consumer and merchant behaviours:</w:t>
      </w:r>
    </w:p>
    <w:p w14:paraId="676CFCB9" w14:textId="3E77CFC4" w:rsidR="00DD36FE" w:rsidRDefault="00E46414" w:rsidP="00DD36FE">
      <w:pPr>
        <w:pStyle w:val="ListBullet"/>
      </w:pPr>
      <w:r>
        <w:t>T</w:t>
      </w:r>
      <w:r w:rsidR="00DD36FE">
        <w:t xml:space="preserve">he proportion of cash transactions continues to decline, </w:t>
      </w:r>
      <w:r w:rsidR="00BD6D6A">
        <w:t xml:space="preserve">going </w:t>
      </w:r>
      <w:r w:rsidR="00DD36FE">
        <w:t xml:space="preserve">from 27 </w:t>
      </w:r>
      <w:r w:rsidR="007C1762">
        <w:t xml:space="preserve">per cent </w:t>
      </w:r>
      <w:r w:rsidR="00DD36FE">
        <w:t>to 13</w:t>
      </w:r>
      <w:r w:rsidR="00715A4D">
        <w:t> per </w:t>
      </w:r>
      <w:r w:rsidR="00DD36FE">
        <w:t>cent between 2019 and 2022.</w:t>
      </w:r>
      <w:r w:rsidR="00520F1E">
        <w:rPr>
          <w:rStyle w:val="FootnoteReference"/>
        </w:rPr>
        <w:footnoteReference w:id="21"/>
      </w:r>
      <w:r w:rsidR="00DD36FE">
        <w:t xml:space="preserve">  </w:t>
      </w:r>
    </w:p>
    <w:p w14:paraId="5B283B4B" w14:textId="792B42C6" w:rsidR="00DD36FE" w:rsidRDefault="00E46414" w:rsidP="00DD36FE">
      <w:pPr>
        <w:pStyle w:val="ListBullet"/>
      </w:pPr>
      <w:r>
        <w:t>C</w:t>
      </w:r>
      <w:r w:rsidR="00DD36FE">
        <w:t>ard payments continue to increase, as technology improvements such as tap</w:t>
      </w:r>
      <w:r w:rsidR="00742012">
        <w:t xml:space="preserve"> </w:t>
      </w:r>
      <w:r w:rsidR="00DD36FE">
        <w:t>to</w:t>
      </w:r>
      <w:r w:rsidR="00742012">
        <w:t xml:space="preserve"> </w:t>
      </w:r>
      <w:r w:rsidR="00DD36FE">
        <w:t xml:space="preserve">pay and mobile wallets increase the opportunities for consumers to pay </w:t>
      </w:r>
      <w:r w:rsidR="009368BE">
        <w:t xml:space="preserve">using </w:t>
      </w:r>
      <w:r w:rsidR="00DD36FE">
        <w:t>non</w:t>
      </w:r>
      <w:r w:rsidR="00715A4D">
        <w:noBreakHyphen/>
      </w:r>
      <w:r w:rsidR="00DD36FE">
        <w:t xml:space="preserve">cash </w:t>
      </w:r>
      <w:r w:rsidR="5BF2A19A">
        <w:t>means</w:t>
      </w:r>
      <w:r w:rsidR="00DD36FE">
        <w:t>.</w:t>
      </w:r>
    </w:p>
    <w:p w14:paraId="31779047" w14:textId="207ADC48" w:rsidR="00DD36FE" w:rsidRDefault="00E46414" w:rsidP="00DD36FE">
      <w:pPr>
        <w:pStyle w:val="ListBullet"/>
      </w:pPr>
      <w:r>
        <w:lastRenderedPageBreak/>
        <w:t>B</w:t>
      </w:r>
      <w:r w:rsidR="00DD36FE">
        <w:t xml:space="preserve">usinesses across the economy are increasingly surcharging, with card payments incurring surcharges increasing from 4.7 </w:t>
      </w:r>
      <w:r>
        <w:t xml:space="preserve">per cent </w:t>
      </w:r>
      <w:r w:rsidR="00DD36FE">
        <w:t>to 7.3</w:t>
      </w:r>
      <w:r w:rsidR="00715A4D">
        <w:t> per </w:t>
      </w:r>
      <w:r w:rsidR="00DD36FE">
        <w:t>cent between 2019 and 2022.</w:t>
      </w:r>
      <w:r w:rsidR="00142691">
        <w:rPr>
          <w:rStyle w:val="FootnoteReference"/>
        </w:rPr>
        <w:footnoteReference w:id="22"/>
      </w:r>
    </w:p>
    <w:p w14:paraId="0AE95692" w14:textId="369C3990" w:rsidR="009E2010" w:rsidRDefault="009E2010" w:rsidP="006E6152">
      <w:pPr>
        <w:pStyle w:val="Heading4"/>
      </w:pPr>
      <w:r>
        <w:t>Technological developments</w:t>
      </w:r>
    </w:p>
    <w:p w14:paraId="4616F2DA" w14:textId="77777777" w:rsidR="00704B82" w:rsidRDefault="00DD36FE" w:rsidP="00DD36FE">
      <w:r>
        <w:t>Card schemes have introduced tap</w:t>
      </w:r>
      <w:r w:rsidR="00081FD8">
        <w:t xml:space="preserve"> t</w:t>
      </w:r>
      <w:r>
        <w:t>o</w:t>
      </w:r>
      <w:r w:rsidR="00081FD8">
        <w:t xml:space="preserve"> </w:t>
      </w:r>
      <w:r>
        <w:t>phone protocols which enable payment processors to offer tap</w:t>
      </w:r>
      <w:r w:rsidR="00081FD8">
        <w:t xml:space="preserve"> </w:t>
      </w:r>
      <w:r>
        <w:t>to</w:t>
      </w:r>
      <w:r w:rsidR="00081FD8">
        <w:t xml:space="preserve"> </w:t>
      </w:r>
      <w:r>
        <w:t>phone services to merchants. This means merchants can use their own smartphones as payment terminals and do not need to pay fees for terminals.</w:t>
      </w:r>
      <w:r w:rsidR="00397B6E">
        <w:rPr>
          <w:rStyle w:val="FootnoteReference"/>
        </w:rPr>
        <w:footnoteReference w:id="23"/>
      </w:r>
      <w:r>
        <w:t xml:space="preserve"> </w:t>
      </w:r>
    </w:p>
    <w:p w14:paraId="52E6BA13" w14:textId="64540F16" w:rsidR="00DD36FE" w:rsidRDefault="00FC5D02" w:rsidP="00DD36FE">
      <w:r>
        <w:rPr>
          <w:rStyle w:val="ui-provider"/>
        </w:rPr>
        <w:t>While tap to phone and other mobile payment services (mPOS terminals) could be used in the taxi industry, we have heard that driver take-up of these options remains low</w:t>
      </w:r>
      <w:r w:rsidR="00A22016">
        <w:rPr>
          <w:rStyle w:val="ui-provider"/>
        </w:rPr>
        <w:t>.</w:t>
      </w:r>
      <w:r w:rsidR="00A22016">
        <w:rPr>
          <w:rStyle w:val="FootnoteReference"/>
        </w:rPr>
        <w:footnoteReference w:id="24"/>
      </w:r>
      <w:r w:rsidR="00A22016">
        <w:rPr>
          <w:rStyle w:val="ui-provider"/>
        </w:rPr>
        <w:t xml:space="preserve"> </w:t>
      </w:r>
      <w:r w:rsidR="00186E11" w:rsidRPr="00186E11">
        <w:t>Due to the relatively low driver take up of mPOS terminals, on this occasion we have chosen to focus our benchmarking on the more universally used EFTPOS terminals, rather than mPOS terminals</w:t>
      </w:r>
      <w:r w:rsidR="005E3B61">
        <w:rPr>
          <w:rStyle w:val="ui-provider"/>
        </w:rPr>
        <w:t xml:space="preserve">. </w:t>
      </w:r>
    </w:p>
    <w:p w14:paraId="787D5346" w14:textId="498C3D50" w:rsidR="00DD36FE" w:rsidRDefault="00B22157" w:rsidP="00DD36FE">
      <w:r>
        <w:t>Some taxi terminals which rely on 3G network connectivity will need to be replaced</w:t>
      </w:r>
      <w:r w:rsidR="00CE29D0">
        <w:t xml:space="preserve"> due to the 3G network being shut down. </w:t>
      </w:r>
      <w:r w:rsidR="006A1D90">
        <w:t xml:space="preserve">We heard taxi payment processors are using the </w:t>
      </w:r>
      <w:r w:rsidR="003C0A22">
        <w:t>network shutdown</w:t>
      </w:r>
      <w:r w:rsidR="006A1D90">
        <w:t xml:space="preserve"> as an opportunity to </w:t>
      </w:r>
      <w:r w:rsidR="0055555F">
        <w:t>upgrade terminals</w:t>
      </w:r>
      <w:r w:rsidR="00057B30">
        <w:t xml:space="preserve">, including </w:t>
      </w:r>
      <w:r w:rsidR="003130B3">
        <w:t xml:space="preserve">the integration of terminals </w:t>
      </w:r>
      <w:r w:rsidR="00F0624D">
        <w:t xml:space="preserve">with </w:t>
      </w:r>
      <w:r w:rsidR="00481A69">
        <w:t>taximeters</w:t>
      </w:r>
      <w:r w:rsidR="00722420">
        <w:t>,</w:t>
      </w:r>
      <w:r w:rsidR="00481A69">
        <w:t xml:space="preserve"> booking/dispatch systems</w:t>
      </w:r>
      <w:r w:rsidR="00722420">
        <w:t xml:space="preserve"> and </w:t>
      </w:r>
      <w:r w:rsidR="00211F21">
        <w:t xml:space="preserve">improved </w:t>
      </w:r>
      <w:r w:rsidR="00722420">
        <w:t>data collection functions</w:t>
      </w:r>
      <w:r w:rsidR="00481A69">
        <w:t xml:space="preserve">. </w:t>
      </w:r>
    </w:p>
    <w:p w14:paraId="7AF0A59A" w14:textId="0E134835" w:rsidR="00DD36FE" w:rsidRDefault="00DD36FE" w:rsidP="00DD36FE">
      <w:pPr>
        <w:pStyle w:val="Heading2"/>
      </w:pPr>
      <w:bookmarkStart w:id="65" w:name="_Toc174692652"/>
      <w:r>
        <w:t xml:space="preserve">How we </w:t>
      </w:r>
      <w:r w:rsidR="00BD735E">
        <w:t xml:space="preserve">conducted this </w:t>
      </w:r>
      <w:r>
        <w:t>review</w:t>
      </w:r>
      <w:bookmarkEnd w:id="65"/>
    </w:p>
    <w:p w14:paraId="1EC2CABA" w14:textId="30DE2A8F" w:rsidR="00DD36FE" w:rsidRDefault="00DD36FE" w:rsidP="00DD36FE">
      <w:r>
        <w:t xml:space="preserve">We are required to complete a review of the </w:t>
      </w:r>
      <w:r w:rsidR="004216A5">
        <w:t>maximum unbooked taxi fare</w:t>
      </w:r>
      <w:r w:rsidR="000642F4">
        <w:t>s</w:t>
      </w:r>
      <w:r w:rsidR="004216A5">
        <w:t xml:space="preserve"> and non-cash payment surcharges </w:t>
      </w:r>
      <w:r>
        <w:t xml:space="preserve">determinations </w:t>
      </w:r>
      <w:r w:rsidR="49EEE75B">
        <w:t xml:space="preserve">every </w:t>
      </w:r>
      <w:r>
        <w:t xml:space="preserve">two years. </w:t>
      </w:r>
      <w:r w:rsidR="005E1E5B">
        <w:t>In the past</w:t>
      </w:r>
      <w:r w:rsidR="00356D45">
        <w:t>,</w:t>
      </w:r>
      <w:r w:rsidR="005E1E5B">
        <w:t xml:space="preserve"> we conducted these reviews separately. However, as our previous determinations were made on the same date (31 August 2022)</w:t>
      </w:r>
      <w:r w:rsidR="007A2971">
        <w:t xml:space="preserve">, we conducted </w:t>
      </w:r>
      <w:r w:rsidR="006946FA">
        <w:t>this</w:t>
      </w:r>
      <w:r w:rsidR="007A2971">
        <w:t xml:space="preserve"> review on both topics concurrently. </w:t>
      </w:r>
    </w:p>
    <w:p w14:paraId="31E7F559" w14:textId="4CAD489C" w:rsidR="00DD36FE" w:rsidRDefault="00DD36FE" w:rsidP="00DD36FE">
      <w:r>
        <w:t xml:space="preserve">We released a </w:t>
      </w:r>
      <w:hyperlink r:id="rId21" w:history="1">
        <w:r w:rsidRPr="0007422B">
          <w:rPr>
            <w:rStyle w:val="Hyperlink"/>
          </w:rPr>
          <w:t>consultation paper</w:t>
        </w:r>
      </w:hyperlink>
      <w:r>
        <w:t xml:space="preserve"> in October 2023 which set out our approach to the review</w:t>
      </w:r>
      <w:r w:rsidR="00DA67DA">
        <w:t xml:space="preserve"> and invited feedback from stakeholders</w:t>
      </w:r>
      <w:r>
        <w:t>.</w:t>
      </w:r>
      <w:r w:rsidR="00BC397C">
        <w:rPr>
          <w:rStyle w:val="FootnoteReference"/>
        </w:rPr>
        <w:footnoteReference w:id="25"/>
      </w:r>
      <w:r>
        <w:t xml:space="preserve"> We received 14 submissions, 6 of which were confidential.</w:t>
      </w:r>
    </w:p>
    <w:p w14:paraId="2ABC1E84" w14:textId="701F5E63" w:rsidR="00DD36FE" w:rsidRDefault="00DD36FE" w:rsidP="00DD36FE">
      <w:r>
        <w:t>We also held one</w:t>
      </w:r>
      <w:r w:rsidR="00715A4D">
        <w:noBreakHyphen/>
      </w:r>
      <w:r>
        <w:t>on</w:t>
      </w:r>
      <w:r w:rsidR="00715A4D">
        <w:noBreakHyphen/>
      </w:r>
      <w:r>
        <w:t xml:space="preserve">one meetings with taxi payment </w:t>
      </w:r>
      <w:r w:rsidR="00B90436">
        <w:t>processors</w:t>
      </w:r>
      <w:r>
        <w:t>, booking service providers and government agencies.</w:t>
      </w:r>
    </w:p>
    <w:p w14:paraId="5004E9AA" w14:textId="1ACFE08B" w:rsidR="003D5E7E" w:rsidRDefault="003D5E7E" w:rsidP="00DD36FE">
      <w:r>
        <w:lastRenderedPageBreak/>
        <w:t xml:space="preserve">In June 2024, we released </w:t>
      </w:r>
      <w:r w:rsidR="00704B82">
        <w:t>a</w:t>
      </w:r>
      <w:r>
        <w:t xml:space="preserve"> draft decision and invited submissions from stakeholders. We received </w:t>
      </w:r>
      <w:r w:rsidR="009D182E">
        <w:t>9 submissions, 1 of which was confidential</w:t>
      </w:r>
      <w:r w:rsidR="00726C05">
        <w:t xml:space="preserve"> (see </w:t>
      </w:r>
      <w:hyperlink w:anchor="_Appendix_B:_Stakeholder" w:history="1">
        <w:r w:rsidR="00726C05" w:rsidRPr="009B424C">
          <w:rPr>
            <w:rStyle w:val="Hyperlink"/>
          </w:rPr>
          <w:t xml:space="preserve">Appendix </w:t>
        </w:r>
        <w:r w:rsidR="00901E46" w:rsidRPr="009B424C">
          <w:rPr>
            <w:rStyle w:val="Hyperlink"/>
          </w:rPr>
          <w:t>B</w:t>
        </w:r>
      </w:hyperlink>
      <w:r w:rsidR="00726C05">
        <w:t xml:space="preserve"> </w:t>
      </w:r>
      <w:r w:rsidR="00784E9B">
        <w:t>for a list of submissions on our draft decision)</w:t>
      </w:r>
      <w:r w:rsidR="009D182E">
        <w:t xml:space="preserve">. </w:t>
      </w:r>
    </w:p>
    <w:p w14:paraId="68A78A88" w14:textId="660868E1" w:rsidR="009D182E" w:rsidRDefault="009D182E" w:rsidP="00DD36FE">
      <w:r>
        <w:t xml:space="preserve">This paper sets out our </w:t>
      </w:r>
      <w:r w:rsidR="00BD735E">
        <w:t>final</w:t>
      </w:r>
      <w:r>
        <w:t xml:space="preserve"> decision. We have </w:t>
      </w:r>
      <w:r w:rsidR="00BD735E">
        <w:t>made</w:t>
      </w:r>
      <w:r>
        <w:t xml:space="preserve"> </w:t>
      </w:r>
      <w:r w:rsidR="00BD735E">
        <w:t xml:space="preserve">separate </w:t>
      </w:r>
      <w:r>
        <w:t xml:space="preserve">price determinations </w:t>
      </w:r>
      <w:r w:rsidR="008351EA">
        <w:t>for each topic</w:t>
      </w:r>
      <w:r w:rsidR="00F826E3">
        <w:t xml:space="preserve"> to replace the </w:t>
      </w:r>
      <w:r w:rsidR="00FE08E4">
        <w:t>existing determinations</w:t>
      </w:r>
      <w:r w:rsidR="008351EA">
        <w:t>.</w:t>
      </w:r>
    </w:p>
    <w:p w14:paraId="66856CD8" w14:textId="77777777" w:rsidR="00B503C2" w:rsidRPr="00B503C2" w:rsidRDefault="00B503C2" w:rsidP="00B503C2">
      <w:pPr>
        <w:sectPr w:rsidR="00B503C2" w:rsidRPr="00B503C2" w:rsidSect="0053218D">
          <w:footerReference w:type="default" r:id="rId22"/>
          <w:pgSz w:w="11906" w:h="16838" w:code="9"/>
          <w:pgMar w:top="1134" w:right="1134" w:bottom="1134" w:left="1134" w:header="709" w:footer="692" w:gutter="0"/>
          <w:pgNumType w:start="1"/>
          <w:cols w:space="708"/>
          <w:docGrid w:linePitch="360"/>
        </w:sectPr>
      </w:pPr>
    </w:p>
    <w:p w14:paraId="27AD834C" w14:textId="77777777" w:rsidR="00B503C2" w:rsidRDefault="00B503C2" w:rsidP="00B503C2"/>
    <w:p w14:paraId="4692B281" w14:textId="3919B225" w:rsidR="00563AD8" w:rsidRDefault="005C281C" w:rsidP="007019B3">
      <w:pPr>
        <w:pStyle w:val="Heading1numbered"/>
      </w:pPr>
      <w:bookmarkStart w:id="66" w:name="_Unbooked_taxi_fares"/>
      <w:bookmarkStart w:id="67" w:name="_Toc174692653"/>
      <w:bookmarkEnd w:id="66"/>
      <w:r>
        <w:lastRenderedPageBreak/>
        <w:t>Unbooked taxi fare</w:t>
      </w:r>
      <w:r w:rsidR="00563AD8">
        <w:t>s</w:t>
      </w:r>
      <w:bookmarkEnd w:id="67"/>
    </w:p>
    <w:p w14:paraId="3FE5CB9A" w14:textId="687D97E6" w:rsidR="00F13E83" w:rsidRDefault="00F13E83" w:rsidP="00813A6F">
      <w:pPr>
        <w:pStyle w:val="Pull-out"/>
      </w:pPr>
      <w:r>
        <w:t xml:space="preserve">Our </w:t>
      </w:r>
      <w:r w:rsidR="00F54AC3">
        <w:t>final</w:t>
      </w:r>
      <w:r>
        <w:t xml:space="preserve"> decision is to:</w:t>
      </w:r>
    </w:p>
    <w:p w14:paraId="6DC0B7A5" w14:textId="3C8D3A31" w:rsidR="00F13E83" w:rsidRPr="003141D2" w:rsidRDefault="00F13E83" w:rsidP="00813A6F">
      <w:pPr>
        <w:pStyle w:val="Pull-outBullet1"/>
      </w:pPr>
      <w:r w:rsidRPr="00F33F20">
        <w:t>increase</w:t>
      </w:r>
      <w:r>
        <w:t xml:space="preserve"> maximum fares for unbooked taxi trips that begin in the Melbourne Metropolitan, Urban and Large Regional </w:t>
      </w:r>
      <w:r w:rsidRPr="003141D2">
        <w:t xml:space="preserve">Zones by </w:t>
      </w:r>
      <w:r w:rsidR="00F33F20" w:rsidRPr="003141D2">
        <w:t>5.</w:t>
      </w:r>
      <w:r w:rsidR="00CA4D51" w:rsidRPr="003141D2">
        <w:t>5 </w:t>
      </w:r>
      <w:r w:rsidR="008E0807" w:rsidRPr="003141D2">
        <w:t>per </w:t>
      </w:r>
      <w:r w:rsidRPr="003141D2">
        <w:t xml:space="preserve">cent </w:t>
      </w:r>
    </w:p>
    <w:p w14:paraId="155239F1" w14:textId="15279375" w:rsidR="00F13E83" w:rsidRDefault="00F13E83" w:rsidP="00813A6F">
      <w:pPr>
        <w:pStyle w:val="Pull-outBullet1"/>
      </w:pPr>
      <w:r w:rsidRPr="003141D2">
        <w:t xml:space="preserve">increase the high occupancy fee and charges by </w:t>
      </w:r>
      <w:r w:rsidR="00F33F20" w:rsidRPr="003141D2">
        <w:t>6.</w:t>
      </w:r>
      <w:r w:rsidR="00CA4D51" w:rsidRPr="003141D2">
        <w:t>2</w:t>
      </w:r>
      <w:r w:rsidR="00CA4D51">
        <w:t> </w:t>
      </w:r>
      <w:r w:rsidR="008E0807">
        <w:t>per </w:t>
      </w:r>
      <w:r>
        <w:t>cent</w:t>
      </w:r>
    </w:p>
    <w:p w14:paraId="0E8595EA" w14:textId="32804F14" w:rsidR="00F13E83" w:rsidRDefault="00F13E83" w:rsidP="00813A6F">
      <w:pPr>
        <w:pStyle w:val="Pull-outBullet1"/>
      </w:pPr>
      <w:r>
        <w:t xml:space="preserve">keep the fare structures unchanged </w:t>
      </w:r>
    </w:p>
    <w:p w14:paraId="35D4F0CC" w14:textId="283DC438" w:rsidR="00F13E83" w:rsidRDefault="00D70C99" w:rsidP="00813A6F">
      <w:pPr>
        <w:pStyle w:val="Pull-outBullet1"/>
      </w:pPr>
      <w:r>
        <w:t xml:space="preserve">amend the fare adjustment mechanism to incorporate </w:t>
      </w:r>
      <w:r w:rsidR="00F13E83">
        <w:t xml:space="preserve">all cost components </w:t>
      </w:r>
      <w:r w:rsidR="00003EE1">
        <w:t>of our taxi cost index</w:t>
      </w:r>
      <w:r w:rsidR="00762EF3">
        <w:t>es</w:t>
      </w:r>
      <w:r w:rsidR="0037327C">
        <w:t>.</w:t>
      </w:r>
      <w:r w:rsidR="00F13E83">
        <w:t xml:space="preserve"> </w:t>
      </w:r>
    </w:p>
    <w:p w14:paraId="24BA80AB" w14:textId="61F5AE0D" w:rsidR="001173A3" w:rsidRDefault="00F13E83" w:rsidP="00813A6F">
      <w:pPr>
        <w:pStyle w:val="Pull-out"/>
      </w:pPr>
      <w:r>
        <w:t>We</w:t>
      </w:r>
      <w:r w:rsidR="00873126">
        <w:t xml:space="preserve"> </w:t>
      </w:r>
      <w:r w:rsidR="00AE3E3E">
        <w:t xml:space="preserve">considered stakeholder feedback and </w:t>
      </w:r>
      <w:r w:rsidR="00873126">
        <w:t>updated our taxi cost index</w:t>
      </w:r>
      <w:r w:rsidR="009309C6">
        <w:t xml:space="preserve"> inflators</w:t>
      </w:r>
      <w:r w:rsidR="00873126">
        <w:t xml:space="preserve"> </w:t>
      </w:r>
      <w:r w:rsidR="001173A3">
        <w:t>with the latest information to understand how the cost</w:t>
      </w:r>
      <w:r w:rsidR="009B0E27">
        <w:t>s</w:t>
      </w:r>
      <w:r w:rsidR="001173A3">
        <w:t xml:space="preserve"> of operating a taxi have changed since our 2022 review.</w:t>
      </w:r>
    </w:p>
    <w:p w14:paraId="4526A431" w14:textId="313569E0" w:rsidR="00F13E83" w:rsidRDefault="001173A3" w:rsidP="00813A6F">
      <w:pPr>
        <w:pStyle w:val="Pull-out"/>
      </w:pPr>
      <w:r>
        <w:t xml:space="preserve">The </w:t>
      </w:r>
      <w:r w:rsidR="00BA3CFE">
        <w:t>changes</w:t>
      </w:r>
      <w:r w:rsidR="00357CE1">
        <w:t xml:space="preserve"> </w:t>
      </w:r>
      <w:r>
        <w:t xml:space="preserve">in the </w:t>
      </w:r>
      <w:r w:rsidR="00BA3CFE">
        <w:t xml:space="preserve">taxi </w:t>
      </w:r>
      <w:r>
        <w:t>cost index</w:t>
      </w:r>
      <w:r w:rsidR="00BA3CFE">
        <w:t>es</w:t>
      </w:r>
      <w:r>
        <w:t xml:space="preserve"> helped us determine </w:t>
      </w:r>
      <w:r w:rsidR="004E2841">
        <w:t xml:space="preserve">the increase in maximum fares. </w:t>
      </w:r>
    </w:p>
    <w:p w14:paraId="7675BCB8" w14:textId="77777777" w:rsidR="00F13E83" w:rsidRDefault="00F13E83" w:rsidP="00F13E83">
      <w:r>
        <w:t xml:space="preserve">Taxis in Victoria are commercial passenger vehicles that can perform either booked or unbooked services. </w:t>
      </w:r>
    </w:p>
    <w:p w14:paraId="3697CF8C" w14:textId="3B2DFD0E" w:rsidR="00F13E83" w:rsidRDefault="00F13E83" w:rsidP="00F13E83">
      <w:r>
        <w:t>We set the maximum fares for unbooked trips that begin in either the Melbourne Metropolitan Zone or the Urban and Large Regional Zone (which includes Dandenong, Frankston, the Mornington Peninsula, Ballarat, Bendigo and Geelong</w:t>
      </w:r>
      <w:r w:rsidR="002B12A4">
        <w:t>)</w:t>
      </w:r>
      <w:r>
        <w:t>. We do not set the boundaries of these zones and we cannot review them.</w:t>
      </w:r>
      <w:r w:rsidR="009427B7">
        <w:rPr>
          <w:rStyle w:val="FootnoteReference"/>
        </w:rPr>
        <w:footnoteReference w:id="26"/>
      </w:r>
      <w:r>
        <w:t xml:space="preserve">  </w:t>
      </w:r>
    </w:p>
    <w:p w14:paraId="7901F291" w14:textId="631E0C44" w:rsidR="00F13E83" w:rsidRDefault="00F13E83" w:rsidP="00F13E83">
      <w:r>
        <w:t>Fares for all booked commercial passenger vehicle services (including rideshare services) and unbooked taxi services outside the Melbourne Metropolitan Zone and the Urban and Large Regional Zone</w:t>
      </w:r>
      <w:r w:rsidR="003074A9">
        <w:t>,</w:t>
      </w:r>
      <w:r>
        <w:t xml:space="preserve"> are not regulated. This means that rideshare and taxi service providers set their own fares for these trips.</w:t>
      </w:r>
    </w:p>
    <w:p w14:paraId="5AC3942B" w14:textId="6798CA08" w:rsidR="00F13E83" w:rsidRDefault="00F13E83" w:rsidP="00F13E83">
      <w:r>
        <w:t>We are required to review maximum unbooked taxi fares every two years.</w:t>
      </w:r>
    </w:p>
    <w:p w14:paraId="070F0EA2" w14:textId="77777777" w:rsidR="00355D17" w:rsidRPr="00E71C7A" w:rsidRDefault="00355D17" w:rsidP="00355D17">
      <w:pPr>
        <w:pStyle w:val="Pull-out"/>
        <w:rPr>
          <w:b/>
          <w:bCs/>
        </w:rPr>
      </w:pPr>
      <w:r w:rsidRPr="00747A8D">
        <w:rPr>
          <w:b/>
          <w:bCs/>
        </w:rPr>
        <w:t>Booked services</w:t>
      </w:r>
    </w:p>
    <w:p w14:paraId="67B11964" w14:textId="77777777" w:rsidR="00355D17" w:rsidRDefault="00355D17" w:rsidP="00355D17">
      <w:pPr>
        <w:pStyle w:val="Pull-out"/>
      </w:pPr>
      <w:r>
        <w:t xml:space="preserve">Booked commercial passenger vehicle services are trips made through a booking service and are typically reserved in advance of the trip via an app, phone call or website. </w:t>
      </w:r>
    </w:p>
    <w:p w14:paraId="1028088B" w14:textId="77777777" w:rsidR="00355D17" w:rsidRPr="00E71C7A" w:rsidRDefault="00355D17" w:rsidP="00355D17">
      <w:pPr>
        <w:pStyle w:val="Pull-out"/>
        <w:rPr>
          <w:b/>
          <w:bCs/>
        </w:rPr>
      </w:pPr>
      <w:r w:rsidRPr="00747A8D">
        <w:rPr>
          <w:b/>
          <w:bCs/>
        </w:rPr>
        <w:lastRenderedPageBreak/>
        <w:t>Unbooked services</w:t>
      </w:r>
    </w:p>
    <w:p w14:paraId="6ADC6F98" w14:textId="77777777" w:rsidR="00355D17" w:rsidRDefault="00355D17" w:rsidP="00355D17">
      <w:pPr>
        <w:pStyle w:val="Pull-out"/>
      </w:pPr>
      <w:r>
        <w:t>Unbooked commercial passenger vehicle services are all other trips such as trips hailed on the street or at a taxi rank. In this paper, we refer to unbooked commercial passenger vehicle services as ‘unbooked taxi services’.</w:t>
      </w:r>
    </w:p>
    <w:p w14:paraId="1C181A41" w14:textId="35E993C2" w:rsidR="00F13E83" w:rsidRDefault="00F13E83" w:rsidP="00432048">
      <w:pPr>
        <w:pStyle w:val="Heading3"/>
      </w:pPr>
      <w:bookmarkStart w:id="68" w:name="_Toc166662229"/>
      <w:bookmarkStart w:id="69" w:name="_Toc166669779"/>
      <w:bookmarkStart w:id="70" w:name="_Toc166678844"/>
      <w:bookmarkStart w:id="71" w:name="_Toc167345799"/>
      <w:bookmarkStart w:id="72" w:name="_Toc167346493"/>
      <w:bookmarkStart w:id="73" w:name="_Toc167780288"/>
      <w:bookmarkStart w:id="74" w:name="_Toc173691374"/>
      <w:bookmarkStart w:id="75" w:name="_Toc174692654"/>
      <w:r>
        <w:t>Fare structures</w:t>
      </w:r>
      <w:bookmarkEnd w:id="68"/>
      <w:bookmarkEnd w:id="69"/>
      <w:bookmarkEnd w:id="70"/>
      <w:bookmarkEnd w:id="71"/>
      <w:bookmarkEnd w:id="72"/>
      <w:bookmarkEnd w:id="73"/>
      <w:bookmarkEnd w:id="74"/>
      <w:bookmarkEnd w:id="75"/>
    </w:p>
    <w:p w14:paraId="3FD2679E" w14:textId="32B97087" w:rsidR="00F13E83" w:rsidRDefault="007874D2" w:rsidP="684FA2BA">
      <w:r>
        <w:t>Our final decision</w:t>
      </w:r>
      <w:r w:rsidR="00753CFB">
        <w:t xml:space="preserve"> </w:t>
      </w:r>
      <w:r w:rsidR="005B73C6">
        <w:t xml:space="preserve">and determination on </w:t>
      </w:r>
      <w:r w:rsidR="00A67317">
        <w:t xml:space="preserve">maximum </w:t>
      </w:r>
      <w:r w:rsidR="00520358">
        <w:t xml:space="preserve">unbooked taxi </w:t>
      </w:r>
      <w:r w:rsidR="00A67317">
        <w:t xml:space="preserve">fares </w:t>
      </w:r>
      <w:r w:rsidR="008F08D7">
        <w:t>retains two fare schedule</w:t>
      </w:r>
      <w:r w:rsidR="00101604">
        <w:t>s</w:t>
      </w:r>
      <w:r w:rsidR="002720E2">
        <w:t>.</w:t>
      </w:r>
      <w:r w:rsidR="00F13E83">
        <w:t xml:space="preserve"> The first schedule sets fares for the </w:t>
      </w:r>
      <w:r w:rsidR="00F13E83" w:rsidRPr="008D58C5">
        <w:rPr>
          <w:i/>
          <w:iCs/>
        </w:rPr>
        <w:t xml:space="preserve">Melbourne Metropolitan Zone and the </w:t>
      </w:r>
      <w:r w:rsidR="006179ED">
        <w:rPr>
          <w:i/>
          <w:iCs/>
        </w:rPr>
        <w:t>U</w:t>
      </w:r>
      <w:r w:rsidR="00F13E83" w:rsidRPr="008D58C5">
        <w:rPr>
          <w:i/>
          <w:iCs/>
        </w:rPr>
        <w:t>rban area of the Urban and Large Regional Zone</w:t>
      </w:r>
      <w:r w:rsidR="00F13E83">
        <w:t>, which includes Dandenong, Frankston and the Mornington Peninsula.</w:t>
      </w:r>
    </w:p>
    <w:p w14:paraId="63B3E0EA" w14:textId="5A0169BA" w:rsidR="00F13E83" w:rsidRDefault="00F13E83" w:rsidP="684FA2BA">
      <w:r>
        <w:t xml:space="preserve">The second schedule sets fares for the </w:t>
      </w:r>
      <w:r w:rsidR="006179ED">
        <w:rPr>
          <w:i/>
          <w:iCs/>
        </w:rPr>
        <w:t>L</w:t>
      </w:r>
      <w:r w:rsidRPr="008D58C5">
        <w:rPr>
          <w:i/>
          <w:iCs/>
        </w:rPr>
        <w:t xml:space="preserve">arge </w:t>
      </w:r>
      <w:r w:rsidR="006179ED">
        <w:rPr>
          <w:i/>
          <w:iCs/>
        </w:rPr>
        <w:t>R</w:t>
      </w:r>
      <w:r w:rsidRPr="008D58C5">
        <w:rPr>
          <w:i/>
          <w:iCs/>
        </w:rPr>
        <w:t>egional areas of the Urban and Large Regional Zone</w:t>
      </w:r>
      <w:r>
        <w:t xml:space="preserve">, which includes Geelong, Ballarat and Bendigo. </w:t>
      </w:r>
      <w:r w:rsidR="00B65197">
        <w:t xml:space="preserve">The areas </w:t>
      </w:r>
      <w:r w:rsidR="00C4445E">
        <w:t>to which</w:t>
      </w:r>
      <w:r w:rsidR="004E1B54">
        <w:t xml:space="preserve"> </w:t>
      </w:r>
      <w:r w:rsidR="00C4445E">
        <w:t>the fare schedules apply ha</w:t>
      </w:r>
      <w:r w:rsidR="00D65EE2">
        <w:t>ve</w:t>
      </w:r>
      <w:r w:rsidR="00C4445E">
        <w:t xml:space="preserve"> not changed since our previous review and determinatio</w:t>
      </w:r>
      <w:r w:rsidR="004E1B54">
        <w:t>n (s</w:t>
      </w:r>
      <w:r w:rsidR="00DF72D5">
        <w:t xml:space="preserve">ee </w:t>
      </w:r>
      <w:hyperlink w:anchor="_Fare_schedule_1" w:history="1">
        <w:r w:rsidR="00DF72D5" w:rsidRPr="009B424C">
          <w:rPr>
            <w:rStyle w:val="Hyperlink"/>
          </w:rPr>
          <w:t xml:space="preserve">Appendix </w:t>
        </w:r>
        <w:r w:rsidR="0025314C" w:rsidRPr="009B424C">
          <w:rPr>
            <w:rStyle w:val="Hyperlink"/>
          </w:rPr>
          <w:t>A</w:t>
        </w:r>
      </w:hyperlink>
      <w:r w:rsidR="0025314C">
        <w:t xml:space="preserve"> </w:t>
      </w:r>
      <w:r w:rsidR="009775BE">
        <w:t>for a map</w:t>
      </w:r>
      <w:r w:rsidR="008466E3">
        <w:t>)</w:t>
      </w:r>
      <w:r w:rsidR="009775BE">
        <w:t>.</w:t>
      </w:r>
    </w:p>
    <w:p w14:paraId="5FB3A827" w14:textId="09CA6A5B" w:rsidR="001A4D91" w:rsidRDefault="001A4D91" w:rsidP="00E71C7A">
      <w:pPr>
        <w:pStyle w:val="Heading4"/>
      </w:pPr>
      <w:r>
        <w:t>Tariff components</w:t>
      </w:r>
    </w:p>
    <w:p w14:paraId="06C85EC8" w14:textId="77777777" w:rsidR="00F13E83" w:rsidRDefault="00F13E83" w:rsidP="00F13E83">
      <w:r>
        <w:t>Unbooked fares are made up of three main tariff components: flagfall, distance rate and time rate. For each fare schedule, the determination provides two options for calculating maximum fares:</w:t>
      </w:r>
    </w:p>
    <w:p w14:paraId="4FE8D61A" w14:textId="2C696AF9" w:rsidR="00F13E83" w:rsidRDefault="00F13E83" w:rsidP="00432048">
      <w:pPr>
        <w:pStyle w:val="ListBullet"/>
      </w:pPr>
      <w:r w:rsidRPr="00F01948">
        <w:rPr>
          <w:b/>
        </w:rPr>
        <w:t>time and distance tariffs</w:t>
      </w:r>
      <w:r>
        <w:t>: where the fare is calculated as flagfall + (kilometres travelled x distance rate) + (duration of trip in hours x time rate [hourly])</w:t>
      </w:r>
    </w:p>
    <w:p w14:paraId="326A8D2C" w14:textId="74E27873" w:rsidR="00F13E83" w:rsidRDefault="00F13E83" w:rsidP="00432048">
      <w:pPr>
        <w:pStyle w:val="ListBullet"/>
      </w:pPr>
      <w:r w:rsidRPr="00706577">
        <w:rPr>
          <w:b/>
        </w:rPr>
        <w:t>time or distance tariffs</w:t>
      </w:r>
      <w:r>
        <w:t>: where the fare is calculated as flagfall + (kilometres travelled at speed above 21 kilometres</w:t>
      </w:r>
      <w:r w:rsidR="008E0807">
        <w:t> per </w:t>
      </w:r>
      <w:r>
        <w:t>hour x distance rate) + (hours spent at speed below 21</w:t>
      </w:r>
      <w:r w:rsidR="002E46C1">
        <w:t> </w:t>
      </w:r>
      <w:r>
        <w:t>kilometres</w:t>
      </w:r>
      <w:r w:rsidR="008E0807">
        <w:t> per </w:t>
      </w:r>
      <w:r>
        <w:t>hour x time rate [hourly])</w:t>
      </w:r>
      <w:r w:rsidR="00B9583A">
        <w:t>.</w:t>
      </w:r>
    </w:p>
    <w:p w14:paraId="2F3DFF81" w14:textId="329D583C" w:rsidR="00A01540" w:rsidRDefault="00F13E83" w:rsidP="001B79AB">
      <w:r>
        <w:t>The</w:t>
      </w:r>
      <w:r w:rsidR="007A2976">
        <w:t xml:space="preserve"> determination also list</w:t>
      </w:r>
      <w:r w:rsidR="00E72EBA">
        <w:t>s</w:t>
      </w:r>
      <w:r>
        <w:t xml:space="preserve"> other fees and charges including holiday fees, late night fees, high occupancy fees and charges, </w:t>
      </w:r>
      <w:r w:rsidR="002B007B">
        <w:t xml:space="preserve">and </w:t>
      </w:r>
      <w:r>
        <w:t>cleaning fees</w:t>
      </w:r>
      <w:r w:rsidR="009601D4">
        <w:t xml:space="preserve">. </w:t>
      </w:r>
      <w:r w:rsidR="00A01540">
        <w:t>We do not set toll fees, the airport taxi rank fee or the commercial passenger vehicle service levy</w:t>
      </w:r>
      <w:r w:rsidR="006F1BF7">
        <w:t>, but the determination all</w:t>
      </w:r>
      <w:r w:rsidR="00925DED">
        <w:t xml:space="preserve">ows a pass-through of these </w:t>
      </w:r>
      <w:r w:rsidR="00243B05">
        <w:t>costs</w:t>
      </w:r>
      <w:r w:rsidR="00A01540">
        <w:t>.</w:t>
      </w:r>
    </w:p>
    <w:p w14:paraId="65F4E8EA" w14:textId="3E04EC57" w:rsidR="00DE55F1" w:rsidRDefault="001B79AB" w:rsidP="00F13E83">
      <w:r>
        <w:t xml:space="preserve">The non-cash payment surcharges </w:t>
      </w:r>
      <w:r w:rsidR="00901E33">
        <w:t>that</w:t>
      </w:r>
      <w:r w:rsidR="0011075A">
        <w:t xml:space="preserve"> may be applied </w:t>
      </w:r>
      <w:r w:rsidR="00764422">
        <w:t xml:space="preserve">on top of the fares </w:t>
      </w:r>
      <w:r>
        <w:t xml:space="preserve">are set out in the </w:t>
      </w:r>
      <w:r w:rsidR="00213C71">
        <w:t xml:space="preserve">separate determination on </w:t>
      </w:r>
      <w:r w:rsidR="000C1A01" w:rsidRPr="00D73D29">
        <w:t>m</w:t>
      </w:r>
      <w:r w:rsidRPr="00D73D29">
        <w:t>aximum non-cash payment surcharge</w:t>
      </w:r>
      <w:r w:rsidR="000C1A01" w:rsidRPr="00D73D29">
        <w:t>s (see Chapter</w:t>
      </w:r>
      <w:r w:rsidR="00B02317" w:rsidRPr="00D73D29">
        <w:t xml:space="preserve"> 3)</w:t>
      </w:r>
      <w:r>
        <w:t>.</w:t>
      </w:r>
    </w:p>
    <w:p w14:paraId="42B68103" w14:textId="6D7B8C50" w:rsidR="00F13E83" w:rsidRDefault="00DD6E99" w:rsidP="00E71C7A">
      <w:pPr>
        <w:pStyle w:val="Pull-out"/>
      </w:pPr>
      <w:r>
        <w:t>See</w:t>
      </w:r>
      <w:r w:rsidR="00F13E83">
        <w:t xml:space="preserve"> </w:t>
      </w:r>
      <w:hyperlink w:anchor="_Fare_schedule_1" w:history="1">
        <w:r w:rsidR="00F13E83" w:rsidRPr="009B4417">
          <w:rPr>
            <w:rStyle w:val="Hyperlink"/>
          </w:rPr>
          <w:t xml:space="preserve">Appendix </w:t>
        </w:r>
        <w:r w:rsidR="00901E46" w:rsidRPr="009B4417">
          <w:rPr>
            <w:rStyle w:val="Hyperlink"/>
          </w:rPr>
          <w:t>A</w:t>
        </w:r>
      </w:hyperlink>
      <w:r>
        <w:t xml:space="preserve"> for </w:t>
      </w:r>
      <w:r w:rsidR="00D73D29">
        <w:t>the new</w:t>
      </w:r>
      <w:r w:rsidR="00DF5051">
        <w:t xml:space="preserve"> maximum</w:t>
      </w:r>
      <w:r w:rsidR="0015639F">
        <w:t xml:space="preserve"> </w:t>
      </w:r>
      <w:r>
        <w:t xml:space="preserve">fare </w:t>
      </w:r>
      <w:r w:rsidR="009B165F">
        <w:t>schedules</w:t>
      </w:r>
      <w:r w:rsidR="00F13E83">
        <w:t>.</w:t>
      </w:r>
    </w:p>
    <w:p w14:paraId="6E802103" w14:textId="706521E7" w:rsidR="00F13E83" w:rsidRDefault="00F13E83" w:rsidP="00432048">
      <w:pPr>
        <w:pStyle w:val="Heading2"/>
      </w:pPr>
      <w:bookmarkStart w:id="76" w:name="_Toc174692655"/>
      <w:r>
        <w:lastRenderedPageBreak/>
        <w:t>Our approach to setting taxi fares</w:t>
      </w:r>
      <w:bookmarkEnd w:id="76"/>
    </w:p>
    <w:p w14:paraId="447F5086" w14:textId="614B4C5A" w:rsidR="00F13E83" w:rsidRDefault="008647E5" w:rsidP="00F13E83">
      <w:r>
        <w:t>When</w:t>
      </w:r>
      <w:r w:rsidR="00F13E83">
        <w:t xml:space="preserve"> determining maximum fares for unbooked taxi services, our objectives include promoting the long</w:t>
      </w:r>
      <w:r w:rsidR="00715A4D">
        <w:noBreakHyphen/>
      </w:r>
      <w:r w:rsidR="00F13E83">
        <w:t>term interests of Victorian consumers and the efficient provision and use of unbooked taxi services.</w:t>
      </w:r>
      <w:r w:rsidR="00C658E8">
        <w:rPr>
          <w:rStyle w:val="FootnoteReference"/>
        </w:rPr>
        <w:footnoteReference w:id="27"/>
      </w:r>
      <w:r w:rsidR="00F13E83">
        <w:t xml:space="preserve"> </w:t>
      </w:r>
    </w:p>
    <w:p w14:paraId="6340F5D3" w14:textId="260F5827" w:rsidR="00F13E83" w:rsidRDefault="00F13E83" w:rsidP="00F13E83">
      <w:r>
        <w:t xml:space="preserve">Regulating maximum fares ensures that there is </w:t>
      </w:r>
      <w:r w:rsidR="008647E5">
        <w:t xml:space="preserve">price </w:t>
      </w:r>
      <w:r>
        <w:t>certainty for all passengers, and that they do not pay excessive amounts for this service. This is particularly important for passengers</w:t>
      </w:r>
      <w:r w:rsidR="0015639F">
        <w:t xml:space="preserve"> experiencing vulnerability</w:t>
      </w:r>
      <w:r>
        <w:t xml:space="preserve"> who may not be able to access alternative</w:t>
      </w:r>
      <w:r w:rsidR="00AA14B1">
        <w:t xml:space="preserve"> transport option</w:t>
      </w:r>
      <w:r>
        <w:t>s and may therefore rely on taxis for their travel needs.</w:t>
      </w:r>
    </w:p>
    <w:p w14:paraId="4E2394FD" w14:textId="1AD897B6" w:rsidR="00F13E83" w:rsidRDefault="00256367" w:rsidP="00F13E83">
      <w:r>
        <w:t>In regulating maximum fares for unbooked ta</w:t>
      </w:r>
      <w:r w:rsidR="008D1F16">
        <w:t>xi services, w</w:t>
      </w:r>
      <w:r w:rsidR="00F13E83">
        <w:t xml:space="preserve">e must have regard to a range of matters under the </w:t>
      </w:r>
      <w:r w:rsidR="00F13E83" w:rsidRPr="00C17E32">
        <w:rPr>
          <w:i/>
        </w:rPr>
        <w:t>Essential Services Commission Act 2001</w:t>
      </w:r>
      <w:r w:rsidR="00F13E83">
        <w:t xml:space="preserve"> and the transport system objectives and </w:t>
      </w:r>
      <w:r w:rsidR="00497625">
        <w:t>decision-making</w:t>
      </w:r>
      <w:r w:rsidR="00F13E83">
        <w:t xml:space="preserve"> principles under the </w:t>
      </w:r>
      <w:r w:rsidR="00F13E83" w:rsidRPr="00C17E32">
        <w:rPr>
          <w:i/>
        </w:rPr>
        <w:t>Transport Integration Act 2010</w:t>
      </w:r>
      <w:r w:rsidR="00F13E83">
        <w:t>.</w:t>
      </w:r>
      <w:r w:rsidR="00F23462">
        <w:rPr>
          <w:rStyle w:val="FootnoteReference"/>
        </w:rPr>
        <w:footnoteReference w:id="28"/>
      </w:r>
      <w:r w:rsidR="00F13E83">
        <w:t xml:space="preserve"> These matters include the financial viability of the industry, the degree of and scope for competition within the industry, and consistency in regulation between </w:t>
      </w:r>
      <w:r w:rsidR="00C025C4">
        <w:t>s</w:t>
      </w:r>
      <w:r w:rsidR="00F13E83">
        <w:t>tates and on a national basis.</w:t>
      </w:r>
    </w:p>
    <w:p w14:paraId="461798FC" w14:textId="0023AC89" w:rsidR="00F13E83" w:rsidRDefault="00F13E83" w:rsidP="00F13E83">
      <w:r>
        <w:t xml:space="preserve">The </w:t>
      </w:r>
      <w:r w:rsidRPr="00C17E32">
        <w:rPr>
          <w:i/>
        </w:rPr>
        <w:t>Commercial Passenger Vehicle Industry Act 2017</w:t>
      </w:r>
      <w:r>
        <w:t xml:space="preserve"> also enables us to determine maximum fares that differ according to a range of factors, including the prevailing economic conditions (including the price of fuel and the consumer price index), the Fair Work Commission’s annual wage review</w:t>
      </w:r>
      <w:r w:rsidR="003C2C6F">
        <w:rPr>
          <w:rStyle w:val="FootnoteReference"/>
        </w:rPr>
        <w:footnoteReference w:id="29"/>
      </w:r>
      <w:r>
        <w:t xml:space="preserve"> and the commercial viability of operating a taxi service.</w:t>
      </w:r>
      <w:r w:rsidR="00F62CD4">
        <w:rPr>
          <w:rStyle w:val="FootnoteReference"/>
        </w:rPr>
        <w:footnoteReference w:id="30"/>
      </w:r>
      <w:r>
        <w:t xml:space="preserve">  </w:t>
      </w:r>
    </w:p>
    <w:p w14:paraId="354C3C1C" w14:textId="434C150D" w:rsidR="004847CA" w:rsidRDefault="004847CA" w:rsidP="00F13E83">
      <w:r w:rsidRPr="004847CA">
        <w:t xml:space="preserve">Under the </w:t>
      </w:r>
      <w:r w:rsidRPr="00470C9D">
        <w:t>Essential Services Commission Act</w:t>
      </w:r>
      <w:r w:rsidRPr="004847CA">
        <w:t xml:space="preserve">, we must have regard to the efficient costs of operating a taxi. We estimated efficient costs using the costs for an ‘average taxi’ recognising that actual average costs can differ significantly between different operators depending on factors such as </w:t>
      </w:r>
      <w:r w:rsidR="00911FC4">
        <w:t xml:space="preserve">fleet </w:t>
      </w:r>
      <w:r w:rsidRPr="004847CA">
        <w:t>size and operating model.</w:t>
      </w:r>
    </w:p>
    <w:p w14:paraId="1254C4AE" w14:textId="218DCF90" w:rsidR="00F13E83" w:rsidRDefault="00E062BE" w:rsidP="009853E6">
      <w:pPr>
        <w:pStyle w:val="Pull-out"/>
      </w:pPr>
      <w:r>
        <w:t xml:space="preserve">See </w:t>
      </w:r>
      <w:hyperlink w:anchor="_Appendix_G:_Our" w:history="1">
        <w:r w:rsidR="00186E11" w:rsidRPr="009B4417">
          <w:rPr>
            <w:rStyle w:val="Hyperlink"/>
          </w:rPr>
          <w:t>Appendix G</w:t>
        </w:r>
      </w:hyperlink>
      <w:r>
        <w:t xml:space="preserve"> </w:t>
      </w:r>
      <w:r w:rsidR="00EA6E55">
        <w:t>for further information on t</w:t>
      </w:r>
      <w:r w:rsidR="00F13E83">
        <w:t>he legal framework for setting maximum fares for unbooked taxi services</w:t>
      </w:r>
      <w:r w:rsidR="00BB5494">
        <w:t>.</w:t>
      </w:r>
    </w:p>
    <w:p w14:paraId="590A057A" w14:textId="77777777" w:rsidR="00F13E83" w:rsidRDefault="00F13E83" w:rsidP="006566F0">
      <w:pPr>
        <w:pStyle w:val="Heading3"/>
      </w:pPr>
      <w:bookmarkStart w:id="77" w:name="_Toc166662231"/>
      <w:bookmarkStart w:id="78" w:name="_Toc166669781"/>
      <w:bookmarkStart w:id="79" w:name="_Toc166678846"/>
      <w:bookmarkStart w:id="80" w:name="_Toc167345801"/>
      <w:bookmarkStart w:id="81" w:name="_Toc167346495"/>
      <w:bookmarkStart w:id="82" w:name="_Toc167780290"/>
      <w:bookmarkStart w:id="83" w:name="_Toc173691376"/>
      <w:bookmarkStart w:id="84" w:name="_Toc174692656"/>
      <w:r>
        <w:lastRenderedPageBreak/>
        <w:t>Our approach for this review</w:t>
      </w:r>
      <w:bookmarkEnd w:id="77"/>
      <w:bookmarkEnd w:id="78"/>
      <w:bookmarkEnd w:id="79"/>
      <w:bookmarkEnd w:id="80"/>
      <w:bookmarkEnd w:id="81"/>
      <w:bookmarkEnd w:id="82"/>
      <w:bookmarkEnd w:id="83"/>
      <w:bookmarkEnd w:id="84"/>
      <w:r>
        <w:t xml:space="preserve"> </w:t>
      </w:r>
    </w:p>
    <w:p w14:paraId="45171265" w14:textId="0ADA09D0" w:rsidR="00BF199F" w:rsidRDefault="00071FAC" w:rsidP="00F13E83">
      <w:r>
        <w:t>In setting maximum unbooked fares</w:t>
      </w:r>
      <w:r w:rsidR="00BF199F">
        <w:t xml:space="preserve">, we considered changes in the cost of operating a taxi service </w:t>
      </w:r>
      <w:r w:rsidR="004D204A">
        <w:t xml:space="preserve">and </w:t>
      </w:r>
      <w:r w:rsidR="007A67B1">
        <w:t xml:space="preserve">whether there had been </w:t>
      </w:r>
      <w:r w:rsidR="00BF199F">
        <w:t xml:space="preserve">changes </w:t>
      </w:r>
      <w:r w:rsidR="007A67B1">
        <w:t>in service quality or</w:t>
      </w:r>
      <w:r w:rsidR="00BF199F">
        <w:t xml:space="preserve"> in the supply and demand for taxi services.</w:t>
      </w:r>
    </w:p>
    <w:p w14:paraId="02E32D91" w14:textId="7265C5F0" w:rsidR="00FC7757" w:rsidRDefault="002248FC" w:rsidP="00F13E83">
      <w:r>
        <w:t>We updated our taxi cost index</w:t>
      </w:r>
      <w:r w:rsidR="00577A7B">
        <w:t>es</w:t>
      </w:r>
      <w:r>
        <w:t xml:space="preserve"> with the most recent information available to us to understand how the costs of operating a taxi have changed since our last review and </w:t>
      </w:r>
      <w:r w:rsidR="001B0F33">
        <w:t xml:space="preserve">to </w:t>
      </w:r>
      <w:r>
        <w:t>help us determine the level of increase in maximum fares.</w:t>
      </w:r>
    </w:p>
    <w:p w14:paraId="3EBE1172" w14:textId="5CBA5776" w:rsidR="002713A5" w:rsidRDefault="00E93DCB" w:rsidP="00F13E83">
      <w:r>
        <w:t>As we did not collect data on</w:t>
      </w:r>
      <w:r w:rsidR="00DD6539">
        <w:t xml:space="preserve"> service quality or</w:t>
      </w:r>
      <w:r>
        <w:t xml:space="preserve"> </w:t>
      </w:r>
      <w:r w:rsidR="00570956">
        <w:t>sup</w:t>
      </w:r>
      <w:r w:rsidR="00C51DCF">
        <w:t xml:space="preserve">ply and demand </w:t>
      </w:r>
      <w:r w:rsidR="003E3967">
        <w:t xml:space="preserve">in </w:t>
      </w:r>
      <w:r>
        <w:t xml:space="preserve">the unbooked taxi market for this review, </w:t>
      </w:r>
      <w:r w:rsidR="00FC7757">
        <w:t xml:space="preserve">we </w:t>
      </w:r>
      <w:r w:rsidR="0028486A">
        <w:t>instead drew</w:t>
      </w:r>
      <w:r w:rsidR="00443C16">
        <w:t xml:space="preserve"> on </w:t>
      </w:r>
      <w:r w:rsidR="00DB3A00">
        <w:t>public data and</w:t>
      </w:r>
      <w:r w:rsidR="00443C16">
        <w:t xml:space="preserve"> stakeholder </w:t>
      </w:r>
      <w:r w:rsidR="00DB3A00">
        <w:t>views</w:t>
      </w:r>
      <w:r w:rsidR="00443C16">
        <w:t xml:space="preserve"> to</w:t>
      </w:r>
      <w:r w:rsidR="002B69BC">
        <w:t xml:space="preserve"> understand how </w:t>
      </w:r>
      <w:r w:rsidR="00DB3A00">
        <w:t>the market</w:t>
      </w:r>
      <w:r w:rsidR="002B69BC">
        <w:t xml:space="preserve"> has changed since</w:t>
      </w:r>
      <w:r w:rsidR="002C4F2C">
        <w:t xml:space="preserve"> </w:t>
      </w:r>
      <w:r w:rsidR="00D43AA2">
        <w:t>2022</w:t>
      </w:r>
      <w:r w:rsidR="002B69BC">
        <w:t xml:space="preserve">. </w:t>
      </w:r>
    </w:p>
    <w:p w14:paraId="3DD2CD64" w14:textId="2A2EA6C7" w:rsidR="00F13E83" w:rsidRDefault="00F13E83" w:rsidP="006566F0">
      <w:pPr>
        <w:pStyle w:val="Heading2"/>
      </w:pPr>
      <w:bookmarkStart w:id="85" w:name="_Toc174692657"/>
      <w:r>
        <w:t>Our taxi cost index</w:t>
      </w:r>
      <w:r w:rsidR="000A1A6C">
        <w:t>es</w:t>
      </w:r>
      <w:r>
        <w:t xml:space="preserve"> suggest that costs have increased</w:t>
      </w:r>
      <w:bookmarkEnd w:id="85"/>
      <w:r>
        <w:t xml:space="preserve"> </w:t>
      </w:r>
    </w:p>
    <w:p w14:paraId="2D77CEA3" w14:textId="45875C5F" w:rsidR="003A633F" w:rsidRDefault="003B6E51" w:rsidP="003A633F">
      <w:r>
        <w:t>We use</w:t>
      </w:r>
      <w:r w:rsidR="005D3558">
        <w:t>d</w:t>
      </w:r>
      <w:r>
        <w:t xml:space="preserve"> </w:t>
      </w:r>
      <w:r w:rsidR="00042B59">
        <w:t xml:space="preserve">two </w:t>
      </w:r>
      <w:r>
        <w:t>taxi cost index</w:t>
      </w:r>
      <w:r w:rsidR="00042B59">
        <w:t>es</w:t>
      </w:r>
      <w:r>
        <w:t xml:space="preserve"> </w:t>
      </w:r>
      <w:r w:rsidR="00B96BA7">
        <w:t>to estimate</w:t>
      </w:r>
      <w:r>
        <w:t xml:space="preserve"> changes in the costs of operating a taxi</w:t>
      </w:r>
      <w:r w:rsidR="00B96BA7">
        <w:t xml:space="preserve"> over time</w:t>
      </w:r>
      <w:r>
        <w:t xml:space="preserve">. </w:t>
      </w:r>
      <w:r w:rsidR="003A633F">
        <w:t>There are some differences in the costs of operating a conventional taxi and a wheelchair accessible tax</w:t>
      </w:r>
      <w:r w:rsidR="00A252A7">
        <w:t>i</w:t>
      </w:r>
      <w:r w:rsidR="003A633F">
        <w:t xml:space="preserve"> (for example, vehicle costs are higher for wheelchair accessible taxis compared to conventional taxis). To capture these differences, we measure</w:t>
      </w:r>
      <w:r w:rsidR="00197276">
        <w:t>d</w:t>
      </w:r>
      <w:r w:rsidR="003A633F">
        <w:t xml:space="preserve"> the change in costs for conventional taxis and wheelchair accessible taxis </w:t>
      </w:r>
      <w:r w:rsidR="00E56365">
        <w:t xml:space="preserve">using </w:t>
      </w:r>
      <w:r w:rsidR="003A633F">
        <w:t>separate</w:t>
      </w:r>
      <w:r w:rsidR="00E56365">
        <w:t xml:space="preserve"> cost indexes</w:t>
      </w:r>
      <w:r w:rsidR="003A633F">
        <w:t xml:space="preserve">.  </w:t>
      </w:r>
    </w:p>
    <w:p w14:paraId="3D735462" w14:textId="775E28D2" w:rsidR="005431FA" w:rsidRDefault="00690C57" w:rsidP="002F7D54">
      <w:r>
        <w:t>As outlined in our draft decision, w</w:t>
      </w:r>
      <w:r w:rsidR="007223C9">
        <w:t>e have not made any changes to the cost components, cost shares or cost inflators</w:t>
      </w:r>
      <w:r w:rsidR="00803B02">
        <w:t xml:space="preserve"> from our 2022 review</w:t>
      </w:r>
      <w:r w:rsidR="002F7D54">
        <w:t xml:space="preserve">. </w:t>
      </w:r>
    </w:p>
    <w:p w14:paraId="1D9A23F0" w14:textId="01B63E55" w:rsidR="001868AE" w:rsidRDefault="001868AE" w:rsidP="009378EC">
      <w:r>
        <w:t xml:space="preserve">For our draft decision, we updated the cost inflators with the most recent data available to us at the time. </w:t>
      </w:r>
      <w:r w:rsidR="002E5F72">
        <w:t>Following our draft decision, we updated</w:t>
      </w:r>
      <w:r w:rsidR="000C6F70">
        <w:t xml:space="preserve"> the cost inflators again to reflect</w:t>
      </w:r>
      <w:r w:rsidR="007552F7">
        <w:t xml:space="preserve"> the change in costs over the two</w:t>
      </w:r>
      <w:r w:rsidR="003B1ECD">
        <w:t>-</w:t>
      </w:r>
      <w:r w:rsidR="007552F7">
        <w:t xml:space="preserve">year period since our last review. </w:t>
      </w:r>
    </w:p>
    <w:p w14:paraId="4764AE77" w14:textId="65ABC014" w:rsidR="009378EC" w:rsidRDefault="00AE0758" w:rsidP="002F7D54">
      <w:r w:rsidRPr="00AE0758">
        <w:t>Applying the change in costs as suggested by the taxi cost index</w:t>
      </w:r>
      <w:r w:rsidR="00787597">
        <w:t>es</w:t>
      </w:r>
      <w:r w:rsidRPr="00AE0758">
        <w:t xml:space="preserve"> to the 2022 unbooked taxi fares gives us the fares required to recover the average </w:t>
      </w:r>
      <w:r w:rsidR="005C45F2">
        <w:t xml:space="preserve">efficient </w:t>
      </w:r>
      <w:r w:rsidRPr="00AE0758">
        <w:t>cost of operating a taxi in 2024.</w:t>
      </w:r>
    </w:p>
    <w:p w14:paraId="445B8F66" w14:textId="6C8FF4F6" w:rsidR="001707A1" w:rsidRPr="003D7833" w:rsidRDefault="001707A1" w:rsidP="001707A1">
      <w:r>
        <w:t>Our taxi cost index</w:t>
      </w:r>
      <w:r w:rsidR="0018193F">
        <w:t xml:space="preserve"> for conventional taxis</w:t>
      </w:r>
      <w:r>
        <w:t xml:space="preserve"> suggests that the costs of operating a conventional </w:t>
      </w:r>
      <w:r w:rsidRPr="00F33F20">
        <w:t>taxi have increased by</w:t>
      </w:r>
      <w:r>
        <w:t xml:space="preserve"> </w:t>
      </w:r>
      <w:r w:rsidR="005675F4" w:rsidRPr="003D7833">
        <w:t>9.</w:t>
      </w:r>
      <w:r w:rsidR="00481493">
        <w:t>9</w:t>
      </w:r>
      <w:r w:rsidRPr="003D7833">
        <w:t xml:space="preserve"> per cent since our last review. </w:t>
      </w:r>
    </w:p>
    <w:p w14:paraId="5CEBFF17" w14:textId="6434E576" w:rsidR="0018193F" w:rsidRDefault="0018193F" w:rsidP="001707A1">
      <w:r w:rsidRPr="003D7833">
        <w:t>Our taxi cost index for wheelchair accessible taxis suggests that the costs of operating a wheelchair accessible taxi have increased by 10.</w:t>
      </w:r>
      <w:r w:rsidR="002C6EA8" w:rsidRPr="003D7833">
        <w:t>6</w:t>
      </w:r>
      <w:r w:rsidRPr="00F33F20">
        <w:t> per</w:t>
      </w:r>
      <w:r>
        <w:t xml:space="preserve"> cent since our last review. </w:t>
      </w:r>
    </w:p>
    <w:p w14:paraId="26F233E3" w14:textId="2CADFF4D" w:rsidR="001707A1" w:rsidRDefault="001707A1" w:rsidP="001707A1">
      <w:r>
        <w:t xml:space="preserve">Table 2 </w:t>
      </w:r>
      <w:r w:rsidR="0018193F">
        <w:t xml:space="preserve">and Table 3 </w:t>
      </w:r>
      <w:r>
        <w:t>show the cost components and the cost share, change in cost inflator and index contribution for each cost component</w:t>
      </w:r>
      <w:r w:rsidR="0018193F">
        <w:t xml:space="preserve"> for conventional taxis and wheelchair accessible taxis, respectively. </w:t>
      </w:r>
      <w:r w:rsidR="00EC6C43" w:rsidDel="00EC6C43">
        <w:t xml:space="preserve"> </w:t>
      </w:r>
    </w:p>
    <w:p w14:paraId="04925D00" w14:textId="626B56F5" w:rsidR="001707A1" w:rsidRPr="004D7C8A" w:rsidRDefault="00264D59" w:rsidP="002F7D54">
      <w:r>
        <w:t xml:space="preserve">The key </w:t>
      </w:r>
      <w:r w:rsidR="004D458A">
        <w:t>factors in</w:t>
      </w:r>
      <w:r>
        <w:t xml:space="preserve"> the change in costs of operating both conventional taxis and wheelchair accessible taxis were driver labour, vehicle costs, fuel and insurance.  </w:t>
      </w:r>
    </w:p>
    <w:p w14:paraId="2CB0030F" w14:textId="286343E6" w:rsidR="00F13E83" w:rsidRDefault="000266D0" w:rsidP="00BE3FA5">
      <w:pPr>
        <w:pStyle w:val="Pull-out"/>
      </w:pPr>
      <w:r>
        <w:lastRenderedPageBreak/>
        <w:t xml:space="preserve">See </w:t>
      </w:r>
      <w:hyperlink w:anchor="_Appendix_E:_Taxi" w:history="1">
        <w:r w:rsidR="00323770" w:rsidRPr="009B4417">
          <w:rPr>
            <w:rStyle w:val="Hyperlink"/>
          </w:rPr>
          <w:t xml:space="preserve">Appendix </w:t>
        </w:r>
        <w:r w:rsidR="00901E46" w:rsidRPr="009B4417">
          <w:rPr>
            <w:rStyle w:val="Hyperlink"/>
          </w:rPr>
          <w:t>E</w:t>
        </w:r>
      </w:hyperlink>
      <w:r>
        <w:t xml:space="preserve"> for </w:t>
      </w:r>
      <w:r w:rsidR="005C6374">
        <w:t xml:space="preserve">further information on the </w:t>
      </w:r>
      <w:r w:rsidR="00BD5AE3">
        <w:t>taxi cost inde</w:t>
      </w:r>
      <w:r w:rsidR="00AE79E2">
        <w:t>x</w:t>
      </w:r>
      <w:r w:rsidR="00821B37">
        <w:t>es</w:t>
      </w:r>
      <w:r w:rsidR="00BD5AE3">
        <w:t xml:space="preserve">. </w:t>
      </w:r>
    </w:p>
    <w:p w14:paraId="45A5EEAA" w14:textId="59F746F9" w:rsidR="00F13E83" w:rsidRDefault="00F13E83" w:rsidP="005D1A8E">
      <w:pPr>
        <w:pStyle w:val="Figure-Table-BoxHeading"/>
        <w:keepNext/>
        <w:keepLines/>
        <w:spacing w:after="0"/>
        <w:ind w:left="0" w:firstLine="0"/>
      </w:pPr>
      <w:r w:rsidRPr="17F31E41">
        <w:rPr>
          <w:lang w:val="en-AU"/>
        </w:rPr>
        <w:t xml:space="preserve">Table </w:t>
      </w:r>
      <w:r w:rsidR="001769F4" w:rsidRPr="17F31E41">
        <w:rPr>
          <w:lang w:val="en-AU"/>
        </w:rPr>
        <w:t>2</w:t>
      </w:r>
      <w:r w:rsidR="006566F0">
        <w:tab/>
      </w:r>
      <w:r w:rsidRPr="17F31E41">
        <w:rPr>
          <w:lang w:val="en-AU"/>
        </w:rPr>
        <w:t>Change in costs of operating a conventional taxi</w:t>
      </w:r>
    </w:p>
    <w:p w14:paraId="7EB0664E" w14:textId="32DA0D78" w:rsidR="00F7543D" w:rsidRDefault="00F13E83" w:rsidP="005D1A8E">
      <w:pPr>
        <w:pStyle w:val="Figure-Table-BoxSubtitle"/>
        <w:keepNext/>
        <w:keepLines/>
        <w:spacing w:before="0" w:line="288" w:lineRule="auto"/>
        <w:ind w:left="1418"/>
      </w:pPr>
      <w:r>
        <w:t xml:space="preserve">June 2022 to </w:t>
      </w:r>
      <w:r w:rsidR="0097744A">
        <w:t>June</w:t>
      </w:r>
      <w:r>
        <w:t xml:space="preserve"> 2024</w:t>
      </w:r>
    </w:p>
    <w:tbl>
      <w:tblPr>
        <w:tblStyle w:val="TableGrid"/>
        <w:tblW w:w="0" w:type="auto"/>
        <w:tblLook w:val="04A0" w:firstRow="1" w:lastRow="0" w:firstColumn="1" w:lastColumn="0" w:noHBand="0" w:noVBand="1"/>
      </w:tblPr>
      <w:tblGrid>
        <w:gridCol w:w="3828"/>
        <w:gridCol w:w="1417"/>
        <w:gridCol w:w="2196"/>
        <w:gridCol w:w="2197"/>
      </w:tblGrid>
      <w:tr w:rsidR="0041429A" w14:paraId="4D0DA6DF" w14:textId="77777777">
        <w:trPr>
          <w:cnfStyle w:val="100000000000" w:firstRow="1" w:lastRow="0" w:firstColumn="0" w:lastColumn="0" w:oddVBand="0" w:evenVBand="0" w:oddHBand="0" w:evenHBand="0" w:firstRowFirstColumn="0" w:firstRowLastColumn="0" w:lastRowFirstColumn="0" w:lastRowLastColumn="0"/>
        </w:trPr>
        <w:tc>
          <w:tcPr>
            <w:tcW w:w="3828" w:type="dxa"/>
          </w:tcPr>
          <w:p w14:paraId="1DBA8BA9" w14:textId="77777777" w:rsidR="0041429A" w:rsidRDefault="0041429A" w:rsidP="005D1A8E">
            <w:pPr>
              <w:pStyle w:val="TableHeading"/>
              <w:keepNext/>
              <w:keepLines/>
            </w:pPr>
            <w:r w:rsidRPr="17F31E41">
              <w:rPr>
                <w:lang w:val="en-AU"/>
              </w:rPr>
              <w:t>Cost component</w:t>
            </w:r>
          </w:p>
        </w:tc>
        <w:tc>
          <w:tcPr>
            <w:tcW w:w="1417" w:type="dxa"/>
          </w:tcPr>
          <w:p w14:paraId="188C93E2" w14:textId="77777777" w:rsidR="0041429A" w:rsidRDefault="0041429A" w:rsidP="005D1A8E">
            <w:pPr>
              <w:pStyle w:val="TableHeading"/>
              <w:keepNext/>
              <w:keepLines/>
              <w:ind w:right="113"/>
              <w:jc w:val="right"/>
            </w:pPr>
            <w:r w:rsidRPr="00AE6193">
              <w:t>Cost share</w:t>
            </w:r>
          </w:p>
        </w:tc>
        <w:tc>
          <w:tcPr>
            <w:tcW w:w="2196" w:type="dxa"/>
          </w:tcPr>
          <w:p w14:paraId="6412157F" w14:textId="77777777" w:rsidR="0041429A" w:rsidRDefault="0041429A" w:rsidP="005D1A8E">
            <w:pPr>
              <w:pStyle w:val="TableHeading"/>
              <w:keepNext/>
              <w:keepLines/>
              <w:ind w:right="113"/>
              <w:jc w:val="right"/>
            </w:pPr>
            <w:r w:rsidRPr="00AE6193">
              <w:t>Change in cost inflator</w:t>
            </w:r>
          </w:p>
        </w:tc>
        <w:tc>
          <w:tcPr>
            <w:tcW w:w="2197" w:type="dxa"/>
          </w:tcPr>
          <w:p w14:paraId="24CFA585" w14:textId="77777777" w:rsidR="0041429A" w:rsidRDefault="0041429A" w:rsidP="005D1A8E">
            <w:pPr>
              <w:pStyle w:val="TableHeading"/>
              <w:keepNext/>
              <w:keepLines/>
              <w:ind w:right="113"/>
              <w:jc w:val="right"/>
            </w:pPr>
            <w:r w:rsidRPr="00AE6193">
              <w:t xml:space="preserve">Contribution to overall change </w:t>
            </w:r>
          </w:p>
        </w:tc>
      </w:tr>
      <w:tr w:rsidR="0041429A" w14:paraId="46C1F9DD" w14:textId="77777777">
        <w:trPr>
          <w:cnfStyle w:val="000000100000" w:firstRow="0" w:lastRow="0" w:firstColumn="0" w:lastColumn="0" w:oddVBand="0" w:evenVBand="0" w:oddHBand="1" w:evenHBand="0" w:firstRowFirstColumn="0" w:firstRowLastColumn="0" w:lastRowFirstColumn="0" w:lastRowLastColumn="0"/>
        </w:trPr>
        <w:tc>
          <w:tcPr>
            <w:tcW w:w="3828" w:type="dxa"/>
          </w:tcPr>
          <w:p w14:paraId="1FC7A4C3" w14:textId="77777777" w:rsidR="0041429A" w:rsidRDefault="0041429A">
            <w:pPr>
              <w:pStyle w:val="TableBody"/>
            </w:pPr>
            <w:r w:rsidRPr="00AE6193">
              <w:t>Fuel</w:t>
            </w:r>
          </w:p>
        </w:tc>
        <w:tc>
          <w:tcPr>
            <w:tcW w:w="1417" w:type="dxa"/>
          </w:tcPr>
          <w:p w14:paraId="490887F5" w14:textId="77777777" w:rsidR="0041429A" w:rsidRPr="00AB017A" w:rsidRDefault="0041429A">
            <w:pPr>
              <w:pStyle w:val="TableBody"/>
              <w:ind w:right="113"/>
              <w:jc w:val="right"/>
            </w:pPr>
            <w:r w:rsidRPr="00AB017A">
              <w:t>6.6%</w:t>
            </w:r>
          </w:p>
        </w:tc>
        <w:tc>
          <w:tcPr>
            <w:tcW w:w="2196" w:type="dxa"/>
          </w:tcPr>
          <w:p w14:paraId="6754A7E8" w14:textId="16D844AD" w:rsidR="0041429A" w:rsidRPr="00D108A9" w:rsidRDefault="0041429A">
            <w:pPr>
              <w:pStyle w:val="TableBody"/>
              <w:ind w:right="113"/>
              <w:jc w:val="right"/>
            </w:pPr>
            <w:r w:rsidRPr="00D108A9">
              <w:rPr>
                <w:rFonts w:cstheme="minorHAnsi"/>
              </w:rPr>
              <w:t>−</w:t>
            </w:r>
            <w:r w:rsidR="008B3A04" w:rsidRPr="00D108A9">
              <w:t>14</w:t>
            </w:r>
            <w:r w:rsidRPr="00D108A9">
              <w:t>.</w:t>
            </w:r>
            <w:r w:rsidR="008B3A04" w:rsidRPr="00D108A9">
              <w:t>9</w:t>
            </w:r>
            <w:r w:rsidRPr="00D108A9">
              <w:t>%</w:t>
            </w:r>
          </w:p>
        </w:tc>
        <w:tc>
          <w:tcPr>
            <w:tcW w:w="2197" w:type="dxa"/>
          </w:tcPr>
          <w:p w14:paraId="35BA4A52" w14:textId="01AF45A3" w:rsidR="0041429A" w:rsidRPr="00D108A9" w:rsidRDefault="0041429A">
            <w:pPr>
              <w:pStyle w:val="TableBody"/>
              <w:ind w:right="113"/>
              <w:jc w:val="right"/>
            </w:pPr>
            <w:r w:rsidRPr="00D108A9">
              <w:rPr>
                <w:rFonts w:cstheme="minorHAnsi"/>
              </w:rPr>
              <w:t>−</w:t>
            </w:r>
            <w:r w:rsidR="000C5B6B" w:rsidRPr="00D108A9">
              <w:t>1</w:t>
            </w:r>
            <w:r w:rsidRPr="00D108A9">
              <w:t>.</w:t>
            </w:r>
            <w:r w:rsidR="000C5B6B" w:rsidRPr="00D108A9">
              <w:t>0</w:t>
            </w:r>
            <w:r w:rsidRPr="00D108A9">
              <w:t>%</w:t>
            </w:r>
          </w:p>
        </w:tc>
      </w:tr>
      <w:tr w:rsidR="0041429A" w14:paraId="28D45EE5" w14:textId="77777777">
        <w:trPr>
          <w:cnfStyle w:val="000000010000" w:firstRow="0" w:lastRow="0" w:firstColumn="0" w:lastColumn="0" w:oddVBand="0" w:evenVBand="0" w:oddHBand="0" w:evenHBand="1" w:firstRowFirstColumn="0" w:firstRowLastColumn="0" w:lastRowFirstColumn="0" w:lastRowLastColumn="0"/>
        </w:trPr>
        <w:tc>
          <w:tcPr>
            <w:tcW w:w="3828" w:type="dxa"/>
          </w:tcPr>
          <w:p w14:paraId="1A9B7778" w14:textId="77777777" w:rsidR="0041429A" w:rsidRDefault="0041429A">
            <w:pPr>
              <w:pStyle w:val="TableBody"/>
            </w:pPr>
            <w:r w:rsidRPr="00AE6193">
              <w:t>Network (equipment)</w:t>
            </w:r>
          </w:p>
        </w:tc>
        <w:tc>
          <w:tcPr>
            <w:tcW w:w="1417" w:type="dxa"/>
          </w:tcPr>
          <w:p w14:paraId="5942E473" w14:textId="77777777" w:rsidR="0041429A" w:rsidRPr="00AB017A" w:rsidRDefault="0041429A">
            <w:pPr>
              <w:pStyle w:val="TableBody"/>
              <w:ind w:right="113"/>
              <w:jc w:val="right"/>
            </w:pPr>
            <w:r w:rsidRPr="00AB017A">
              <w:t>5.7%</w:t>
            </w:r>
          </w:p>
        </w:tc>
        <w:tc>
          <w:tcPr>
            <w:tcW w:w="2196" w:type="dxa"/>
          </w:tcPr>
          <w:p w14:paraId="7642EFE8" w14:textId="37E2942B" w:rsidR="0041429A" w:rsidRPr="00D108A9" w:rsidRDefault="008B3A04">
            <w:pPr>
              <w:pStyle w:val="TableBody"/>
              <w:ind w:right="113"/>
              <w:jc w:val="right"/>
            </w:pPr>
            <w:r w:rsidRPr="00D108A9">
              <w:t>1</w:t>
            </w:r>
            <w:r w:rsidR="0041429A" w:rsidRPr="00D108A9">
              <w:t>.</w:t>
            </w:r>
            <w:r w:rsidRPr="00D108A9">
              <w:t>3</w:t>
            </w:r>
            <w:r w:rsidR="0041429A" w:rsidRPr="00D108A9">
              <w:t>%</w:t>
            </w:r>
          </w:p>
        </w:tc>
        <w:tc>
          <w:tcPr>
            <w:tcW w:w="2197" w:type="dxa"/>
          </w:tcPr>
          <w:p w14:paraId="00FA9936" w14:textId="77777777" w:rsidR="0041429A" w:rsidRPr="00D108A9" w:rsidRDefault="0041429A">
            <w:pPr>
              <w:pStyle w:val="TableBody"/>
              <w:ind w:right="113"/>
              <w:jc w:val="right"/>
            </w:pPr>
            <w:r w:rsidRPr="00D108A9">
              <w:t>0.1%</w:t>
            </w:r>
          </w:p>
        </w:tc>
      </w:tr>
      <w:tr w:rsidR="0041429A" w14:paraId="6224F28D" w14:textId="77777777">
        <w:trPr>
          <w:cnfStyle w:val="000000100000" w:firstRow="0" w:lastRow="0" w:firstColumn="0" w:lastColumn="0" w:oddVBand="0" w:evenVBand="0" w:oddHBand="1" w:evenHBand="0" w:firstRowFirstColumn="0" w:firstRowLastColumn="0" w:lastRowFirstColumn="0" w:lastRowLastColumn="0"/>
        </w:trPr>
        <w:tc>
          <w:tcPr>
            <w:tcW w:w="3828" w:type="dxa"/>
          </w:tcPr>
          <w:p w14:paraId="76494C75" w14:textId="77777777" w:rsidR="0041429A" w:rsidRDefault="0041429A">
            <w:pPr>
              <w:pStyle w:val="TableBody"/>
            </w:pPr>
            <w:r w:rsidRPr="00AE6193">
              <w:t>Network (labour)</w:t>
            </w:r>
          </w:p>
        </w:tc>
        <w:tc>
          <w:tcPr>
            <w:tcW w:w="1417" w:type="dxa"/>
          </w:tcPr>
          <w:p w14:paraId="750724F7" w14:textId="77777777" w:rsidR="0041429A" w:rsidRPr="00AB017A" w:rsidRDefault="0041429A">
            <w:pPr>
              <w:pStyle w:val="TableBody"/>
              <w:ind w:right="113"/>
              <w:jc w:val="right"/>
            </w:pPr>
            <w:r w:rsidRPr="00AB017A">
              <w:t>5.7%</w:t>
            </w:r>
          </w:p>
        </w:tc>
        <w:tc>
          <w:tcPr>
            <w:tcW w:w="2196" w:type="dxa"/>
          </w:tcPr>
          <w:p w14:paraId="2E221516" w14:textId="735CDE1D" w:rsidR="0041429A" w:rsidRPr="00D108A9" w:rsidRDefault="001E65ED">
            <w:pPr>
              <w:pStyle w:val="TableBody"/>
              <w:ind w:right="113"/>
              <w:jc w:val="right"/>
            </w:pPr>
            <w:r w:rsidRPr="00D108A9">
              <w:t>6.6%</w:t>
            </w:r>
          </w:p>
        </w:tc>
        <w:tc>
          <w:tcPr>
            <w:tcW w:w="2197" w:type="dxa"/>
          </w:tcPr>
          <w:p w14:paraId="6C8FC27C" w14:textId="306A40DE" w:rsidR="0041429A" w:rsidRPr="00D108A9" w:rsidRDefault="00C53907">
            <w:pPr>
              <w:pStyle w:val="TableBody"/>
              <w:ind w:right="113"/>
              <w:jc w:val="right"/>
            </w:pPr>
            <w:r w:rsidRPr="00D108A9">
              <w:t>0.4%</w:t>
            </w:r>
          </w:p>
        </w:tc>
      </w:tr>
      <w:tr w:rsidR="0041429A" w14:paraId="3D5FFA17" w14:textId="77777777">
        <w:trPr>
          <w:cnfStyle w:val="000000010000" w:firstRow="0" w:lastRow="0" w:firstColumn="0" w:lastColumn="0" w:oddVBand="0" w:evenVBand="0" w:oddHBand="0" w:evenHBand="1" w:firstRowFirstColumn="0" w:firstRowLastColumn="0" w:lastRowFirstColumn="0" w:lastRowLastColumn="0"/>
        </w:trPr>
        <w:tc>
          <w:tcPr>
            <w:tcW w:w="3828" w:type="dxa"/>
          </w:tcPr>
          <w:p w14:paraId="3E79ED74" w14:textId="507A66B3" w:rsidR="0041429A" w:rsidRDefault="0041429A">
            <w:pPr>
              <w:pStyle w:val="TableBody"/>
            </w:pPr>
            <w:r w:rsidRPr="00AE6193">
              <w:t>Insurance</w:t>
            </w:r>
          </w:p>
        </w:tc>
        <w:tc>
          <w:tcPr>
            <w:tcW w:w="1417" w:type="dxa"/>
          </w:tcPr>
          <w:p w14:paraId="669759FF" w14:textId="77777777" w:rsidR="0041429A" w:rsidRPr="00AB017A" w:rsidRDefault="0041429A">
            <w:pPr>
              <w:pStyle w:val="TableBody"/>
              <w:ind w:right="113"/>
              <w:jc w:val="right"/>
            </w:pPr>
            <w:r w:rsidRPr="00AB017A">
              <w:t>3.6%</w:t>
            </w:r>
          </w:p>
        </w:tc>
        <w:tc>
          <w:tcPr>
            <w:tcW w:w="2196" w:type="dxa"/>
          </w:tcPr>
          <w:p w14:paraId="57648A31" w14:textId="2A819FB5" w:rsidR="0041429A" w:rsidRPr="00D108A9" w:rsidRDefault="00F33F20">
            <w:pPr>
              <w:pStyle w:val="TableBody"/>
              <w:ind w:right="113"/>
              <w:jc w:val="right"/>
            </w:pPr>
            <w:r w:rsidRPr="00D108A9">
              <w:t>20</w:t>
            </w:r>
            <w:r w:rsidR="0041429A" w:rsidRPr="00D108A9">
              <w:t>.</w:t>
            </w:r>
            <w:r w:rsidRPr="00D108A9">
              <w:t>6</w:t>
            </w:r>
            <w:r w:rsidR="0041429A" w:rsidRPr="00D108A9">
              <w:t>%</w:t>
            </w:r>
          </w:p>
        </w:tc>
        <w:tc>
          <w:tcPr>
            <w:tcW w:w="2197" w:type="dxa"/>
          </w:tcPr>
          <w:p w14:paraId="47164B9F" w14:textId="1607FB99" w:rsidR="0041429A" w:rsidRPr="00D108A9" w:rsidRDefault="0041429A">
            <w:pPr>
              <w:pStyle w:val="TableBody"/>
              <w:ind w:right="113"/>
              <w:jc w:val="right"/>
            </w:pPr>
            <w:r w:rsidRPr="00D108A9">
              <w:t>0.</w:t>
            </w:r>
            <w:r w:rsidR="00F33F20" w:rsidRPr="00D108A9">
              <w:t>7</w:t>
            </w:r>
            <w:r w:rsidRPr="00D108A9">
              <w:t>%</w:t>
            </w:r>
          </w:p>
        </w:tc>
      </w:tr>
      <w:tr w:rsidR="0041429A" w14:paraId="737E22BB" w14:textId="77777777">
        <w:trPr>
          <w:cnfStyle w:val="000000100000" w:firstRow="0" w:lastRow="0" w:firstColumn="0" w:lastColumn="0" w:oddVBand="0" w:evenVBand="0" w:oddHBand="1" w:evenHBand="0" w:firstRowFirstColumn="0" w:firstRowLastColumn="0" w:lastRowFirstColumn="0" w:lastRowLastColumn="0"/>
        </w:trPr>
        <w:tc>
          <w:tcPr>
            <w:tcW w:w="3828" w:type="dxa"/>
          </w:tcPr>
          <w:p w14:paraId="260A0A57" w14:textId="77777777" w:rsidR="0041429A" w:rsidRDefault="0041429A">
            <w:pPr>
              <w:pStyle w:val="TableBody"/>
            </w:pPr>
            <w:r w:rsidRPr="00AE6193">
              <w:t>Vehicle</w:t>
            </w:r>
          </w:p>
        </w:tc>
        <w:tc>
          <w:tcPr>
            <w:tcW w:w="1417" w:type="dxa"/>
          </w:tcPr>
          <w:p w14:paraId="6A3B781B" w14:textId="77777777" w:rsidR="0041429A" w:rsidRPr="00AB017A" w:rsidRDefault="0041429A">
            <w:pPr>
              <w:pStyle w:val="TableBody"/>
              <w:ind w:right="113"/>
              <w:jc w:val="right"/>
            </w:pPr>
            <w:r w:rsidRPr="00AB017A">
              <w:t>7.6%</w:t>
            </w:r>
          </w:p>
        </w:tc>
        <w:tc>
          <w:tcPr>
            <w:tcW w:w="2196" w:type="dxa"/>
          </w:tcPr>
          <w:p w14:paraId="067B8F1C" w14:textId="1374983E" w:rsidR="0041429A" w:rsidRPr="00D108A9" w:rsidRDefault="0041429A">
            <w:pPr>
              <w:pStyle w:val="TableBody"/>
              <w:ind w:right="113"/>
              <w:jc w:val="right"/>
            </w:pPr>
            <w:r w:rsidRPr="00D108A9">
              <w:t>20.</w:t>
            </w:r>
            <w:r w:rsidR="00F83133">
              <w:t>5</w:t>
            </w:r>
            <w:r w:rsidRPr="00D108A9">
              <w:t>%</w:t>
            </w:r>
          </w:p>
        </w:tc>
        <w:tc>
          <w:tcPr>
            <w:tcW w:w="2197" w:type="dxa"/>
          </w:tcPr>
          <w:p w14:paraId="4D2DDCD8" w14:textId="0AB3779B" w:rsidR="0041429A" w:rsidRPr="00D108A9" w:rsidRDefault="0041429A">
            <w:pPr>
              <w:pStyle w:val="TableBody"/>
              <w:ind w:right="113"/>
              <w:jc w:val="right"/>
            </w:pPr>
            <w:r w:rsidRPr="00D108A9">
              <w:t>1.</w:t>
            </w:r>
            <w:r w:rsidR="000C5B6B" w:rsidRPr="00D108A9">
              <w:t>5</w:t>
            </w:r>
            <w:r w:rsidRPr="00D108A9">
              <w:t>%</w:t>
            </w:r>
          </w:p>
        </w:tc>
      </w:tr>
      <w:tr w:rsidR="0041429A" w14:paraId="3B686962" w14:textId="77777777">
        <w:trPr>
          <w:cnfStyle w:val="000000010000" w:firstRow="0" w:lastRow="0" w:firstColumn="0" w:lastColumn="0" w:oddVBand="0" w:evenVBand="0" w:oddHBand="0" w:evenHBand="1" w:firstRowFirstColumn="0" w:firstRowLastColumn="0" w:lastRowFirstColumn="0" w:lastRowLastColumn="0"/>
        </w:trPr>
        <w:tc>
          <w:tcPr>
            <w:tcW w:w="3828" w:type="dxa"/>
          </w:tcPr>
          <w:p w14:paraId="49075F16" w14:textId="02C2CC7B" w:rsidR="0041429A" w:rsidRDefault="0041429A">
            <w:pPr>
              <w:pStyle w:val="TableBody"/>
            </w:pPr>
            <w:r w:rsidRPr="00AE6193">
              <w:t>Registration</w:t>
            </w:r>
          </w:p>
        </w:tc>
        <w:tc>
          <w:tcPr>
            <w:tcW w:w="1417" w:type="dxa"/>
          </w:tcPr>
          <w:p w14:paraId="3AD7B246" w14:textId="77777777" w:rsidR="0041429A" w:rsidRPr="00AB017A" w:rsidRDefault="0041429A">
            <w:pPr>
              <w:pStyle w:val="TableBody"/>
              <w:ind w:right="113"/>
              <w:jc w:val="right"/>
            </w:pPr>
            <w:r w:rsidRPr="00AB017A">
              <w:t>1.2%</w:t>
            </w:r>
          </w:p>
        </w:tc>
        <w:tc>
          <w:tcPr>
            <w:tcW w:w="2196" w:type="dxa"/>
          </w:tcPr>
          <w:p w14:paraId="7FDEF4C1" w14:textId="70ADBBE5" w:rsidR="0041429A" w:rsidRPr="00D108A9" w:rsidRDefault="008552CE">
            <w:pPr>
              <w:pStyle w:val="TableBody"/>
              <w:ind w:right="113"/>
              <w:jc w:val="right"/>
            </w:pPr>
            <w:r w:rsidRPr="00D108A9">
              <w:t>4</w:t>
            </w:r>
            <w:r w:rsidR="0041429A" w:rsidRPr="00D108A9">
              <w:t>.</w:t>
            </w:r>
            <w:r w:rsidRPr="00D108A9">
              <w:t>9</w:t>
            </w:r>
            <w:r w:rsidR="0041429A" w:rsidRPr="00D108A9">
              <w:t>%</w:t>
            </w:r>
          </w:p>
        </w:tc>
        <w:tc>
          <w:tcPr>
            <w:tcW w:w="2197" w:type="dxa"/>
          </w:tcPr>
          <w:p w14:paraId="27607B56" w14:textId="04C06220" w:rsidR="0041429A" w:rsidRPr="00D108A9" w:rsidRDefault="0041429A">
            <w:pPr>
              <w:pStyle w:val="TableBody"/>
              <w:ind w:right="113"/>
              <w:jc w:val="right"/>
            </w:pPr>
            <w:r w:rsidRPr="00D108A9">
              <w:t>0.</w:t>
            </w:r>
            <w:r w:rsidR="000C5B6B" w:rsidRPr="00D108A9">
              <w:t>1</w:t>
            </w:r>
            <w:r w:rsidRPr="00D108A9">
              <w:t>%</w:t>
            </w:r>
          </w:p>
        </w:tc>
      </w:tr>
      <w:tr w:rsidR="0041429A" w14:paraId="294C07D1" w14:textId="77777777">
        <w:trPr>
          <w:cnfStyle w:val="000000100000" w:firstRow="0" w:lastRow="0" w:firstColumn="0" w:lastColumn="0" w:oddVBand="0" w:evenVBand="0" w:oddHBand="1" w:evenHBand="0" w:firstRowFirstColumn="0" w:firstRowLastColumn="0" w:lastRowFirstColumn="0" w:lastRowLastColumn="0"/>
        </w:trPr>
        <w:tc>
          <w:tcPr>
            <w:tcW w:w="3828" w:type="dxa"/>
          </w:tcPr>
          <w:p w14:paraId="2F9FB7F5" w14:textId="77777777" w:rsidR="0041429A" w:rsidRDefault="0041429A">
            <w:pPr>
              <w:pStyle w:val="TableBody"/>
            </w:pPr>
            <w:r w:rsidRPr="00AE6193">
              <w:t>Repairs and maintenance</w:t>
            </w:r>
          </w:p>
        </w:tc>
        <w:tc>
          <w:tcPr>
            <w:tcW w:w="1417" w:type="dxa"/>
          </w:tcPr>
          <w:p w14:paraId="1D61064D" w14:textId="77777777" w:rsidR="0041429A" w:rsidRPr="00AB017A" w:rsidRDefault="0041429A">
            <w:pPr>
              <w:pStyle w:val="TableBody"/>
              <w:ind w:right="113"/>
              <w:jc w:val="right"/>
            </w:pPr>
            <w:r w:rsidRPr="00AB017A">
              <w:t>6.9%</w:t>
            </w:r>
          </w:p>
        </w:tc>
        <w:tc>
          <w:tcPr>
            <w:tcW w:w="2196" w:type="dxa"/>
          </w:tcPr>
          <w:p w14:paraId="2E3B78B6" w14:textId="594A703B" w:rsidR="0041429A" w:rsidRPr="00D108A9" w:rsidRDefault="008552CE">
            <w:pPr>
              <w:pStyle w:val="TableBody"/>
              <w:ind w:right="113"/>
              <w:jc w:val="right"/>
            </w:pPr>
            <w:r w:rsidRPr="00D108A9">
              <w:t>7</w:t>
            </w:r>
            <w:r w:rsidR="0041429A" w:rsidRPr="00D108A9">
              <w:t>.</w:t>
            </w:r>
            <w:r w:rsidRPr="00D108A9">
              <w:t>5</w:t>
            </w:r>
            <w:r w:rsidR="0041429A" w:rsidRPr="00D108A9">
              <w:t>%</w:t>
            </w:r>
          </w:p>
        </w:tc>
        <w:tc>
          <w:tcPr>
            <w:tcW w:w="2197" w:type="dxa"/>
          </w:tcPr>
          <w:p w14:paraId="3A92B58F" w14:textId="77777777" w:rsidR="0041429A" w:rsidRPr="00D108A9" w:rsidRDefault="0041429A">
            <w:pPr>
              <w:pStyle w:val="TableBody"/>
              <w:ind w:right="113"/>
              <w:jc w:val="right"/>
            </w:pPr>
            <w:r w:rsidRPr="00D108A9">
              <w:t>0.5%</w:t>
            </w:r>
          </w:p>
        </w:tc>
      </w:tr>
      <w:tr w:rsidR="0041429A" w14:paraId="054F0A3C" w14:textId="77777777">
        <w:trPr>
          <w:cnfStyle w:val="000000010000" w:firstRow="0" w:lastRow="0" w:firstColumn="0" w:lastColumn="0" w:oddVBand="0" w:evenVBand="0" w:oddHBand="0" w:evenHBand="1" w:firstRowFirstColumn="0" w:firstRowLastColumn="0" w:lastRowFirstColumn="0" w:lastRowLastColumn="0"/>
        </w:trPr>
        <w:tc>
          <w:tcPr>
            <w:tcW w:w="3828" w:type="dxa"/>
          </w:tcPr>
          <w:p w14:paraId="64D4A0BC" w14:textId="77777777" w:rsidR="0041429A" w:rsidRDefault="0041429A">
            <w:pPr>
              <w:pStyle w:val="TableBody"/>
            </w:pPr>
            <w:r w:rsidRPr="00AE6193">
              <w:t>Administration</w:t>
            </w:r>
          </w:p>
        </w:tc>
        <w:tc>
          <w:tcPr>
            <w:tcW w:w="1417" w:type="dxa"/>
          </w:tcPr>
          <w:p w14:paraId="4C2734E5" w14:textId="77777777" w:rsidR="0041429A" w:rsidRPr="00AB017A" w:rsidRDefault="0041429A">
            <w:pPr>
              <w:pStyle w:val="TableBody"/>
              <w:ind w:right="113"/>
              <w:jc w:val="right"/>
            </w:pPr>
            <w:r w:rsidRPr="00AB017A">
              <w:t>7.7%</w:t>
            </w:r>
          </w:p>
        </w:tc>
        <w:tc>
          <w:tcPr>
            <w:tcW w:w="2196" w:type="dxa"/>
          </w:tcPr>
          <w:p w14:paraId="172524EA" w14:textId="6AE5ED73" w:rsidR="0041429A" w:rsidRPr="00D108A9" w:rsidRDefault="0041429A">
            <w:pPr>
              <w:pStyle w:val="TableBody"/>
              <w:ind w:right="113"/>
              <w:jc w:val="right"/>
            </w:pPr>
            <w:r w:rsidRPr="00D108A9">
              <w:t>6.</w:t>
            </w:r>
            <w:r w:rsidR="000C5B6B" w:rsidRPr="00D108A9">
              <w:t>9</w:t>
            </w:r>
            <w:r w:rsidRPr="00D108A9">
              <w:t>%</w:t>
            </w:r>
          </w:p>
        </w:tc>
        <w:tc>
          <w:tcPr>
            <w:tcW w:w="2197" w:type="dxa"/>
          </w:tcPr>
          <w:p w14:paraId="0705D1D2" w14:textId="77777777" w:rsidR="0041429A" w:rsidRPr="00D108A9" w:rsidRDefault="0041429A">
            <w:pPr>
              <w:pStyle w:val="TableBody"/>
              <w:ind w:right="113"/>
              <w:jc w:val="right"/>
            </w:pPr>
            <w:r w:rsidRPr="00D108A9">
              <w:t>0.5%</w:t>
            </w:r>
          </w:p>
        </w:tc>
      </w:tr>
      <w:tr w:rsidR="0041429A" w14:paraId="197F1E9C" w14:textId="77777777">
        <w:trPr>
          <w:cnfStyle w:val="000000100000" w:firstRow="0" w:lastRow="0" w:firstColumn="0" w:lastColumn="0" w:oddVBand="0" w:evenVBand="0" w:oddHBand="1" w:evenHBand="0" w:firstRowFirstColumn="0" w:firstRowLastColumn="0" w:lastRowFirstColumn="0" w:lastRowLastColumn="0"/>
        </w:trPr>
        <w:tc>
          <w:tcPr>
            <w:tcW w:w="3828" w:type="dxa"/>
          </w:tcPr>
          <w:p w14:paraId="444841F7" w14:textId="77777777" w:rsidR="0041429A" w:rsidRPr="00E94E8E" w:rsidRDefault="0041429A">
            <w:pPr>
              <w:pStyle w:val="TableBody"/>
              <w:rPr>
                <w:b/>
                <w:bCs/>
              </w:rPr>
            </w:pPr>
            <w:r w:rsidRPr="00E94E8E">
              <w:rPr>
                <w:b/>
                <w:bCs/>
              </w:rPr>
              <w:t>Total operating costs</w:t>
            </w:r>
          </w:p>
        </w:tc>
        <w:tc>
          <w:tcPr>
            <w:tcW w:w="1417" w:type="dxa"/>
          </w:tcPr>
          <w:p w14:paraId="231773FA" w14:textId="77777777" w:rsidR="0041429A" w:rsidRPr="00AB017A" w:rsidRDefault="0041429A">
            <w:pPr>
              <w:pStyle w:val="TableBody"/>
              <w:ind w:right="113"/>
              <w:jc w:val="right"/>
              <w:rPr>
                <w:b/>
                <w:bCs/>
              </w:rPr>
            </w:pPr>
            <w:r w:rsidRPr="00AB017A">
              <w:rPr>
                <w:b/>
                <w:bCs/>
              </w:rPr>
              <w:t>45%</w:t>
            </w:r>
          </w:p>
        </w:tc>
        <w:tc>
          <w:tcPr>
            <w:tcW w:w="2196" w:type="dxa"/>
          </w:tcPr>
          <w:p w14:paraId="55C91017" w14:textId="1D764ED4" w:rsidR="0041429A" w:rsidRPr="00D108A9" w:rsidRDefault="00C53907">
            <w:pPr>
              <w:pStyle w:val="TableBody"/>
              <w:ind w:right="113"/>
              <w:jc w:val="right"/>
              <w:rPr>
                <w:b/>
                <w:bCs/>
              </w:rPr>
            </w:pPr>
            <w:r w:rsidRPr="00D108A9">
              <w:rPr>
                <w:b/>
                <w:bCs/>
              </w:rPr>
              <w:t>6.</w:t>
            </w:r>
            <w:r w:rsidR="00F83133">
              <w:rPr>
                <w:b/>
                <w:bCs/>
              </w:rPr>
              <w:t>4</w:t>
            </w:r>
            <w:r w:rsidRPr="00D108A9">
              <w:rPr>
                <w:b/>
                <w:bCs/>
              </w:rPr>
              <w:t>%</w:t>
            </w:r>
          </w:p>
        </w:tc>
        <w:tc>
          <w:tcPr>
            <w:tcW w:w="2197" w:type="dxa"/>
          </w:tcPr>
          <w:p w14:paraId="1D7B2D21" w14:textId="593AFCB2" w:rsidR="0041429A" w:rsidRPr="00D108A9" w:rsidRDefault="000C5B6B">
            <w:pPr>
              <w:pStyle w:val="TableBody"/>
              <w:ind w:right="113"/>
              <w:jc w:val="right"/>
              <w:rPr>
                <w:b/>
                <w:bCs/>
              </w:rPr>
            </w:pPr>
            <w:r w:rsidRPr="00D108A9">
              <w:rPr>
                <w:b/>
                <w:bCs/>
              </w:rPr>
              <w:t>2</w:t>
            </w:r>
            <w:r w:rsidR="00C53907" w:rsidRPr="00D108A9">
              <w:rPr>
                <w:b/>
                <w:bCs/>
              </w:rPr>
              <w:t>.</w:t>
            </w:r>
            <w:r w:rsidR="00F83133">
              <w:rPr>
                <w:b/>
                <w:bCs/>
              </w:rPr>
              <w:t>9</w:t>
            </w:r>
            <w:r w:rsidR="00C53907" w:rsidRPr="00D108A9">
              <w:rPr>
                <w:b/>
                <w:bCs/>
              </w:rPr>
              <w:t>%</w:t>
            </w:r>
          </w:p>
        </w:tc>
      </w:tr>
      <w:tr w:rsidR="0041429A" w14:paraId="3A0D0C09" w14:textId="77777777">
        <w:trPr>
          <w:cnfStyle w:val="000000010000" w:firstRow="0" w:lastRow="0" w:firstColumn="0" w:lastColumn="0" w:oddVBand="0" w:evenVBand="0" w:oddHBand="0" w:evenHBand="1" w:firstRowFirstColumn="0" w:firstRowLastColumn="0" w:lastRowFirstColumn="0" w:lastRowLastColumn="0"/>
        </w:trPr>
        <w:tc>
          <w:tcPr>
            <w:tcW w:w="3828" w:type="dxa"/>
          </w:tcPr>
          <w:p w14:paraId="3CC6156C" w14:textId="40F45F7D" w:rsidR="0041429A" w:rsidRDefault="0041429A">
            <w:pPr>
              <w:pStyle w:val="TableBody"/>
            </w:pPr>
            <w:r w:rsidRPr="00AE6193">
              <w:t>Driver labour</w:t>
            </w:r>
          </w:p>
        </w:tc>
        <w:tc>
          <w:tcPr>
            <w:tcW w:w="1417" w:type="dxa"/>
          </w:tcPr>
          <w:p w14:paraId="1630A668" w14:textId="77777777" w:rsidR="0041429A" w:rsidRPr="00AB017A" w:rsidRDefault="0041429A">
            <w:pPr>
              <w:pStyle w:val="TableBody"/>
              <w:ind w:right="113"/>
              <w:jc w:val="right"/>
            </w:pPr>
            <w:r w:rsidRPr="00AB017A">
              <w:t>55%</w:t>
            </w:r>
          </w:p>
        </w:tc>
        <w:tc>
          <w:tcPr>
            <w:tcW w:w="2196" w:type="dxa"/>
          </w:tcPr>
          <w:p w14:paraId="636C92E9" w14:textId="3E213F55" w:rsidR="0041429A" w:rsidRPr="00D108A9" w:rsidRDefault="00F33F20">
            <w:pPr>
              <w:pStyle w:val="TableBody"/>
              <w:ind w:right="113"/>
              <w:jc w:val="right"/>
            </w:pPr>
            <w:r w:rsidRPr="00D108A9">
              <w:t>12.7%</w:t>
            </w:r>
          </w:p>
        </w:tc>
        <w:tc>
          <w:tcPr>
            <w:tcW w:w="2197" w:type="dxa"/>
          </w:tcPr>
          <w:p w14:paraId="574CD826" w14:textId="15D76DB0" w:rsidR="0041429A" w:rsidRPr="00D108A9" w:rsidRDefault="00F33F20">
            <w:pPr>
              <w:pStyle w:val="TableBody"/>
              <w:ind w:right="113"/>
              <w:jc w:val="right"/>
            </w:pPr>
            <w:r w:rsidRPr="00D108A9">
              <w:t>7.0%</w:t>
            </w:r>
          </w:p>
        </w:tc>
      </w:tr>
      <w:tr w:rsidR="0041429A" w14:paraId="35F8C648" w14:textId="77777777">
        <w:trPr>
          <w:cnfStyle w:val="000000100000" w:firstRow="0" w:lastRow="0" w:firstColumn="0" w:lastColumn="0" w:oddVBand="0" w:evenVBand="0" w:oddHBand="1" w:evenHBand="0" w:firstRowFirstColumn="0" w:firstRowLastColumn="0" w:lastRowFirstColumn="0" w:lastRowLastColumn="0"/>
        </w:trPr>
        <w:tc>
          <w:tcPr>
            <w:tcW w:w="3828" w:type="dxa"/>
          </w:tcPr>
          <w:p w14:paraId="21939422" w14:textId="77777777" w:rsidR="0041429A" w:rsidRPr="00E94E8E" w:rsidRDefault="0041429A">
            <w:pPr>
              <w:pStyle w:val="TableBody"/>
              <w:rPr>
                <w:b/>
                <w:bCs/>
              </w:rPr>
            </w:pPr>
            <w:r w:rsidRPr="00E94E8E">
              <w:rPr>
                <w:b/>
                <w:bCs/>
              </w:rPr>
              <w:t>Total operating and labour costs</w:t>
            </w:r>
          </w:p>
        </w:tc>
        <w:tc>
          <w:tcPr>
            <w:tcW w:w="1417" w:type="dxa"/>
          </w:tcPr>
          <w:p w14:paraId="35A68E2E" w14:textId="77777777" w:rsidR="0041429A" w:rsidRPr="00E94E8E" w:rsidRDefault="0041429A">
            <w:pPr>
              <w:pStyle w:val="TableBody"/>
              <w:ind w:right="113"/>
              <w:jc w:val="right"/>
              <w:rPr>
                <w:b/>
                <w:bCs/>
              </w:rPr>
            </w:pPr>
            <w:r w:rsidRPr="00E94E8E">
              <w:rPr>
                <w:b/>
                <w:bCs/>
              </w:rPr>
              <w:t>100%</w:t>
            </w:r>
          </w:p>
        </w:tc>
        <w:tc>
          <w:tcPr>
            <w:tcW w:w="2196" w:type="dxa"/>
          </w:tcPr>
          <w:p w14:paraId="51A94C88" w14:textId="77777777" w:rsidR="0041429A" w:rsidRPr="00D108A9" w:rsidRDefault="0041429A">
            <w:pPr>
              <w:pStyle w:val="TableBody"/>
              <w:ind w:right="113"/>
              <w:jc w:val="right"/>
              <w:rPr>
                <w:b/>
                <w:bCs/>
              </w:rPr>
            </w:pPr>
            <w:r w:rsidRPr="00D108A9">
              <w:rPr>
                <w:b/>
                <w:bCs/>
              </w:rPr>
              <w:t>Not applicable</w:t>
            </w:r>
          </w:p>
        </w:tc>
        <w:tc>
          <w:tcPr>
            <w:tcW w:w="2197" w:type="dxa"/>
          </w:tcPr>
          <w:p w14:paraId="66E9E4BB" w14:textId="4688C0D5" w:rsidR="0041429A" w:rsidRPr="00D108A9" w:rsidRDefault="000C5B6B">
            <w:pPr>
              <w:pStyle w:val="TableBody"/>
              <w:ind w:right="113"/>
              <w:jc w:val="right"/>
              <w:rPr>
                <w:b/>
                <w:bCs/>
              </w:rPr>
            </w:pPr>
            <w:r w:rsidRPr="00D108A9">
              <w:rPr>
                <w:b/>
                <w:bCs/>
              </w:rPr>
              <w:t>9</w:t>
            </w:r>
            <w:r w:rsidR="00F33F20" w:rsidRPr="00D108A9">
              <w:rPr>
                <w:b/>
                <w:bCs/>
              </w:rPr>
              <w:t>.</w:t>
            </w:r>
            <w:r w:rsidR="00F83133">
              <w:rPr>
                <w:b/>
                <w:bCs/>
              </w:rPr>
              <w:t>9</w:t>
            </w:r>
            <w:r w:rsidR="00F33F20" w:rsidRPr="00D108A9">
              <w:rPr>
                <w:b/>
                <w:bCs/>
              </w:rPr>
              <w:t>%</w:t>
            </w:r>
          </w:p>
        </w:tc>
      </w:tr>
    </w:tbl>
    <w:p w14:paraId="7546EBA9" w14:textId="4F90FBA2" w:rsidR="009472F9" w:rsidRDefault="005D7CBE" w:rsidP="00C06445">
      <w:pPr>
        <w:pStyle w:val="Source"/>
        <w:jc w:val="left"/>
      </w:pPr>
      <w:r w:rsidRPr="001B3F35">
        <w:rPr>
          <w:b/>
          <w:bCs/>
        </w:rPr>
        <w:t>Note:</w:t>
      </w:r>
      <w:r>
        <w:t xml:space="preserve"> m</w:t>
      </w:r>
      <w:r w:rsidRPr="00C06445">
        <w:t>ost changes in cost</w:t>
      </w:r>
      <w:r w:rsidR="00E430B6">
        <w:t xml:space="preserve"> inflators</w:t>
      </w:r>
      <w:r w:rsidRPr="00C06445">
        <w:t xml:space="preserve"> are </w:t>
      </w:r>
      <w:r w:rsidRPr="00D108A9">
        <w:t xml:space="preserve">measured over the period from June 2022 to </w:t>
      </w:r>
      <w:r w:rsidR="00655891" w:rsidRPr="00D108A9">
        <w:t>June</w:t>
      </w:r>
      <w:r w:rsidRPr="00D108A9">
        <w:t xml:space="preserve"> 2024. However, </w:t>
      </w:r>
      <w:r w:rsidR="004C7D0B" w:rsidRPr="00D108A9">
        <w:t>the changes in the cost inflators</w:t>
      </w:r>
      <w:r w:rsidR="003A130A" w:rsidRPr="00D108A9">
        <w:t xml:space="preserve"> which use the wage price index (network</w:t>
      </w:r>
      <w:r w:rsidR="002C4363" w:rsidRPr="00D108A9">
        <w:t xml:space="preserve"> (labour) and administration) and </w:t>
      </w:r>
      <w:r w:rsidR="002B0FE4" w:rsidRPr="00D108A9">
        <w:t>comprehensive car insurance index</w:t>
      </w:r>
      <w:r w:rsidR="00224626" w:rsidRPr="00D108A9">
        <w:t xml:space="preserve"> (insurance</w:t>
      </w:r>
      <w:r w:rsidR="004A792F" w:rsidRPr="00D108A9">
        <w:t>)</w:t>
      </w:r>
      <w:r w:rsidR="004C7D0B" w:rsidRPr="003763B6">
        <w:t xml:space="preserve"> </w:t>
      </w:r>
      <w:r w:rsidR="004C7D0B" w:rsidRPr="00D108A9">
        <w:t>are measured from June 2022 to March 2024</w:t>
      </w:r>
      <w:r w:rsidRPr="00D108A9">
        <w:t>.</w:t>
      </w:r>
      <w:r w:rsidR="00C06445" w:rsidRPr="00D108A9">
        <w:t xml:space="preserve"> See Appendix </w:t>
      </w:r>
      <w:r w:rsidR="00901E46" w:rsidRPr="00D108A9">
        <w:t xml:space="preserve">E </w:t>
      </w:r>
      <w:r w:rsidR="00C06445" w:rsidRPr="00D108A9">
        <w:t>for more information.</w:t>
      </w:r>
    </w:p>
    <w:p w14:paraId="1041340D" w14:textId="2B53B69C" w:rsidR="0041429A" w:rsidRDefault="00B8039C" w:rsidP="00B8039C">
      <w:pPr>
        <w:pStyle w:val="Source"/>
        <w:jc w:val="left"/>
      </w:pPr>
      <w:r w:rsidRPr="00050C51">
        <w:rPr>
          <w:b/>
          <w:bCs/>
        </w:rPr>
        <w:t xml:space="preserve">Source: </w:t>
      </w:r>
      <w:r w:rsidRPr="00B8039C">
        <w:t>Essential Services Commission analysis (</w:t>
      </w:r>
      <w:r w:rsidRPr="00605C87">
        <w:t xml:space="preserve">see Appendix </w:t>
      </w:r>
      <w:r w:rsidR="00901E46">
        <w:t>E</w:t>
      </w:r>
      <w:r w:rsidR="00DA595C" w:rsidRPr="00605C87">
        <w:t>)</w:t>
      </w:r>
      <w:r w:rsidR="002A149C">
        <w:t>.</w:t>
      </w:r>
    </w:p>
    <w:p w14:paraId="1CDEC6BC" w14:textId="77777777" w:rsidR="004A7220" w:rsidRDefault="004A7220">
      <w:pPr>
        <w:spacing w:before="0" w:line="259" w:lineRule="auto"/>
        <w:rPr>
          <w:rFonts w:asciiTheme="majorHAnsi" w:eastAsiaTheme="majorEastAsia" w:hAnsiTheme="majorHAnsi" w:cstheme="majorBidi"/>
          <w:b/>
          <w:color w:val="4986A0" w:themeColor="text2"/>
          <w:szCs w:val="24"/>
        </w:rPr>
      </w:pPr>
      <w:r>
        <w:br w:type="page"/>
      </w:r>
    </w:p>
    <w:p w14:paraId="5A2762AB" w14:textId="11D46977" w:rsidR="00DE2E3B" w:rsidRDefault="00DE2E3B" w:rsidP="005D1A8E">
      <w:pPr>
        <w:pStyle w:val="Figure-Table-BoxHeading"/>
        <w:keepNext/>
        <w:keepLines/>
        <w:spacing w:after="0"/>
        <w:ind w:left="0" w:firstLine="0"/>
      </w:pPr>
      <w:r w:rsidRPr="17F31E41">
        <w:rPr>
          <w:lang w:val="en-AU"/>
        </w:rPr>
        <w:lastRenderedPageBreak/>
        <w:t xml:space="preserve">Table </w:t>
      </w:r>
      <w:r w:rsidR="001769F4" w:rsidRPr="17F31E41">
        <w:rPr>
          <w:lang w:val="en-AU"/>
        </w:rPr>
        <w:t>3</w:t>
      </w:r>
      <w:r w:rsidR="00AF7E10">
        <w:tab/>
      </w:r>
      <w:r w:rsidRPr="17F31E41">
        <w:rPr>
          <w:lang w:val="en-AU"/>
        </w:rPr>
        <w:t>Change in costs of operating a wheelchair accessible taxi</w:t>
      </w:r>
    </w:p>
    <w:p w14:paraId="50D3FEDA" w14:textId="65E7306F" w:rsidR="0041429A" w:rsidRDefault="00DE2E3B" w:rsidP="005D1A8E">
      <w:pPr>
        <w:pStyle w:val="Figure-Table-BoxSubtitle"/>
        <w:keepNext/>
        <w:keepLines/>
        <w:spacing w:before="0" w:line="288" w:lineRule="auto"/>
        <w:ind w:left="1418"/>
      </w:pPr>
      <w:r>
        <w:t xml:space="preserve">June 2022 to </w:t>
      </w:r>
      <w:r w:rsidR="0097744A">
        <w:t>June</w:t>
      </w:r>
      <w:r>
        <w:t xml:space="preserve"> 2024</w:t>
      </w:r>
    </w:p>
    <w:tbl>
      <w:tblPr>
        <w:tblStyle w:val="TableGrid"/>
        <w:tblW w:w="0" w:type="auto"/>
        <w:tblLook w:val="04A0" w:firstRow="1" w:lastRow="0" w:firstColumn="1" w:lastColumn="0" w:noHBand="0" w:noVBand="1"/>
      </w:tblPr>
      <w:tblGrid>
        <w:gridCol w:w="3686"/>
        <w:gridCol w:w="1417"/>
        <w:gridCol w:w="2267"/>
        <w:gridCol w:w="2268"/>
      </w:tblGrid>
      <w:tr w:rsidR="00E20226" w14:paraId="38038BB9" w14:textId="77777777">
        <w:trPr>
          <w:cnfStyle w:val="100000000000" w:firstRow="1" w:lastRow="0" w:firstColumn="0" w:lastColumn="0" w:oddVBand="0" w:evenVBand="0" w:oddHBand="0" w:evenHBand="0" w:firstRowFirstColumn="0" w:firstRowLastColumn="0" w:lastRowFirstColumn="0" w:lastRowLastColumn="0"/>
        </w:trPr>
        <w:tc>
          <w:tcPr>
            <w:tcW w:w="3686" w:type="dxa"/>
          </w:tcPr>
          <w:p w14:paraId="45F6DC42" w14:textId="77777777" w:rsidR="00E20226" w:rsidRDefault="00E20226" w:rsidP="005D1A8E">
            <w:pPr>
              <w:pStyle w:val="TableHeading"/>
              <w:keepNext/>
              <w:keepLines/>
            </w:pPr>
            <w:r w:rsidRPr="17F31E41">
              <w:rPr>
                <w:lang w:val="en-AU"/>
              </w:rPr>
              <w:t>Cost component</w:t>
            </w:r>
          </w:p>
        </w:tc>
        <w:tc>
          <w:tcPr>
            <w:tcW w:w="1417" w:type="dxa"/>
          </w:tcPr>
          <w:p w14:paraId="2A6C9AAF" w14:textId="77777777" w:rsidR="00E20226" w:rsidRDefault="00E20226" w:rsidP="005D1A8E">
            <w:pPr>
              <w:pStyle w:val="TableHeading"/>
              <w:keepNext/>
              <w:keepLines/>
              <w:ind w:right="113"/>
              <w:jc w:val="right"/>
            </w:pPr>
            <w:r w:rsidRPr="00F03274">
              <w:t>Cost share</w:t>
            </w:r>
          </w:p>
        </w:tc>
        <w:tc>
          <w:tcPr>
            <w:tcW w:w="2267" w:type="dxa"/>
          </w:tcPr>
          <w:p w14:paraId="2376E2B9" w14:textId="77777777" w:rsidR="00E20226" w:rsidRDefault="00E20226" w:rsidP="005D1A8E">
            <w:pPr>
              <w:pStyle w:val="TableHeading"/>
              <w:keepNext/>
              <w:keepLines/>
              <w:ind w:right="113"/>
              <w:jc w:val="right"/>
            </w:pPr>
            <w:r w:rsidRPr="00F03274">
              <w:t>Change in cost inflator</w:t>
            </w:r>
          </w:p>
        </w:tc>
        <w:tc>
          <w:tcPr>
            <w:tcW w:w="2268" w:type="dxa"/>
          </w:tcPr>
          <w:p w14:paraId="22E4A10F" w14:textId="77777777" w:rsidR="00E20226" w:rsidRPr="00F03274" w:rsidRDefault="00E20226" w:rsidP="005D1A8E">
            <w:pPr>
              <w:pStyle w:val="TableHeading"/>
              <w:keepNext/>
              <w:keepLines/>
              <w:ind w:right="113"/>
              <w:jc w:val="right"/>
            </w:pPr>
            <w:r w:rsidRPr="00A22B58">
              <w:t xml:space="preserve">Contribution to overall change </w:t>
            </w:r>
          </w:p>
        </w:tc>
      </w:tr>
      <w:tr w:rsidR="00E20226" w14:paraId="6B0595B4"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7B1418C9" w14:textId="77777777" w:rsidR="00E20226" w:rsidRDefault="00E20226" w:rsidP="005D1A8E">
            <w:pPr>
              <w:pStyle w:val="TableBody"/>
              <w:keepNext/>
              <w:keepLines/>
            </w:pPr>
            <w:r w:rsidRPr="00AE6193">
              <w:t>Fuel</w:t>
            </w:r>
          </w:p>
        </w:tc>
        <w:tc>
          <w:tcPr>
            <w:tcW w:w="1417" w:type="dxa"/>
          </w:tcPr>
          <w:p w14:paraId="4D07DC64" w14:textId="77777777" w:rsidR="00E20226" w:rsidRPr="002A149C" w:rsidRDefault="00E20226" w:rsidP="005D1A8E">
            <w:pPr>
              <w:pStyle w:val="TableBody"/>
              <w:keepNext/>
              <w:keepLines/>
              <w:ind w:right="113"/>
              <w:jc w:val="right"/>
            </w:pPr>
            <w:r w:rsidRPr="002A149C">
              <w:t>7.0%</w:t>
            </w:r>
          </w:p>
        </w:tc>
        <w:tc>
          <w:tcPr>
            <w:tcW w:w="2267" w:type="dxa"/>
          </w:tcPr>
          <w:p w14:paraId="419ECE75" w14:textId="79EAB546" w:rsidR="00E20226" w:rsidRPr="00C0110D" w:rsidRDefault="00E20226" w:rsidP="005D1A8E">
            <w:pPr>
              <w:pStyle w:val="TableBody"/>
              <w:keepNext/>
              <w:keepLines/>
              <w:ind w:right="113"/>
              <w:jc w:val="right"/>
            </w:pPr>
            <w:r w:rsidRPr="00C0110D">
              <w:rPr>
                <w:rFonts w:cstheme="minorHAnsi"/>
              </w:rPr>
              <w:t>−</w:t>
            </w:r>
            <w:r w:rsidR="00575549" w:rsidRPr="00C0110D">
              <w:t>16</w:t>
            </w:r>
            <w:r w:rsidRPr="00C0110D">
              <w:t>.2%</w:t>
            </w:r>
          </w:p>
        </w:tc>
        <w:tc>
          <w:tcPr>
            <w:tcW w:w="2268" w:type="dxa"/>
          </w:tcPr>
          <w:p w14:paraId="04632816" w14:textId="2C30AD49" w:rsidR="00E20226" w:rsidRPr="00C0110D" w:rsidRDefault="00E20226" w:rsidP="005D1A8E">
            <w:pPr>
              <w:pStyle w:val="TableBody"/>
              <w:keepNext/>
              <w:keepLines/>
              <w:ind w:right="113"/>
              <w:jc w:val="right"/>
            </w:pPr>
            <w:r w:rsidRPr="00C0110D">
              <w:rPr>
                <w:rFonts w:cstheme="minorHAnsi"/>
              </w:rPr>
              <w:t>−</w:t>
            </w:r>
            <w:r w:rsidR="005D1952" w:rsidRPr="00C0110D">
              <w:t>1</w:t>
            </w:r>
            <w:r w:rsidRPr="00C0110D">
              <w:t>.</w:t>
            </w:r>
            <w:r w:rsidR="005D1952" w:rsidRPr="00C0110D">
              <w:t>1</w:t>
            </w:r>
            <w:r w:rsidRPr="00C0110D">
              <w:t>%</w:t>
            </w:r>
          </w:p>
        </w:tc>
      </w:tr>
      <w:tr w:rsidR="00E20226" w14:paraId="486C2766" w14:textId="77777777">
        <w:trPr>
          <w:cnfStyle w:val="000000010000" w:firstRow="0" w:lastRow="0" w:firstColumn="0" w:lastColumn="0" w:oddVBand="0" w:evenVBand="0" w:oddHBand="0" w:evenHBand="1" w:firstRowFirstColumn="0" w:firstRowLastColumn="0" w:lastRowFirstColumn="0" w:lastRowLastColumn="0"/>
        </w:trPr>
        <w:tc>
          <w:tcPr>
            <w:tcW w:w="3686" w:type="dxa"/>
          </w:tcPr>
          <w:p w14:paraId="504CFFB1" w14:textId="77777777" w:rsidR="00E20226" w:rsidRDefault="00E20226" w:rsidP="005D1A8E">
            <w:pPr>
              <w:pStyle w:val="TableBody"/>
              <w:keepNext/>
              <w:keepLines/>
            </w:pPr>
            <w:r w:rsidRPr="00AE6193">
              <w:t>Network (equipment)</w:t>
            </w:r>
          </w:p>
        </w:tc>
        <w:tc>
          <w:tcPr>
            <w:tcW w:w="1417" w:type="dxa"/>
          </w:tcPr>
          <w:p w14:paraId="34FA1952" w14:textId="77777777" w:rsidR="00E20226" w:rsidRPr="002A149C" w:rsidRDefault="00E20226" w:rsidP="005D1A8E">
            <w:pPr>
              <w:pStyle w:val="TableBody"/>
              <w:keepNext/>
              <w:keepLines/>
              <w:ind w:right="113"/>
              <w:jc w:val="right"/>
            </w:pPr>
            <w:r w:rsidRPr="002A149C">
              <w:t>4.3%</w:t>
            </w:r>
          </w:p>
        </w:tc>
        <w:tc>
          <w:tcPr>
            <w:tcW w:w="2267" w:type="dxa"/>
          </w:tcPr>
          <w:p w14:paraId="79AA2777" w14:textId="31F5D3FC" w:rsidR="00E20226" w:rsidRPr="00C0110D" w:rsidRDefault="00575549" w:rsidP="005D1A8E">
            <w:pPr>
              <w:pStyle w:val="TableBody"/>
              <w:keepNext/>
              <w:keepLines/>
              <w:ind w:right="113"/>
              <w:jc w:val="right"/>
            </w:pPr>
            <w:r w:rsidRPr="00C0110D">
              <w:t>1</w:t>
            </w:r>
            <w:r w:rsidR="00E20226" w:rsidRPr="00C0110D">
              <w:t>.</w:t>
            </w:r>
            <w:r w:rsidRPr="00C0110D">
              <w:t>3</w:t>
            </w:r>
            <w:r w:rsidR="00E20226" w:rsidRPr="00C0110D">
              <w:t>%</w:t>
            </w:r>
          </w:p>
        </w:tc>
        <w:tc>
          <w:tcPr>
            <w:tcW w:w="2268" w:type="dxa"/>
          </w:tcPr>
          <w:p w14:paraId="0FB907C7" w14:textId="77777777" w:rsidR="00E20226" w:rsidRPr="00C0110D" w:rsidRDefault="00E20226" w:rsidP="005D1A8E">
            <w:pPr>
              <w:pStyle w:val="TableBody"/>
              <w:keepNext/>
              <w:keepLines/>
              <w:ind w:right="113"/>
              <w:jc w:val="right"/>
            </w:pPr>
            <w:r w:rsidRPr="00C0110D">
              <w:t>0.1%</w:t>
            </w:r>
          </w:p>
        </w:tc>
      </w:tr>
      <w:tr w:rsidR="00E20226" w14:paraId="078A5EE5"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7830402E" w14:textId="77777777" w:rsidR="00E20226" w:rsidRDefault="00E20226" w:rsidP="005D1A8E">
            <w:pPr>
              <w:pStyle w:val="TableBody"/>
              <w:keepNext/>
              <w:keepLines/>
            </w:pPr>
            <w:r w:rsidRPr="00AE6193">
              <w:t>Network (labour)</w:t>
            </w:r>
          </w:p>
        </w:tc>
        <w:tc>
          <w:tcPr>
            <w:tcW w:w="1417" w:type="dxa"/>
          </w:tcPr>
          <w:p w14:paraId="6E1B1387" w14:textId="77777777" w:rsidR="00E20226" w:rsidRPr="002A149C" w:rsidRDefault="00E20226" w:rsidP="005D1A8E">
            <w:pPr>
              <w:pStyle w:val="TableBody"/>
              <w:keepNext/>
              <w:keepLines/>
              <w:ind w:right="113"/>
              <w:jc w:val="right"/>
            </w:pPr>
            <w:r w:rsidRPr="002A149C">
              <w:t>4.3%</w:t>
            </w:r>
          </w:p>
        </w:tc>
        <w:tc>
          <w:tcPr>
            <w:tcW w:w="2267" w:type="dxa"/>
          </w:tcPr>
          <w:p w14:paraId="1FC914C3" w14:textId="00684F2E" w:rsidR="00E20226" w:rsidRPr="00C0110D" w:rsidRDefault="00774057" w:rsidP="005D1A8E">
            <w:pPr>
              <w:pStyle w:val="TableBody"/>
              <w:keepNext/>
              <w:keepLines/>
              <w:ind w:right="113"/>
              <w:jc w:val="right"/>
            </w:pPr>
            <w:r w:rsidRPr="00C0110D">
              <w:t>6.6%</w:t>
            </w:r>
          </w:p>
        </w:tc>
        <w:tc>
          <w:tcPr>
            <w:tcW w:w="2268" w:type="dxa"/>
          </w:tcPr>
          <w:p w14:paraId="002E33EB" w14:textId="39C9EB64" w:rsidR="00E20226" w:rsidRPr="00C0110D" w:rsidRDefault="00E6661C" w:rsidP="005D1A8E">
            <w:pPr>
              <w:pStyle w:val="TableBody"/>
              <w:keepNext/>
              <w:keepLines/>
              <w:ind w:right="113"/>
              <w:jc w:val="right"/>
            </w:pPr>
            <w:r w:rsidRPr="00C0110D">
              <w:t>0.3%</w:t>
            </w:r>
          </w:p>
        </w:tc>
      </w:tr>
      <w:tr w:rsidR="00E20226" w14:paraId="7108CCC4" w14:textId="77777777">
        <w:trPr>
          <w:cnfStyle w:val="000000010000" w:firstRow="0" w:lastRow="0" w:firstColumn="0" w:lastColumn="0" w:oddVBand="0" w:evenVBand="0" w:oddHBand="0" w:evenHBand="1" w:firstRowFirstColumn="0" w:firstRowLastColumn="0" w:lastRowFirstColumn="0" w:lastRowLastColumn="0"/>
        </w:trPr>
        <w:tc>
          <w:tcPr>
            <w:tcW w:w="3686" w:type="dxa"/>
          </w:tcPr>
          <w:p w14:paraId="62672439" w14:textId="6C8D5FAA" w:rsidR="00E20226" w:rsidRDefault="00E20226" w:rsidP="005D1A8E">
            <w:pPr>
              <w:pStyle w:val="TableBody"/>
              <w:keepNext/>
              <w:keepLines/>
            </w:pPr>
            <w:r w:rsidRPr="00AE6193">
              <w:t>Insurance</w:t>
            </w:r>
          </w:p>
        </w:tc>
        <w:tc>
          <w:tcPr>
            <w:tcW w:w="1417" w:type="dxa"/>
          </w:tcPr>
          <w:p w14:paraId="29E58D4B" w14:textId="77777777" w:rsidR="00E20226" w:rsidRPr="002A149C" w:rsidRDefault="00E20226" w:rsidP="005D1A8E">
            <w:pPr>
              <w:pStyle w:val="TableBody"/>
              <w:keepNext/>
              <w:keepLines/>
              <w:ind w:right="113"/>
              <w:jc w:val="right"/>
            </w:pPr>
            <w:r w:rsidRPr="002A149C">
              <w:t>3.9%</w:t>
            </w:r>
          </w:p>
        </w:tc>
        <w:tc>
          <w:tcPr>
            <w:tcW w:w="2267" w:type="dxa"/>
          </w:tcPr>
          <w:p w14:paraId="666A44B2" w14:textId="56C49F92" w:rsidR="00E20226" w:rsidRPr="00C0110D" w:rsidRDefault="00F33F20" w:rsidP="005D1A8E">
            <w:pPr>
              <w:pStyle w:val="TableBody"/>
              <w:keepNext/>
              <w:keepLines/>
              <w:ind w:right="113"/>
              <w:jc w:val="right"/>
            </w:pPr>
            <w:r w:rsidRPr="00C0110D">
              <w:t>20</w:t>
            </w:r>
            <w:r w:rsidR="00E20226" w:rsidRPr="00C0110D">
              <w:t>.</w:t>
            </w:r>
            <w:r w:rsidRPr="00C0110D">
              <w:t>6</w:t>
            </w:r>
            <w:r w:rsidR="00E20226" w:rsidRPr="00C0110D">
              <w:t>%</w:t>
            </w:r>
          </w:p>
        </w:tc>
        <w:tc>
          <w:tcPr>
            <w:tcW w:w="2268" w:type="dxa"/>
          </w:tcPr>
          <w:p w14:paraId="15DA4153" w14:textId="0B737829" w:rsidR="00E20226" w:rsidRPr="00C0110D" w:rsidRDefault="00E20226" w:rsidP="005D1A8E">
            <w:pPr>
              <w:pStyle w:val="TableBody"/>
              <w:keepNext/>
              <w:keepLines/>
              <w:ind w:right="113"/>
              <w:jc w:val="right"/>
            </w:pPr>
            <w:r w:rsidRPr="00C0110D">
              <w:t>0.</w:t>
            </w:r>
            <w:r w:rsidR="00F33F20" w:rsidRPr="00C0110D">
              <w:t>8</w:t>
            </w:r>
            <w:r w:rsidRPr="00C0110D">
              <w:t>%</w:t>
            </w:r>
          </w:p>
        </w:tc>
      </w:tr>
      <w:tr w:rsidR="00E20226" w14:paraId="7D5746C9"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79A45D35" w14:textId="77777777" w:rsidR="00E20226" w:rsidRDefault="00E20226" w:rsidP="005D1A8E">
            <w:pPr>
              <w:pStyle w:val="TableBody"/>
              <w:keepNext/>
              <w:keepLines/>
            </w:pPr>
            <w:r w:rsidRPr="00AE6193">
              <w:t>Vehicle</w:t>
            </w:r>
          </w:p>
        </w:tc>
        <w:tc>
          <w:tcPr>
            <w:tcW w:w="1417" w:type="dxa"/>
          </w:tcPr>
          <w:p w14:paraId="3198AA93" w14:textId="77777777" w:rsidR="00E20226" w:rsidRPr="002A149C" w:rsidRDefault="00E20226" w:rsidP="005D1A8E">
            <w:pPr>
              <w:pStyle w:val="TableBody"/>
              <w:keepNext/>
              <w:keepLines/>
              <w:ind w:right="113"/>
              <w:jc w:val="right"/>
            </w:pPr>
            <w:r w:rsidRPr="002A149C">
              <w:t>11.5%</w:t>
            </w:r>
          </w:p>
        </w:tc>
        <w:tc>
          <w:tcPr>
            <w:tcW w:w="2267" w:type="dxa"/>
          </w:tcPr>
          <w:p w14:paraId="48D487AB" w14:textId="281E7A26" w:rsidR="00E20226" w:rsidRPr="00C0110D" w:rsidRDefault="00E20226" w:rsidP="005D1A8E">
            <w:pPr>
              <w:pStyle w:val="TableBody"/>
              <w:keepNext/>
              <w:keepLines/>
              <w:ind w:right="113"/>
              <w:jc w:val="right"/>
            </w:pPr>
            <w:r w:rsidRPr="00C0110D">
              <w:t>2</w:t>
            </w:r>
            <w:r w:rsidR="00E61F0C" w:rsidRPr="00C0110D">
              <w:t>3</w:t>
            </w:r>
            <w:r w:rsidRPr="00C0110D">
              <w:t>.</w:t>
            </w:r>
            <w:r w:rsidR="00575549" w:rsidRPr="00C0110D">
              <w:t>0</w:t>
            </w:r>
            <w:r w:rsidRPr="00C0110D">
              <w:t>%</w:t>
            </w:r>
          </w:p>
        </w:tc>
        <w:tc>
          <w:tcPr>
            <w:tcW w:w="2268" w:type="dxa"/>
          </w:tcPr>
          <w:p w14:paraId="1C6582CA" w14:textId="3440D541" w:rsidR="00E20226" w:rsidRPr="00C0110D" w:rsidRDefault="00E20226" w:rsidP="005D1A8E">
            <w:pPr>
              <w:pStyle w:val="TableBody"/>
              <w:keepNext/>
              <w:keepLines/>
              <w:ind w:right="113"/>
              <w:jc w:val="right"/>
            </w:pPr>
            <w:r w:rsidRPr="00C0110D">
              <w:t>2.</w:t>
            </w:r>
            <w:r w:rsidR="005D1952" w:rsidRPr="00C0110D">
              <w:t>6</w:t>
            </w:r>
            <w:r w:rsidRPr="00C0110D">
              <w:t>%</w:t>
            </w:r>
          </w:p>
        </w:tc>
      </w:tr>
      <w:tr w:rsidR="00E20226" w14:paraId="183EDF89" w14:textId="77777777">
        <w:trPr>
          <w:cnfStyle w:val="000000010000" w:firstRow="0" w:lastRow="0" w:firstColumn="0" w:lastColumn="0" w:oddVBand="0" w:evenVBand="0" w:oddHBand="0" w:evenHBand="1" w:firstRowFirstColumn="0" w:firstRowLastColumn="0" w:lastRowFirstColumn="0" w:lastRowLastColumn="0"/>
        </w:trPr>
        <w:tc>
          <w:tcPr>
            <w:tcW w:w="3686" w:type="dxa"/>
          </w:tcPr>
          <w:p w14:paraId="18439132" w14:textId="069BFD1D" w:rsidR="00E20226" w:rsidRDefault="00E20226">
            <w:pPr>
              <w:pStyle w:val="TableBody"/>
            </w:pPr>
            <w:r w:rsidRPr="00AE6193">
              <w:t>Registration</w:t>
            </w:r>
          </w:p>
        </w:tc>
        <w:tc>
          <w:tcPr>
            <w:tcW w:w="1417" w:type="dxa"/>
          </w:tcPr>
          <w:p w14:paraId="7325EE86" w14:textId="77777777" w:rsidR="00E20226" w:rsidRPr="002A149C" w:rsidRDefault="00E20226">
            <w:pPr>
              <w:pStyle w:val="TableBody"/>
              <w:ind w:right="113"/>
              <w:jc w:val="right"/>
            </w:pPr>
            <w:r w:rsidRPr="002A149C">
              <w:t>1.1%</w:t>
            </w:r>
          </w:p>
        </w:tc>
        <w:tc>
          <w:tcPr>
            <w:tcW w:w="2267" w:type="dxa"/>
          </w:tcPr>
          <w:p w14:paraId="113C6FD6" w14:textId="18B210AC" w:rsidR="00E20226" w:rsidRPr="00C0110D" w:rsidRDefault="00FF3EC4">
            <w:pPr>
              <w:pStyle w:val="TableBody"/>
              <w:ind w:right="113"/>
              <w:jc w:val="right"/>
            </w:pPr>
            <w:r w:rsidRPr="00C0110D">
              <w:t>4</w:t>
            </w:r>
            <w:r w:rsidR="00E20226" w:rsidRPr="00C0110D">
              <w:t>.</w:t>
            </w:r>
            <w:r w:rsidRPr="00C0110D">
              <w:t>9</w:t>
            </w:r>
            <w:r w:rsidR="00E20226" w:rsidRPr="00C0110D">
              <w:t>%</w:t>
            </w:r>
          </w:p>
        </w:tc>
        <w:tc>
          <w:tcPr>
            <w:tcW w:w="2268" w:type="dxa"/>
          </w:tcPr>
          <w:p w14:paraId="569B209C" w14:textId="2E46823D" w:rsidR="00E20226" w:rsidRPr="00C0110D" w:rsidRDefault="00E20226">
            <w:pPr>
              <w:pStyle w:val="TableBody"/>
              <w:ind w:right="113"/>
              <w:jc w:val="right"/>
            </w:pPr>
            <w:r w:rsidRPr="00C0110D">
              <w:t>0.</w:t>
            </w:r>
            <w:r w:rsidR="005D1952" w:rsidRPr="00C0110D">
              <w:t>1</w:t>
            </w:r>
            <w:r w:rsidRPr="00C0110D">
              <w:t>%</w:t>
            </w:r>
          </w:p>
        </w:tc>
      </w:tr>
      <w:tr w:rsidR="00E20226" w14:paraId="32D1F704"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3F123C99" w14:textId="77777777" w:rsidR="00E20226" w:rsidRDefault="00E20226">
            <w:pPr>
              <w:pStyle w:val="TableBody"/>
            </w:pPr>
            <w:r w:rsidRPr="00AE6193">
              <w:t>Repairs and maintenance</w:t>
            </w:r>
          </w:p>
        </w:tc>
        <w:tc>
          <w:tcPr>
            <w:tcW w:w="1417" w:type="dxa"/>
          </w:tcPr>
          <w:p w14:paraId="39AB8B68" w14:textId="77777777" w:rsidR="00E20226" w:rsidRPr="002A149C" w:rsidRDefault="00E20226">
            <w:pPr>
              <w:pStyle w:val="TableBody"/>
              <w:ind w:right="113"/>
              <w:jc w:val="right"/>
            </w:pPr>
            <w:r w:rsidRPr="002A149C">
              <w:t>6.3%</w:t>
            </w:r>
          </w:p>
        </w:tc>
        <w:tc>
          <w:tcPr>
            <w:tcW w:w="2267" w:type="dxa"/>
          </w:tcPr>
          <w:p w14:paraId="050FD5BF" w14:textId="137D77BF" w:rsidR="00E20226" w:rsidRPr="001D7B80" w:rsidRDefault="005D1952">
            <w:pPr>
              <w:pStyle w:val="TableBody"/>
              <w:ind w:right="113"/>
              <w:jc w:val="right"/>
            </w:pPr>
            <w:r w:rsidRPr="001D7B80">
              <w:t>7</w:t>
            </w:r>
            <w:r w:rsidR="00E20226" w:rsidRPr="001D7B80">
              <w:t>.</w:t>
            </w:r>
            <w:r w:rsidRPr="001D7B80">
              <w:t>5</w:t>
            </w:r>
            <w:r w:rsidR="00E20226" w:rsidRPr="001D7B80">
              <w:t>%</w:t>
            </w:r>
          </w:p>
        </w:tc>
        <w:tc>
          <w:tcPr>
            <w:tcW w:w="2268" w:type="dxa"/>
          </w:tcPr>
          <w:p w14:paraId="4B87C65F" w14:textId="4F679ECC" w:rsidR="00E20226" w:rsidRPr="001D7B80" w:rsidRDefault="00E20226">
            <w:pPr>
              <w:pStyle w:val="TableBody"/>
              <w:ind w:right="113"/>
              <w:jc w:val="right"/>
            </w:pPr>
            <w:r w:rsidRPr="001D7B80">
              <w:t>0.</w:t>
            </w:r>
            <w:r w:rsidR="005D1952" w:rsidRPr="001D7B80">
              <w:t>5</w:t>
            </w:r>
            <w:r w:rsidRPr="001D7B80">
              <w:t>%</w:t>
            </w:r>
          </w:p>
        </w:tc>
      </w:tr>
      <w:tr w:rsidR="00E20226" w14:paraId="1D0D8F0E" w14:textId="77777777">
        <w:trPr>
          <w:cnfStyle w:val="000000010000" w:firstRow="0" w:lastRow="0" w:firstColumn="0" w:lastColumn="0" w:oddVBand="0" w:evenVBand="0" w:oddHBand="0" w:evenHBand="1" w:firstRowFirstColumn="0" w:firstRowLastColumn="0" w:lastRowFirstColumn="0" w:lastRowLastColumn="0"/>
        </w:trPr>
        <w:tc>
          <w:tcPr>
            <w:tcW w:w="3686" w:type="dxa"/>
          </w:tcPr>
          <w:p w14:paraId="3BFE1963" w14:textId="77777777" w:rsidR="00E20226" w:rsidRDefault="00E20226">
            <w:pPr>
              <w:pStyle w:val="TableBody"/>
            </w:pPr>
            <w:r w:rsidRPr="00AE6193">
              <w:t>Administration</w:t>
            </w:r>
          </w:p>
        </w:tc>
        <w:tc>
          <w:tcPr>
            <w:tcW w:w="1417" w:type="dxa"/>
          </w:tcPr>
          <w:p w14:paraId="1E20C901" w14:textId="77777777" w:rsidR="00E20226" w:rsidRPr="002A149C" w:rsidRDefault="00E20226">
            <w:pPr>
              <w:pStyle w:val="TableBody"/>
              <w:ind w:right="113"/>
              <w:jc w:val="right"/>
            </w:pPr>
            <w:r w:rsidRPr="002A149C">
              <w:t>6.5%</w:t>
            </w:r>
          </w:p>
        </w:tc>
        <w:tc>
          <w:tcPr>
            <w:tcW w:w="2267" w:type="dxa"/>
          </w:tcPr>
          <w:p w14:paraId="6ACBDD43" w14:textId="61D66FAE" w:rsidR="00E20226" w:rsidRPr="001D7B80" w:rsidRDefault="00E20226">
            <w:pPr>
              <w:pStyle w:val="TableBody"/>
              <w:ind w:right="113"/>
              <w:jc w:val="right"/>
            </w:pPr>
            <w:r w:rsidRPr="001D7B80">
              <w:t>6.</w:t>
            </w:r>
            <w:r w:rsidR="0093329C" w:rsidRPr="001D7B80">
              <w:t>7</w:t>
            </w:r>
            <w:r w:rsidRPr="001D7B80">
              <w:t>%</w:t>
            </w:r>
          </w:p>
        </w:tc>
        <w:tc>
          <w:tcPr>
            <w:tcW w:w="2268" w:type="dxa"/>
          </w:tcPr>
          <w:p w14:paraId="29F4527F" w14:textId="77777777" w:rsidR="00E20226" w:rsidRPr="001D7B80" w:rsidRDefault="00E20226">
            <w:pPr>
              <w:pStyle w:val="TableBody"/>
              <w:ind w:right="113"/>
              <w:jc w:val="right"/>
            </w:pPr>
            <w:r w:rsidRPr="001D7B80">
              <w:t>0.4%</w:t>
            </w:r>
          </w:p>
        </w:tc>
      </w:tr>
      <w:tr w:rsidR="00E20226" w14:paraId="010AE191"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2C35D96A" w14:textId="77777777" w:rsidR="00E20226" w:rsidRDefault="00E20226">
            <w:pPr>
              <w:pStyle w:val="TableBody"/>
            </w:pPr>
            <w:r w:rsidRPr="00E94E8E">
              <w:rPr>
                <w:b/>
                <w:bCs/>
              </w:rPr>
              <w:t>Total operating costs</w:t>
            </w:r>
          </w:p>
        </w:tc>
        <w:tc>
          <w:tcPr>
            <w:tcW w:w="1417" w:type="dxa"/>
          </w:tcPr>
          <w:p w14:paraId="28E27C5E" w14:textId="77777777" w:rsidR="00E20226" w:rsidRPr="002A149C" w:rsidRDefault="00E20226">
            <w:pPr>
              <w:pStyle w:val="TableBody"/>
              <w:ind w:right="113"/>
              <w:jc w:val="right"/>
              <w:rPr>
                <w:b/>
                <w:bCs/>
              </w:rPr>
            </w:pPr>
            <w:r w:rsidRPr="002A149C">
              <w:rPr>
                <w:b/>
                <w:bCs/>
              </w:rPr>
              <w:t>45%</w:t>
            </w:r>
          </w:p>
        </w:tc>
        <w:tc>
          <w:tcPr>
            <w:tcW w:w="2267" w:type="dxa"/>
          </w:tcPr>
          <w:p w14:paraId="13C9F938" w14:textId="7B5D55AC" w:rsidR="00E20226" w:rsidRPr="001D7B80" w:rsidRDefault="00E6661C">
            <w:pPr>
              <w:pStyle w:val="TableBody"/>
              <w:ind w:right="113"/>
              <w:jc w:val="right"/>
              <w:rPr>
                <w:b/>
                <w:bCs/>
              </w:rPr>
            </w:pPr>
            <w:r w:rsidRPr="001D7B80">
              <w:rPr>
                <w:b/>
                <w:bCs/>
              </w:rPr>
              <w:t>8.</w:t>
            </w:r>
            <w:r w:rsidR="005D1952" w:rsidRPr="001D7B80">
              <w:rPr>
                <w:b/>
                <w:bCs/>
              </w:rPr>
              <w:t>1</w:t>
            </w:r>
            <w:r w:rsidRPr="001D7B80">
              <w:rPr>
                <w:b/>
                <w:bCs/>
              </w:rPr>
              <w:t>%</w:t>
            </w:r>
          </w:p>
        </w:tc>
        <w:tc>
          <w:tcPr>
            <w:tcW w:w="2268" w:type="dxa"/>
          </w:tcPr>
          <w:p w14:paraId="466A8F5E" w14:textId="2AA25D75" w:rsidR="00E20226" w:rsidRPr="001D7B80" w:rsidRDefault="00E6661C">
            <w:pPr>
              <w:pStyle w:val="TableBody"/>
              <w:ind w:right="113"/>
              <w:jc w:val="right"/>
              <w:rPr>
                <w:b/>
                <w:bCs/>
              </w:rPr>
            </w:pPr>
            <w:r w:rsidRPr="001D7B80">
              <w:rPr>
                <w:b/>
                <w:bCs/>
              </w:rPr>
              <w:t>3.</w:t>
            </w:r>
            <w:r w:rsidR="005D1952" w:rsidRPr="001D7B80">
              <w:rPr>
                <w:b/>
                <w:bCs/>
              </w:rPr>
              <w:t>6</w:t>
            </w:r>
            <w:r w:rsidRPr="001D7B80">
              <w:rPr>
                <w:b/>
                <w:bCs/>
              </w:rPr>
              <w:t>%</w:t>
            </w:r>
          </w:p>
        </w:tc>
      </w:tr>
      <w:tr w:rsidR="00E20226" w14:paraId="17BADC29" w14:textId="77777777">
        <w:trPr>
          <w:cnfStyle w:val="000000010000" w:firstRow="0" w:lastRow="0" w:firstColumn="0" w:lastColumn="0" w:oddVBand="0" w:evenVBand="0" w:oddHBand="0" w:evenHBand="1" w:firstRowFirstColumn="0" w:firstRowLastColumn="0" w:lastRowFirstColumn="0" w:lastRowLastColumn="0"/>
        </w:trPr>
        <w:tc>
          <w:tcPr>
            <w:tcW w:w="3686" w:type="dxa"/>
          </w:tcPr>
          <w:p w14:paraId="197C380B" w14:textId="2949FADB" w:rsidR="00E20226" w:rsidRDefault="00E20226">
            <w:pPr>
              <w:pStyle w:val="TableBody"/>
            </w:pPr>
            <w:r w:rsidRPr="00AE6193">
              <w:t>Driver labour</w:t>
            </w:r>
          </w:p>
        </w:tc>
        <w:tc>
          <w:tcPr>
            <w:tcW w:w="1417" w:type="dxa"/>
          </w:tcPr>
          <w:p w14:paraId="4D7EB299" w14:textId="77777777" w:rsidR="00E20226" w:rsidRPr="002A149C" w:rsidRDefault="00E20226">
            <w:pPr>
              <w:pStyle w:val="TableBody"/>
              <w:ind w:right="113"/>
              <w:jc w:val="right"/>
            </w:pPr>
            <w:r w:rsidRPr="002A149C">
              <w:t>55%</w:t>
            </w:r>
          </w:p>
        </w:tc>
        <w:tc>
          <w:tcPr>
            <w:tcW w:w="2267" w:type="dxa"/>
          </w:tcPr>
          <w:p w14:paraId="10966A32" w14:textId="37DF1F8E" w:rsidR="00E20226" w:rsidRPr="001D7B80" w:rsidRDefault="00F33F20">
            <w:pPr>
              <w:pStyle w:val="TableBody"/>
              <w:ind w:right="113"/>
              <w:jc w:val="right"/>
            </w:pPr>
            <w:r w:rsidRPr="001D7B80">
              <w:t>12.7%</w:t>
            </w:r>
          </w:p>
        </w:tc>
        <w:tc>
          <w:tcPr>
            <w:tcW w:w="2268" w:type="dxa"/>
          </w:tcPr>
          <w:p w14:paraId="7574AA6C" w14:textId="059D62C6" w:rsidR="00E20226" w:rsidRPr="001D7B80" w:rsidRDefault="00F33F20">
            <w:pPr>
              <w:pStyle w:val="TableBody"/>
              <w:ind w:right="113"/>
              <w:jc w:val="right"/>
            </w:pPr>
            <w:r w:rsidRPr="001D7B80">
              <w:t>7.0%</w:t>
            </w:r>
          </w:p>
        </w:tc>
      </w:tr>
      <w:tr w:rsidR="00E20226" w14:paraId="3A9A0B49"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769CCC29" w14:textId="77777777" w:rsidR="00E20226" w:rsidRDefault="00E20226">
            <w:pPr>
              <w:pStyle w:val="TableBody"/>
            </w:pPr>
            <w:r w:rsidRPr="00E94E8E">
              <w:rPr>
                <w:b/>
                <w:bCs/>
              </w:rPr>
              <w:t>Total operating and labour costs</w:t>
            </w:r>
          </w:p>
        </w:tc>
        <w:tc>
          <w:tcPr>
            <w:tcW w:w="1417" w:type="dxa"/>
          </w:tcPr>
          <w:p w14:paraId="785134BB" w14:textId="77777777" w:rsidR="00E20226" w:rsidRPr="000917A6" w:rsidRDefault="00E20226">
            <w:pPr>
              <w:pStyle w:val="TableBody"/>
              <w:ind w:right="113"/>
              <w:jc w:val="right"/>
              <w:rPr>
                <w:b/>
                <w:bCs/>
              </w:rPr>
            </w:pPr>
            <w:r w:rsidRPr="000917A6">
              <w:rPr>
                <w:b/>
                <w:bCs/>
              </w:rPr>
              <w:t>100%</w:t>
            </w:r>
          </w:p>
        </w:tc>
        <w:tc>
          <w:tcPr>
            <w:tcW w:w="2267" w:type="dxa"/>
          </w:tcPr>
          <w:p w14:paraId="5E60E33E" w14:textId="77777777" w:rsidR="00E20226" w:rsidRPr="00C0110D" w:rsidRDefault="00E20226">
            <w:pPr>
              <w:pStyle w:val="TableBody"/>
              <w:ind w:right="113"/>
              <w:jc w:val="right"/>
              <w:rPr>
                <w:b/>
                <w:bCs/>
              </w:rPr>
            </w:pPr>
            <w:r w:rsidRPr="00C0110D">
              <w:rPr>
                <w:b/>
                <w:bCs/>
              </w:rPr>
              <w:t>Not applicable</w:t>
            </w:r>
          </w:p>
        </w:tc>
        <w:tc>
          <w:tcPr>
            <w:tcW w:w="2268" w:type="dxa"/>
          </w:tcPr>
          <w:p w14:paraId="45FA9E5C" w14:textId="7903D30A" w:rsidR="00E20226" w:rsidRPr="00C0110D" w:rsidRDefault="00F33F20">
            <w:pPr>
              <w:pStyle w:val="TableBody"/>
              <w:ind w:right="113"/>
              <w:jc w:val="right"/>
              <w:rPr>
                <w:b/>
                <w:bCs/>
              </w:rPr>
            </w:pPr>
            <w:r w:rsidRPr="001D7B80">
              <w:rPr>
                <w:b/>
                <w:bCs/>
              </w:rPr>
              <w:t>10.</w:t>
            </w:r>
            <w:r w:rsidR="005D1952" w:rsidRPr="001D7B80">
              <w:rPr>
                <w:b/>
                <w:bCs/>
              </w:rPr>
              <w:t>6</w:t>
            </w:r>
            <w:r w:rsidRPr="001D7B80">
              <w:rPr>
                <w:b/>
                <w:bCs/>
              </w:rPr>
              <w:t>%</w:t>
            </w:r>
          </w:p>
        </w:tc>
      </w:tr>
    </w:tbl>
    <w:p w14:paraId="1A768E2F" w14:textId="2C570A00" w:rsidR="006C4DA6" w:rsidRPr="00605C87" w:rsidRDefault="004574EC" w:rsidP="006C4DA6">
      <w:pPr>
        <w:pStyle w:val="Source"/>
        <w:jc w:val="left"/>
      </w:pPr>
      <w:r w:rsidRPr="001B3F35">
        <w:rPr>
          <w:b/>
          <w:bCs/>
        </w:rPr>
        <w:t>Note:</w:t>
      </w:r>
      <w:r>
        <w:t xml:space="preserve"> m</w:t>
      </w:r>
      <w:r w:rsidRPr="00C06445">
        <w:t xml:space="preserve">ost changes </w:t>
      </w:r>
      <w:r w:rsidRPr="00C0110D">
        <w:t>in cost</w:t>
      </w:r>
      <w:r w:rsidR="00E430B6" w:rsidRPr="00C0110D">
        <w:t xml:space="preserve"> inflators</w:t>
      </w:r>
      <w:r w:rsidRPr="00C0110D">
        <w:t xml:space="preserve"> are measured over the period from June 2022 to </w:t>
      </w:r>
      <w:r w:rsidR="00EB52C1" w:rsidRPr="00C0110D">
        <w:t>June</w:t>
      </w:r>
      <w:r w:rsidRPr="00C0110D">
        <w:t xml:space="preserve"> 2024. </w:t>
      </w:r>
      <w:r w:rsidRPr="00C632BB">
        <w:t xml:space="preserve">However, </w:t>
      </w:r>
      <w:r w:rsidR="004C7D0B" w:rsidRPr="00C632BB">
        <w:t>the changes in the cost</w:t>
      </w:r>
      <w:r w:rsidR="00600ECC" w:rsidRPr="00C632BB">
        <w:t xml:space="preserve"> inflators </w:t>
      </w:r>
      <w:r w:rsidR="00C0110D" w:rsidRPr="00C0110D">
        <w:t>which use the wage price index (network (labour) and administration) and comprehensive car insurance index (insurance)</w:t>
      </w:r>
      <w:r w:rsidR="00F20BF8" w:rsidRPr="00C0110D">
        <w:t>are measured from June 2022 to March 2024</w:t>
      </w:r>
      <w:r w:rsidRPr="00C0110D">
        <w:t>.</w:t>
      </w:r>
      <w:r w:rsidR="006C4DA6" w:rsidRPr="00C0110D">
        <w:t xml:space="preserve"> See Appendix </w:t>
      </w:r>
      <w:r w:rsidR="00901E46" w:rsidRPr="00C0110D">
        <w:t>E</w:t>
      </w:r>
      <w:r w:rsidR="006C4DA6" w:rsidRPr="00C0110D">
        <w:t xml:space="preserve"> for more information.</w:t>
      </w:r>
    </w:p>
    <w:p w14:paraId="513956B9" w14:textId="370BAD19" w:rsidR="006C4DA6" w:rsidRDefault="006C4DA6" w:rsidP="006C4DA6">
      <w:pPr>
        <w:pStyle w:val="Source"/>
        <w:jc w:val="left"/>
      </w:pPr>
      <w:r w:rsidRPr="00605C87">
        <w:rPr>
          <w:b/>
          <w:bCs/>
        </w:rPr>
        <w:t>Source:</w:t>
      </w:r>
      <w:r w:rsidRPr="00605C87">
        <w:t xml:space="preserve"> Essential Services Commission analysis (see Appendix </w:t>
      </w:r>
      <w:r w:rsidR="00901E46">
        <w:t>E</w:t>
      </w:r>
      <w:r w:rsidRPr="00605C87">
        <w:t>)</w:t>
      </w:r>
      <w:r w:rsidR="00482536">
        <w:t>.</w:t>
      </w:r>
    </w:p>
    <w:p w14:paraId="08ACC449" w14:textId="4720AC84" w:rsidR="0077402B" w:rsidRDefault="0077402B" w:rsidP="0077402B">
      <w:pPr>
        <w:pStyle w:val="Heading2"/>
      </w:pPr>
      <w:bookmarkStart w:id="86" w:name="_Toc174692658"/>
      <w:r>
        <w:t xml:space="preserve">Our </w:t>
      </w:r>
      <w:r w:rsidR="00EB52C1">
        <w:t>final</w:t>
      </w:r>
      <w:r>
        <w:t xml:space="preserve"> decision</w:t>
      </w:r>
      <w:bookmarkEnd w:id="86"/>
    </w:p>
    <w:p w14:paraId="66F2CA35" w14:textId="1F3C4309" w:rsidR="0077402B" w:rsidRDefault="00F03BF4" w:rsidP="0077402B">
      <w:pPr>
        <w:pStyle w:val="Heading3"/>
      </w:pPr>
      <w:bookmarkStart w:id="87" w:name="_Toc167345806"/>
      <w:bookmarkStart w:id="88" w:name="_Toc167346500"/>
      <w:bookmarkStart w:id="89" w:name="_Toc167780295"/>
      <w:bookmarkStart w:id="90" w:name="_Toc173691379"/>
      <w:bookmarkStart w:id="91" w:name="_Toc174692659"/>
      <w:r>
        <w:t>M</w:t>
      </w:r>
      <w:r w:rsidR="00810FD0">
        <w:t>ost m</w:t>
      </w:r>
      <w:r w:rsidR="002A0438">
        <w:t>aximum fares will increase</w:t>
      </w:r>
      <w:bookmarkEnd w:id="87"/>
      <w:bookmarkEnd w:id="88"/>
      <w:bookmarkEnd w:id="89"/>
      <w:r w:rsidR="00810FD0">
        <w:t xml:space="preserve"> by 5.</w:t>
      </w:r>
      <w:r w:rsidR="00701467">
        <w:t>5</w:t>
      </w:r>
      <w:r w:rsidR="00810FD0">
        <w:t xml:space="preserve"> per cent</w:t>
      </w:r>
      <w:bookmarkEnd w:id="90"/>
      <w:bookmarkEnd w:id="91"/>
    </w:p>
    <w:p w14:paraId="653F53A3" w14:textId="251D94A0" w:rsidR="00000588" w:rsidRPr="00D24119" w:rsidRDefault="0077402B" w:rsidP="0077402B">
      <w:r>
        <w:t xml:space="preserve">Our </w:t>
      </w:r>
      <w:r w:rsidR="00EB52C1">
        <w:t>final</w:t>
      </w:r>
      <w:r>
        <w:t xml:space="preserve"> </w:t>
      </w:r>
      <w:r w:rsidRPr="007D63CF">
        <w:t>decision is to increase</w:t>
      </w:r>
      <w:r w:rsidR="00BC6558">
        <w:t xml:space="preserve"> </w:t>
      </w:r>
      <w:r w:rsidR="0070143E">
        <w:t xml:space="preserve">current </w:t>
      </w:r>
      <w:r w:rsidRPr="007D63CF">
        <w:t xml:space="preserve">maximum fares for unbooked taxi </w:t>
      </w:r>
      <w:r w:rsidRPr="00D24119">
        <w:t xml:space="preserve">trips by </w:t>
      </w:r>
      <w:r w:rsidR="007D63CF" w:rsidRPr="00D24119">
        <w:t>5.</w:t>
      </w:r>
      <w:r w:rsidR="00042E94" w:rsidRPr="00D24119">
        <w:t>5 </w:t>
      </w:r>
      <w:r w:rsidR="008E0807" w:rsidRPr="00D24119">
        <w:t>per </w:t>
      </w:r>
      <w:r w:rsidRPr="00D24119">
        <w:t>cent</w:t>
      </w:r>
      <w:r w:rsidR="00505886" w:rsidRPr="00D24119">
        <w:t>, except for high occupancy fees and charges (</w:t>
      </w:r>
      <w:r w:rsidR="00240E73" w:rsidRPr="00D24119">
        <w:t>explained further below)</w:t>
      </w:r>
      <w:r w:rsidRPr="00D24119">
        <w:t xml:space="preserve">. </w:t>
      </w:r>
    </w:p>
    <w:p w14:paraId="23B7FB3C" w14:textId="7D631680" w:rsidR="00C77094" w:rsidRDefault="00026985" w:rsidP="0077402B">
      <w:r w:rsidRPr="00D24119">
        <w:t>The basis for this increase i</w:t>
      </w:r>
      <w:r w:rsidR="00C77094" w:rsidRPr="00D24119">
        <w:t>s</w:t>
      </w:r>
      <w:r w:rsidRPr="00D24119">
        <w:t xml:space="preserve"> the conventional taxi cost index. </w:t>
      </w:r>
      <w:r w:rsidR="00B674BC" w:rsidRPr="00D24119">
        <w:t>The</w:t>
      </w:r>
      <w:r w:rsidR="006860B4" w:rsidRPr="00D24119">
        <w:t xml:space="preserve"> conventional taxi</w:t>
      </w:r>
      <w:r w:rsidR="00B674BC" w:rsidRPr="00D24119">
        <w:t xml:space="preserve"> cost</w:t>
      </w:r>
      <w:r w:rsidR="008664D8" w:rsidRPr="00D24119">
        <w:t xml:space="preserve"> index s</w:t>
      </w:r>
      <w:r w:rsidR="00745BFA" w:rsidRPr="00D24119">
        <w:t>uggest</w:t>
      </w:r>
      <w:r w:rsidR="008664D8" w:rsidRPr="00D24119">
        <w:t>s that the cost of operating a conventional taxi ha</w:t>
      </w:r>
      <w:r w:rsidR="00B209EC" w:rsidRPr="00D24119">
        <w:t>s</w:t>
      </w:r>
      <w:r w:rsidR="008664D8" w:rsidRPr="00D24119">
        <w:t xml:space="preserve"> increased by </w:t>
      </w:r>
      <w:r w:rsidR="008C2CF9" w:rsidRPr="00D24119">
        <w:t>9</w:t>
      </w:r>
      <w:r w:rsidR="008664D8" w:rsidRPr="00D24119">
        <w:t>.</w:t>
      </w:r>
      <w:r w:rsidR="00481493">
        <w:t>9</w:t>
      </w:r>
      <w:r w:rsidR="008C2CF9">
        <w:t xml:space="preserve"> </w:t>
      </w:r>
      <w:r w:rsidR="008664D8">
        <w:t xml:space="preserve">per cent since 2022. </w:t>
      </w:r>
      <w:r w:rsidR="004E4BDC">
        <w:t>M</w:t>
      </w:r>
      <w:r w:rsidR="008664D8">
        <w:t>aximum fares</w:t>
      </w:r>
      <w:r w:rsidR="00930836">
        <w:t xml:space="preserve"> </w:t>
      </w:r>
      <w:r w:rsidR="00217EED">
        <w:t xml:space="preserve">were already </w:t>
      </w:r>
      <w:r w:rsidR="00930836">
        <w:t xml:space="preserve">increased </w:t>
      </w:r>
      <w:r w:rsidR="00217EED">
        <w:t>by 4.1 per cent</w:t>
      </w:r>
      <w:r w:rsidR="00930836">
        <w:t xml:space="preserve"> </w:t>
      </w:r>
      <w:r w:rsidR="000C25B7">
        <w:t>via</w:t>
      </w:r>
      <w:r w:rsidR="00930836">
        <w:t xml:space="preserve"> the fare adjustment mechanism in October 2023, </w:t>
      </w:r>
      <w:r w:rsidR="00217EED">
        <w:t xml:space="preserve">so </w:t>
      </w:r>
      <w:r w:rsidR="00930836">
        <w:t>the</w:t>
      </w:r>
      <w:r w:rsidR="00991E49">
        <w:t xml:space="preserve">y need to increase by a further </w:t>
      </w:r>
      <w:r w:rsidR="00991E49" w:rsidRPr="00F67668">
        <w:t>5.</w:t>
      </w:r>
      <w:r w:rsidR="008C2CF9">
        <w:t xml:space="preserve">5 </w:t>
      </w:r>
      <w:r w:rsidR="00991E49">
        <w:t xml:space="preserve">per </w:t>
      </w:r>
      <w:r w:rsidR="00423C15">
        <w:t>cent to recover the change in costs since 2022.</w:t>
      </w:r>
      <w:r w:rsidR="002E3858">
        <w:rPr>
          <w:rStyle w:val="FootnoteReference"/>
        </w:rPr>
        <w:footnoteReference w:id="31"/>
      </w:r>
      <w:r w:rsidR="00423C15">
        <w:t xml:space="preserve"> </w:t>
      </w:r>
    </w:p>
    <w:p w14:paraId="64792A78" w14:textId="583FDB25" w:rsidR="00AC51CC" w:rsidRDefault="005743CF" w:rsidP="0077402B">
      <w:r>
        <w:lastRenderedPageBreak/>
        <w:t xml:space="preserve">We proposed </w:t>
      </w:r>
      <w:r w:rsidR="0007686A">
        <w:t xml:space="preserve">to </w:t>
      </w:r>
      <w:r w:rsidR="00E824CE">
        <w:t xml:space="preserve">use the conventional taxi cost index as the basis for increasing fares in our draft decision, </w:t>
      </w:r>
      <w:r w:rsidR="00A05A9F">
        <w:t>which stakeholders supported</w:t>
      </w:r>
      <w:r w:rsidDel="00FA357C">
        <w:t>.</w:t>
      </w:r>
      <w:r>
        <w:rPr>
          <w:rStyle w:val="FootnoteReference"/>
        </w:rPr>
        <w:footnoteReference w:id="32"/>
      </w:r>
      <w:r>
        <w:t xml:space="preserve"> </w:t>
      </w:r>
    </w:p>
    <w:p w14:paraId="0045633B" w14:textId="6B66F75D" w:rsidR="003E4341" w:rsidRDefault="003E4341" w:rsidP="0077402B">
      <w:r w:rsidRPr="00D24119">
        <w:t xml:space="preserve">Our final decision </w:t>
      </w:r>
      <w:r w:rsidR="003512EE">
        <w:t xml:space="preserve">(5.5 per cent increase) </w:t>
      </w:r>
      <w:r w:rsidRPr="00D24119">
        <w:t xml:space="preserve">is </w:t>
      </w:r>
      <w:r w:rsidR="003512EE">
        <w:t xml:space="preserve">slightly lower than </w:t>
      </w:r>
      <w:r w:rsidRPr="00D24119">
        <w:t>our draft decision</w:t>
      </w:r>
      <w:r w:rsidR="005743CF">
        <w:t xml:space="preserve"> </w:t>
      </w:r>
      <w:r w:rsidR="003512EE">
        <w:t>(5.7 per cent)</w:t>
      </w:r>
      <w:r w:rsidR="005743CF">
        <w:t xml:space="preserve"> because</w:t>
      </w:r>
      <w:r w:rsidRPr="00D24119">
        <w:t xml:space="preserve"> we have updated the cost inflators with the most </w:t>
      </w:r>
      <w:r w:rsidR="00C6409C" w:rsidRPr="00D24119">
        <w:t>recent information available to us since making the draft decision.</w:t>
      </w:r>
      <w:r w:rsidR="006B62B8">
        <w:rPr>
          <w:rStyle w:val="FootnoteReference"/>
        </w:rPr>
        <w:footnoteReference w:id="33"/>
      </w:r>
    </w:p>
    <w:p w14:paraId="539C4B35" w14:textId="3C30350D" w:rsidR="0077402B" w:rsidRDefault="0077402B" w:rsidP="0077402B">
      <w:r>
        <w:t>Th</w:t>
      </w:r>
      <w:r w:rsidR="00C24B7D">
        <w:t>is</w:t>
      </w:r>
      <w:r>
        <w:t xml:space="preserve"> </w:t>
      </w:r>
      <w:r w:rsidRPr="007D63CF">
        <w:t>increase in</w:t>
      </w:r>
      <w:r>
        <w:t xml:space="preserve"> maximum fares w</w:t>
      </w:r>
      <w:r w:rsidR="00DE46F3">
        <w:t>ill</w:t>
      </w:r>
      <w:r>
        <w:t xml:space="preserve"> apply equally to all relevant tariff components</w:t>
      </w:r>
      <w:r w:rsidR="004B4DBC">
        <w:rPr>
          <w:rStyle w:val="FootnoteReference"/>
        </w:rPr>
        <w:footnoteReference w:id="34"/>
      </w:r>
      <w:r>
        <w:t xml:space="preserve"> of both fare schedules (that is, to all fares within the Melbourne Metropolitan and Urban and Large Regional Zones).</w:t>
      </w:r>
    </w:p>
    <w:p w14:paraId="2DFE0646" w14:textId="619CC10A" w:rsidR="0077402B" w:rsidRDefault="0064553B" w:rsidP="0077402B">
      <w:r>
        <w:t xml:space="preserve">We estimate </w:t>
      </w:r>
      <w:r w:rsidRPr="007D63CF">
        <w:t>that a</w:t>
      </w:r>
      <w:r w:rsidR="009342C4" w:rsidRPr="007D63CF">
        <w:t xml:space="preserve"> </w:t>
      </w:r>
      <w:r w:rsidR="007D63CF" w:rsidRPr="00D24119">
        <w:t>5.</w:t>
      </w:r>
      <w:r w:rsidR="008050D8">
        <w:t>5</w:t>
      </w:r>
      <w:r w:rsidR="009342C4" w:rsidRPr="007D63CF">
        <w:t xml:space="preserve"> per cent </w:t>
      </w:r>
      <w:r w:rsidR="0077402B" w:rsidRPr="007D63CF">
        <w:t xml:space="preserve">increase in maximum fares equates to an increase of about </w:t>
      </w:r>
      <w:r w:rsidR="0077402B" w:rsidRPr="00D24119">
        <w:t>$</w:t>
      </w:r>
      <w:r w:rsidR="007D63CF" w:rsidRPr="00D24119">
        <w:t>0.84</w:t>
      </w:r>
      <w:r w:rsidR="0077402B" w:rsidRPr="007D63CF">
        <w:t xml:space="preserve"> in maximum fares for a three</w:t>
      </w:r>
      <w:r w:rsidR="008E0807" w:rsidRPr="007D63CF">
        <w:noBreakHyphen/>
      </w:r>
      <w:r w:rsidR="0077402B" w:rsidRPr="007D63CF">
        <w:t>kilometre trip within the Melbourne central business district</w:t>
      </w:r>
      <w:r w:rsidR="0063734E" w:rsidRPr="007D63CF">
        <w:rPr>
          <w:rStyle w:val="FootnoteReference"/>
        </w:rPr>
        <w:footnoteReference w:id="35"/>
      </w:r>
      <w:r w:rsidR="0077402B" w:rsidRPr="007D63CF">
        <w:t xml:space="preserve"> or </w:t>
      </w:r>
      <w:r w:rsidR="0077402B" w:rsidRPr="00D24119">
        <w:t>$</w:t>
      </w:r>
      <w:r w:rsidR="007D63CF" w:rsidRPr="00D24119">
        <w:t>3.</w:t>
      </w:r>
      <w:r w:rsidR="007918FD" w:rsidRPr="00D24119">
        <w:t>1</w:t>
      </w:r>
      <w:r w:rsidR="007918FD">
        <w:t>8</w:t>
      </w:r>
      <w:r w:rsidR="0080093B" w:rsidRPr="007D63CF">
        <w:t xml:space="preserve"> </w:t>
      </w:r>
      <w:r w:rsidR="0077402B" w:rsidRPr="007D63CF">
        <w:t>for a longer trip such as from the Melbourne central business district</w:t>
      </w:r>
      <w:r w:rsidR="0077402B">
        <w:t xml:space="preserve"> to the Melbourne International Airport.</w:t>
      </w:r>
      <w:r w:rsidR="00533606">
        <w:rPr>
          <w:rStyle w:val="FootnoteReference"/>
        </w:rPr>
        <w:footnoteReference w:id="36"/>
      </w:r>
      <w:r w:rsidR="0077402B">
        <w:t xml:space="preserve">  </w:t>
      </w:r>
    </w:p>
    <w:p w14:paraId="31A338F8" w14:textId="6BDC4EAA" w:rsidR="002337DE" w:rsidRDefault="0077402B" w:rsidP="002337DE">
      <w:pPr>
        <w:tabs>
          <w:tab w:val="left" w:pos="5911"/>
        </w:tabs>
      </w:pPr>
      <w:r>
        <w:t xml:space="preserve">We consider that the </w:t>
      </w:r>
      <w:r w:rsidRPr="007D63CF">
        <w:t>increase in maximum</w:t>
      </w:r>
      <w:r>
        <w:t xml:space="preserve"> fares will promote the efficient provision and use of unbooked taxi services. </w:t>
      </w:r>
      <w:r w:rsidR="002337DE">
        <w:t>Our taxi cost index reflects the current costs of operating a taxi in Victoria and</w:t>
      </w:r>
      <w:r w:rsidR="006C54E4">
        <w:t>,</w:t>
      </w:r>
      <w:r w:rsidR="002337DE">
        <w:t xml:space="preserve"> therefore, the costs that should be recovered to facilitate the commercial viability of operating an unbooked taxi service in Victoria. </w:t>
      </w:r>
    </w:p>
    <w:p w14:paraId="7D9A33B9" w14:textId="1A28755F" w:rsidR="0077402B" w:rsidRPr="00D24119" w:rsidRDefault="002A0438" w:rsidP="006E3810">
      <w:pPr>
        <w:pStyle w:val="Heading3"/>
      </w:pPr>
      <w:bookmarkStart w:id="92" w:name="_Toc166662237"/>
      <w:bookmarkStart w:id="93" w:name="_Toc166669787"/>
      <w:bookmarkStart w:id="94" w:name="_Toc166678852"/>
      <w:bookmarkStart w:id="95" w:name="_Toc167345807"/>
      <w:bookmarkStart w:id="96" w:name="_Toc167346501"/>
      <w:bookmarkStart w:id="97" w:name="_Toc167780296"/>
      <w:bookmarkStart w:id="98" w:name="_Toc173691380"/>
      <w:bookmarkStart w:id="99" w:name="_Toc174692660"/>
      <w:r>
        <w:lastRenderedPageBreak/>
        <w:t>T</w:t>
      </w:r>
      <w:r w:rsidR="0077402B">
        <w:t>he high occupancy fee and charges</w:t>
      </w:r>
      <w:bookmarkEnd w:id="92"/>
      <w:bookmarkEnd w:id="93"/>
      <w:bookmarkEnd w:id="94"/>
      <w:r w:rsidR="0077402B">
        <w:t xml:space="preserve"> </w:t>
      </w:r>
      <w:r>
        <w:t>will increase</w:t>
      </w:r>
      <w:bookmarkEnd w:id="95"/>
      <w:bookmarkEnd w:id="96"/>
      <w:bookmarkEnd w:id="97"/>
      <w:r w:rsidR="00810FD0">
        <w:t xml:space="preserve"> </w:t>
      </w:r>
      <w:r w:rsidR="00810FD0" w:rsidRPr="00D24119">
        <w:t>by 6.</w:t>
      </w:r>
      <w:r w:rsidR="00655724">
        <w:t>2</w:t>
      </w:r>
      <w:r w:rsidR="00810FD0" w:rsidRPr="00D24119">
        <w:t xml:space="preserve"> per cent</w:t>
      </w:r>
      <w:bookmarkEnd w:id="98"/>
      <w:bookmarkEnd w:id="99"/>
    </w:p>
    <w:p w14:paraId="06372746" w14:textId="3C8E6B05" w:rsidR="000C25B7" w:rsidRDefault="0077402B" w:rsidP="0077402B">
      <w:r w:rsidRPr="00D24119">
        <w:t xml:space="preserve">Our </w:t>
      </w:r>
      <w:r w:rsidR="00A47D16" w:rsidRPr="00D24119">
        <w:t>final</w:t>
      </w:r>
      <w:r w:rsidRPr="00D24119">
        <w:t xml:space="preserve"> decision is to increase the </w:t>
      </w:r>
      <w:r w:rsidR="009654AE">
        <w:t xml:space="preserve">current </w:t>
      </w:r>
      <w:r w:rsidRPr="00D24119">
        <w:t xml:space="preserve">high occupancy vehicle fee and charges by </w:t>
      </w:r>
      <w:r w:rsidR="007D63CF" w:rsidRPr="00D24119">
        <w:t>6.</w:t>
      </w:r>
      <w:r w:rsidR="006479B9">
        <w:t>2</w:t>
      </w:r>
      <w:r w:rsidR="008E0807" w:rsidRPr="007D63CF">
        <w:t> per </w:t>
      </w:r>
      <w:r w:rsidRPr="007D63CF">
        <w:t>cent.</w:t>
      </w:r>
      <w:r w:rsidR="006479B9">
        <w:rPr>
          <w:rStyle w:val="FootnoteReference"/>
        </w:rPr>
        <w:footnoteReference w:id="37"/>
      </w:r>
      <w:r w:rsidRPr="007D63CF">
        <w:t xml:space="preserve"> </w:t>
      </w:r>
    </w:p>
    <w:p w14:paraId="1172C59B" w14:textId="6E9000B1" w:rsidR="000C25B7" w:rsidRPr="00941237" w:rsidRDefault="0077402B" w:rsidP="0077402B">
      <w:r w:rsidRPr="007D63CF">
        <w:t>The basis for th</w:t>
      </w:r>
      <w:r w:rsidR="00B71DA7">
        <w:t>is</w:t>
      </w:r>
      <w:r w:rsidRPr="007D63CF">
        <w:t xml:space="preserve"> increase is</w:t>
      </w:r>
      <w:r>
        <w:t xml:space="preserve"> the </w:t>
      </w:r>
      <w:r w:rsidR="00041016">
        <w:t>wheelchair accessible taxi cost index</w:t>
      </w:r>
      <w:r w:rsidR="00557E6E">
        <w:t xml:space="preserve"> which</w:t>
      </w:r>
      <w:r w:rsidR="009655BE">
        <w:t xml:space="preserve"> </w:t>
      </w:r>
      <w:r w:rsidR="00557E6E">
        <w:t xml:space="preserve">indicates </w:t>
      </w:r>
      <w:r w:rsidR="009655BE">
        <w:t xml:space="preserve">that the cost of operating a wheelchair accessible taxi has increased by </w:t>
      </w:r>
      <w:r w:rsidR="009655BE" w:rsidRPr="00941237">
        <w:t>10.</w:t>
      </w:r>
      <w:r w:rsidR="00A86779" w:rsidRPr="00941237">
        <w:t>6</w:t>
      </w:r>
      <w:r w:rsidR="009655BE" w:rsidRPr="00941237">
        <w:t xml:space="preserve"> per cent since 2022. </w:t>
      </w:r>
    </w:p>
    <w:p w14:paraId="3318AB6A" w14:textId="3216EF0B" w:rsidR="00041016" w:rsidRPr="00941237" w:rsidRDefault="000C25B7" w:rsidP="0077402B">
      <w:r w:rsidRPr="00941237">
        <w:t>T</w:t>
      </w:r>
      <w:r w:rsidR="009655BE" w:rsidRPr="00941237">
        <w:t>he high occupancy</w:t>
      </w:r>
      <w:r w:rsidR="005E0C91" w:rsidRPr="00941237">
        <w:t xml:space="preserve"> fee and charges </w:t>
      </w:r>
      <w:r w:rsidRPr="00941237">
        <w:t xml:space="preserve">were already </w:t>
      </w:r>
      <w:r w:rsidR="005E0C91" w:rsidRPr="00941237">
        <w:t xml:space="preserve">increased </w:t>
      </w:r>
      <w:r w:rsidR="00390ADC" w:rsidRPr="00941237">
        <w:t xml:space="preserve">by 4.1 per cent </w:t>
      </w:r>
      <w:r w:rsidRPr="00941237">
        <w:t>via</w:t>
      </w:r>
      <w:r w:rsidR="00390ADC" w:rsidRPr="00941237">
        <w:t xml:space="preserve"> the fare adjustment mechanism in October 2023</w:t>
      </w:r>
      <w:r w:rsidR="00F253FB" w:rsidRPr="00941237">
        <w:t xml:space="preserve">, </w:t>
      </w:r>
      <w:r w:rsidRPr="00941237">
        <w:t xml:space="preserve">so </w:t>
      </w:r>
      <w:r w:rsidR="00F253FB" w:rsidRPr="00941237">
        <w:t xml:space="preserve">they </w:t>
      </w:r>
      <w:r w:rsidR="008A0A58" w:rsidRPr="00941237">
        <w:t>need to increase</w:t>
      </w:r>
      <w:r w:rsidR="00E8565A" w:rsidRPr="00941237">
        <w:t xml:space="preserve"> by a further </w:t>
      </w:r>
      <w:r w:rsidR="005E3413" w:rsidRPr="00941237">
        <w:t>6.</w:t>
      </w:r>
      <w:r w:rsidR="00CF12AB">
        <w:t>2</w:t>
      </w:r>
      <w:r w:rsidR="005E3413" w:rsidRPr="00941237">
        <w:t xml:space="preserve"> per cent to recover the change in costs.</w:t>
      </w:r>
      <w:r w:rsidR="00EC2061">
        <w:rPr>
          <w:rStyle w:val="FootnoteReference"/>
        </w:rPr>
        <w:footnoteReference w:id="38"/>
      </w:r>
    </w:p>
    <w:p w14:paraId="7C1D329F" w14:textId="25540430" w:rsidR="00B71DA7" w:rsidRPr="007D63CF" w:rsidRDefault="00B71DA7" w:rsidP="0077402B">
      <w:r w:rsidRPr="00941237">
        <w:t>Our final decision is different from our draft decision, which was to increase the high occupancy fee and charges by 6.</w:t>
      </w:r>
      <w:r w:rsidR="00990676">
        <w:t>4</w:t>
      </w:r>
      <w:r w:rsidR="00A86779" w:rsidRPr="00941237">
        <w:t xml:space="preserve"> </w:t>
      </w:r>
      <w:r w:rsidRPr="00941237">
        <w:t>per cent, as we have updated the cost inflators with the most recent information available to us since making the draft decision.</w:t>
      </w:r>
    </w:p>
    <w:p w14:paraId="08E59900" w14:textId="2E6AFD7C" w:rsidR="0077402B" w:rsidRDefault="0077402B" w:rsidP="005D1A8E">
      <w:pPr>
        <w:keepNext/>
      </w:pPr>
      <w:r w:rsidRPr="007D63CF">
        <w:t>Th</w:t>
      </w:r>
      <w:r w:rsidR="00C24B7D">
        <w:t>is</w:t>
      </w:r>
      <w:r w:rsidRPr="007D63CF">
        <w:t xml:space="preserve"> increase w</w:t>
      </w:r>
      <w:r w:rsidR="006E026A">
        <w:t>ill</w:t>
      </w:r>
      <w:r w:rsidRPr="007D63CF">
        <w:t xml:space="preserve"> apply</w:t>
      </w:r>
      <w:r>
        <w:t xml:space="preserve"> to:</w:t>
      </w:r>
    </w:p>
    <w:p w14:paraId="6B2B3CB6" w14:textId="7589BB47" w:rsidR="0077402B" w:rsidRDefault="0077402B" w:rsidP="006E3810">
      <w:pPr>
        <w:pStyle w:val="ListBullet"/>
      </w:pPr>
      <w:r>
        <w:t xml:space="preserve">the high occupancy fee in fare schedule 1 (fares for Metropolitan Melbourne, Dandenong, Frankston and the Mornington Peninsula) </w:t>
      </w:r>
    </w:p>
    <w:p w14:paraId="74C4F64B" w14:textId="6F14B613" w:rsidR="0077402B" w:rsidRDefault="0077402B" w:rsidP="006E3810">
      <w:pPr>
        <w:pStyle w:val="ListBullet"/>
      </w:pPr>
      <w:r>
        <w:t xml:space="preserve">the variable components of the high occupancy tariff in fare schedule 2 (fares for Ballarat, Bendigo and Geelong). </w:t>
      </w:r>
    </w:p>
    <w:p w14:paraId="62F0F4D6" w14:textId="77777777" w:rsidR="0032599F" w:rsidRDefault="0077402B" w:rsidP="00333C6C">
      <w:r>
        <w:t>The high occupancy fee and charges can only be charged when</w:t>
      </w:r>
      <w:r w:rsidR="0032599F">
        <w:t>:</w:t>
      </w:r>
    </w:p>
    <w:p w14:paraId="6F5158A3" w14:textId="20B78837" w:rsidR="0032599F" w:rsidRDefault="0077402B" w:rsidP="005C584D">
      <w:pPr>
        <w:pStyle w:val="ListBullet"/>
      </w:pPr>
      <w:r>
        <w:t>there are five or more people using the taxi (excluding children under the age of five years)</w:t>
      </w:r>
      <w:r w:rsidR="0032599F">
        <w:t>,</w:t>
      </w:r>
      <w:r>
        <w:t xml:space="preserve"> </w:t>
      </w:r>
      <w:r w:rsidR="00333C6C">
        <w:t>or</w:t>
      </w:r>
    </w:p>
    <w:p w14:paraId="4A4FC5CC" w14:textId="585613D3" w:rsidR="00333C6C" w:rsidRDefault="00333C6C" w:rsidP="00C41A0F">
      <w:pPr>
        <w:pStyle w:val="ListBullet"/>
      </w:pPr>
      <w:r>
        <w:t xml:space="preserve">a </w:t>
      </w:r>
      <w:r w:rsidR="00576DE0">
        <w:t>vehicle</w:t>
      </w:r>
      <w:r w:rsidR="00625509">
        <w:t xml:space="preserve"> </w:t>
      </w:r>
      <w:r>
        <w:t xml:space="preserve">larger </w:t>
      </w:r>
      <w:r w:rsidR="00625509">
        <w:t xml:space="preserve">than a standard taxi is required, regardless of the number of passengers to be carried except where the vehicle has been </w:t>
      </w:r>
      <w:r w:rsidR="00B624CB">
        <w:t>hired</w:t>
      </w:r>
      <w:r w:rsidR="00625509">
        <w:t xml:space="preserve"> </w:t>
      </w:r>
      <w:r w:rsidR="0062030B" w:rsidRPr="0062030B">
        <w:t xml:space="preserve">for the carriage of a person who uses a wheelchair or mobility aid </w:t>
      </w:r>
      <w:r>
        <w:t xml:space="preserve">(for example, to carry luggage). </w:t>
      </w:r>
    </w:p>
    <w:p w14:paraId="2D68A618" w14:textId="076022E0" w:rsidR="0077402B" w:rsidRDefault="0077402B" w:rsidP="0077402B">
      <w:r>
        <w:t>The high occupancy fee and charges compensate drivers of higher occupancy vehicles, including wheelchair accessible vehicles, for the higher costs associated with operating a larger vehicle.</w:t>
      </w:r>
      <w:r w:rsidR="00271287">
        <w:rPr>
          <w:rStyle w:val="FootnoteReference"/>
        </w:rPr>
        <w:footnoteReference w:id="39"/>
      </w:r>
      <w:r>
        <w:t xml:space="preserve"> Increasing the high occupancy fee and charges in line with the increase in operating costs (as </w:t>
      </w:r>
      <w:r>
        <w:lastRenderedPageBreak/>
        <w:t>suggested by our wheelchair accessible taxi cost index) will help promote the sustained and commercially viable operation of these taxis.</w:t>
      </w:r>
      <w:r w:rsidR="0042611C">
        <w:rPr>
          <w:rStyle w:val="FootnoteReference"/>
        </w:rPr>
        <w:footnoteReference w:id="40"/>
      </w:r>
      <w:r>
        <w:t xml:space="preserve">  </w:t>
      </w:r>
    </w:p>
    <w:p w14:paraId="512AD6A6" w14:textId="1ABF6591" w:rsidR="00064849" w:rsidRDefault="0077402B" w:rsidP="0077402B">
      <w:r>
        <w:t xml:space="preserve">While the high occupancy fee and charges cannot be charged for the carriage of a person who uses a wheelchair or mobility aid, the driver is compensated for the additional costs of the vehicle in this situation through a separate wheelchair ‘lifting fee’. </w:t>
      </w:r>
      <w:r w:rsidR="00147643">
        <w:t>The</w:t>
      </w:r>
      <w:r>
        <w:t xml:space="preserve"> increase in the high occupancy fee and charges does not change the lifting fee or the current 50</w:t>
      </w:r>
      <w:r w:rsidR="008E0807">
        <w:t> per </w:t>
      </w:r>
      <w:r>
        <w:t xml:space="preserve">cent subsidy under the </w:t>
      </w:r>
      <w:r w:rsidR="00E02673">
        <w:t>Multi Purpose</w:t>
      </w:r>
      <w:r>
        <w:t xml:space="preserve"> Taxi Program</w:t>
      </w:r>
      <w:r w:rsidR="00CD2A58">
        <w:t xml:space="preserve"> (MPTP)</w:t>
      </w:r>
      <w:r>
        <w:t xml:space="preserve">. </w:t>
      </w:r>
      <w:r w:rsidR="006F7564">
        <w:t xml:space="preserve">The commission does not set the lifting fee or </w:t>
      </w:r>
      <w:r w:rsidR="00723A31">
        <w:t xml:space="preserve">the </w:t>
      </w:r>
      <w:r w:rsidR="006F7564">
        <w:t>MPTP subsidy.</w:t>
      </w:r>
      <w:r w:rsidR="00723A31">
        <w:rPr>
          <w:rStyle w:val="FootnoteReference"/>
        </w:rPr>
        <w:footnoteReference w:id="41"/>
      </w:r>
    </w:p>
    <w:p w14:paraId="256F57BC" w14:textId="1A8F250F" w:rsidR="0077402B" w:rsidRDefault="00D1064E" w:rsidP="006E3810">
      <w:pPr>
        <w:pStyle w:val="Heading3"/>
      </w:pPr>
      <w:bookmarkStart w:id="100" w:name="_Toc166662238"/>
      <w:bookmarkStart w:id="101" w:name="_Toc166669788"/>
      <w:bookmarkStart w:id="102" w:name="_Toc166678853"/>
      <w:bookmarkStart w:id="103" w:name="_Toc167345808"/>
      <w:bookmarkStart w:id="104" w:name="_Toc167346502"/>
      <w:bookmarkStart w:id="105" w:name="_Toc167780297"/>
      <w:bookmarkStart w:id="106" w:name="_Toc173691381"/>
      <w:bookmarkStart w:id="107" w:name="_Toc174692661"/>
      <w:r>
        <w:t>F</w:t>
      </w:r>
      <w:r w:rsidR="0077402B">
        <w:t xml:space="preserve">are structures </w:t>
      </w:r>
      <w:r w:rsidR="1AB82D2F">
        <w:t xml:space="preserve">remain </w:t>
      </w:r>
      <w:r w:rsidR="0077402B">
        <w:t>unchanged</w:t>
      </w:r>
      <w:bookmarkEnd w:id="100"/>
      <w:bookmarkEnd w:id="101"/>
      <w:bookmarkEnd w:id="102"/>
      <w:bookmarkEnd w:id="103"/>
      <w:bookmarkEnd w:id="104"/>
      <w:bookmarkEnd w:id="105"/>
      <w:bookmarkEnd w:id="106"/>
      <w:bookmarkEnd w:id="107"/>
    </w:p>
    <w:p w14:paraId="70AC86AD" w14:textId="6A6DCE46" w:rsidR="007250A5" w:rsidRPr="007250A5" w:rsidRDefault="0077402B" w:rsidP="007250A5">
      <w:r>
        <w:t xml:space="preserve">Our </w:t>
      </w:r>
      <w:r w:rsidR="00FB3C6F">
        <w:t>final</w:t>
      </w:r>
      <w:r>
        <w:t xml:space="preserve"> decision is to keep the fare structures unchanged in both fare schedules. This </w:t>
      </w:r>
      <w:r w:rsidR="00A07EF4">
        <w:t>means that we have maintained options for</w:t>
      </w:r>
      <w:r>
        <w:t xml:space="preserve"> either a ‘time and distance’ or a ‘time or distance’</w:t>
      </w:r>
      <w:r w:rsidR="00A07EF4">
        <w:t xml:space="preserve"> tariff structure</w:t>
      </w:r>
      <w:r w:rsidR="0058247C">
        <w:t>.</w:t>
      </w:r>
      <w:r w:rsidR="009947AE">
        <w:t xml:space="preserve"> We did not identify any information during this review to suggest that the current fare structures are not appropriate for the upcoming regulatory period. </w:t>
      </w:r>
      <w:r w:rsidR="0058247C">
        <w:t xml:space="preserve"> </w:t>
      </w:r>
    </w:p>
    <w:p w14:paraId="205F2EB0" w14:textId="10193EF3" w:rsidR="0077402B" w:rsidRDefault="004B580B" w:rsidP="007250A5">
      <w:pPr>
        <w:pStyle w:val="Heading3"/>
      </w:pPr>
      <w:bookmarkStart w:id="108" w:name="_Toc166662239"/>
      <w:bookmarkStart w:id="109" w:name="_Toc166669789"/>
      <w:bookmarkStart w:id="110" w:name="_Toc166678854"/>
      <w:bookmarkStart w:id="111" w:name="_Toc167780298"/>
      <w:bookmarkStart w:id="112" w:name="_Toc173691382"/>
      <w:bookmarkStart w:id="113" w:name="_Toc174692662"/>
      <w:bookmarkStart w:id="114" w:name="_Toc167345809"/>
      <w:bookmarkStart w:id="115" w:name="_Toc167346503"/>
      <w:r>
        <w:t>T</w:t>
      </w:r>
      <w:r w:rsidR="0077402B">
        <w:t xml:space="preserve">he cleaning fee </w:t>
      </w:r>
      <w:r>
        <w:t>remains</w:t>
      </w:r>
      <w:r w:rsidR="0077402B">
        <w:t xml:space="preserve"> unchanged</w:t>
      </w:r>
      <w:bookmarkEnd w:id="108"/>
      <w:bookmarkEnd w:id="109"/>
      <w:bookmarkEnd w:id="110"/>
      <w:bookmarkEnd w:id="111"/>
      <w:bookmarkEnd w:id="112"/>
      <w:bookmarkEnd w:id="113"/>
      <w:r w:rsidR="0077402B">
        <w:t xml:space="preserve"> </w:t>
      </w:r>
      <w:bookmarkEnd w:id="114"/>
      <w:bookmarkEnd w:id="115"/>
    </w:p>
    <w:p w14:paraId="7E8ECFA1" w14:textId="781F65E7" w:rsidR="0077402B" w:rsidRDefault="0077402B" w:rsidP="0077402B">
      <w:r>
        <w:t>Occasionally taxi passengers soil the vehicle they hired by, for example, vomiting or spilling food or drink. When this happens, the driver must take the vehicle out of service for cleaning. This usually takes between one and two hours, but in particularly bad cases the vehicle can lose an entire shift.</w:t>
      </w:r>
      <w:r w:rsidR="00411EE3">
        <w:t xml:space="preserve"> </w:t>
      </w:r>
    </w:p>
    <w:p w14:paraId="47C04E72" w14:textId="302CC475" w:rsidR="0077402B" w:rsidRDefault="0077402B" w:rsidP="0077402B">
      <w:r>
        <w:t xml:space="preserve">Our </w:t>
      </w:r>
      <w:r w:rsidR="0073324E">
        <w:t>final</w:t>
      </w:r>
      <w:r>
        <w:t xml:space="preserve"> decision is to continue to allow taxi drivers to charge a reasonable cleaning fee of up to a maximum of $120. Our benchmarking analysis suggests that a $120 cleaning fee remains within the range of cleaning fees charged by taxis and rideshare vehicles in Australia.  </w:t>
      </w:r>
    </w:p>
    <w:p w14:paraId="378E481A" w14:textId="34A139D4" w:rsidR="0077402B" w:rsidRDefault="0077402B" w:rsidP="0077402B">
      <w:r>
        <w:lastRenderedPageBreak/>
        <w:t>Maximum cleaning fees allowed for taxis in other Australian jurisdictions range from $50 (Northern Territory)</w:t>
      </w:r>
      <w:r w:rsidR="00D81742" w:rsidRPr="00D81742">
        <w:rPr>
          <w:rStyle w:val="FootnoteReference"/>
        </w:rPr>
        <w:t xml:space="preserve"> </w:t>
      </w:r>
      <w:r w:rsidR="00D81742">
        <w:rPr>
          <w:rStyle w:val="FootnoteReference"/>
        </w:rPr>
        <w:footnoteReference w:id="42"/>
      </w:r>
      <w:r>
        <w:t xml:space="preserve"> to $1</w:t>
      </w:r>
      <w:r w:rsidR="00FB3AC7">
        <w:t>61.30</w:t>
      </w:r>
      <w:r>
        <w:t xml:space="preserve"> (Queensland).</w:t>
      </w:r>
      <w:r w:rsidR="008C358E">
        <w:rPr>
          <w:rStyle w:val="FootnoteReference"/>
        </w:rPr>
        <w:footnoteReference w:id="43"/>
      </w:r>
      <w:r>
        <w:t xml:space="preserve"> Rideshare providers in Victoria</w:t>
      </w:r>
      <w:r w:rsidR="009C6F07">
        <w:t>, wh</w:t>
      </w:r>
      <w:r w:rsidR="00C831C8">
        <w:t>ich</w:t>
      </w:r>
      <w:r w:rsidR="009C6F07">
        <w:t xml:space="preserve"> are not regulated</w:t>
      </w:r>
      <w:r w:rsidR="00C831C8">
        <w:t>,</w:t>
      </w:r>
      <w:r>
        <w:t xml:space="preserve"> currently charge a cleaning fee of up to a maximum of $1</w:t>
      </w:r>
      <w:r w:rsidR="00713507">
        <w:t>5</w:t>
      </w:r>
      <w:r>
        <w:t>0.</w:t>
      </w:r>
      <w:r w:rsidR="001D44A4">
        <w:rPr>
          <w:rStyle w:val="FootnoteReference"/>
        </w:rPr>
        <w:footnoteReference w:id="44"/>
      </w:r>
      <w:r>
        <w:t xml:space="preserve"> </w:t>
      </w:r>
    </w:p>
    <w:p w14:paraId="6870DB5E" w14:textId="1583C18C" w:rsidR="0077402B" w:rsidRDefault="00CA3F61" w:rsidP="006E3810">
      <w:pPr>
        <w:pStyle w:val="Heading3"/>
      </w:pPr>
      <w:bookmarkStart w:id="116" w:name="_Toc166662240"/>
      <w:bookmarkStart w:id="117" w:name="_Toc166669790"/>
      <w:bookmarkStart w:id="118" w:name="_Toc166678855"/>
      <w:bookmarkStart w:id="119" w:name="_Toc167345810"/>
      <w:bookmarkStart w:id="120" w:name="_Toc167346504"/>
      <w:bookmarkStart w:id="121" w:name="_Toc167780299"/>
      <w:bookmarkStart w:id="122" w:name="_Toc173691383"/>
      <w:bookmarkStart w:id="123" w:name="_Toc174692663"/>
      <w:r>
        <w:t>A</w:t>
      </w:r>
      <w:r w:rsidR="000372B5">
        <w:t xml:space="preserve"> </w:t>
      </w:r>
      <w:r w:rsidR="0077402B">
        <w:t>fare adjustment mechanism</w:t>
      </w:r>
      <w:bookmarkEnd w:id="116"/>
      <w:bookmarkEnd w:id="117"/>
      <w:bookmarkEnd w:id="118"/>
      <w:r w:rsidR="0077402B">
        <w:t xml:space="preserve"> </w:t>
      </w:r>
      <w:r w:rsidR="000372B5" w:rsidDel="000372B5">
        <w:t xml:space="preserve">will </w:t>
      </w:r>
      <w:r w:rsidR="000372B5">
        <w:t>include all cost components</w:t>
      </w:r>
      <w:bookmarkEnd w:id="119"/>
      <w:bookmarkEnd w:id="120"/>
      <w:bookmarkEnd w:id="121"/>
      <w:bookmarkEnd w:id="122"/>
      <w:bookmarkEnd w:id="123"/>
    </w:p>
    <w:p w14:paraId="4C9CA1C1" w14:textId="546783EE" w:rsidR="0077402B" w:rsidRDefault="0077402B" w:rsidP="0077402B">
      <w:r>
        <w:t xml:space="preserve">In our 2022 review, we introduced a fare adjustment mechanism to apply </w:t>
      </w:r>
      <w:r w:rsidR="00DE2C3C">
        <w:t>in 2023</w:t>
      </w:r>
      <w:r>
        <w:t xml:space="preserve">. </w:t>
      </w:r>
      <w:r w:rsidR="007657B5">
        <w:t xml:space="preserve">That </w:t>
      </w:r>
      <w:r>
        <w:t>mechanism allowed us to adjust the maximum fares between fare reviews without the need to undertake a review or make a new price determination, if the increase or decrease in costs was greater than 1</w:t>
      </w:r>
      <w:r w:rsidR="008E0807">
        <w:t> per </w:t>
      </w:r>
      <w:r>
        <w:t xml:space="preserve">cent. The mechanism accounted for changes </w:t>
      </w:r>
      <w:r w:rsidR="004E36DA">
        <w:t xml:space="preserve">only </w:t>
      </w:r>
      <w:r>
        <w:t>in driver labour and fuel costs</w:t>
      </w:r>
      <w:r w:rsidR="004E36DA">
        <w:t>.</w:t>
      </w:r>
      <w:r>
        <w:t xml:space="preserve"> </w:t>
      </w:r>
      <w:r w:rsidR="004E36DA">
        <w:t>It</w:t>
      </w:r>
      <w:r>
        <w:t xml:space="preserve"> led to an increase in maximum fares of 4.1</w:t>
      </w:r>
      <w:r w:rsidR="008E0807">
        <w:t> per </w:t>
      </w:r>
      <w:r>
        <w:t>cent from 1 October 2023.</w:t>
      </w:r>
      <w:r w:rsidR="00BB0B8A">
        <w:rPr>
          <w:rStyle w:val="FootnoteReference"/>
        </w:rPr>
        <w:footnoteReference w:id="45"/>
      </w:r>
      <w:r>
        <w:t xml:space="preserve"> </w:t>
      </w:r>
    </w:p>
    <w:p w14:paraId="6FCCCE9F" w14:textId="0AD2003F" w:rsidR="007F418F" w:rsidRDefault="00AF1404" w:rsidP="0077402B">
      <w:r>
        <w:t>T</w:t>
      </w:r>
      <w:r w:rsidR="00EE423A">
        <w:t xml:space="preserve">he main purpose of the fare adjustment mechanism was </w:t>
      </w:r>
      <w:r w:rsidR="0088606D">
        <w:t xml:space="preserve">to </w:t>
      </w:r>
      <w:r w:rsidR="009D28AA">
        <w:t>help</w:t>
      </w:r>
      <w:r w:rsidR="00916E85">
        <w:t xml:space="preserve"> </w:t>
      </w:r>
      <w:r w:rsidR="009D28AA">
        <w:t xml:space="preserve">maintain the </w:t>
      </w:r>
      <w:r w:rsidR="00916E85">
        <w:t xml:space="preserve">commercial viability of taxi services and </w:t>
      </w:r>
      <w:r w:rsidR="0058641C">
        <w:t>address concerns a</w:t>
      </w:r>
      <w:r w:rsidR="00494593">
        <w:t>bout</w:t>
      </w:r>
      <w:r w:rsidR="0088606D">
        <w:t xml:space="preserve"> increasing labour costs and fluctuating fuel prices. We consider it work</w:t>
      </w:r>
      <w:r w:rsidR="007E52D6">
        <w:t xml:space="preserve">ed </w:t>
      </w:r>
      <w:r w:rsidR="002D540A">
        <w:t xml:space="preserve">well but acknowledge other </w:t>
      </w:r>
      <w:r w:rsidR="00D6044C">
        <w:t xml:space="preserve">cost </w:t>
      </w:r>
      <w:r w:rsidR="002D540A">
        <w:t xml:space="preserve">components in </w:t>
      </w:r>
      <w:r w:rsidR="002F0E2F">
        <w:t>the</w:t>
      </w:r>
      <w:r w:rsidR="004E4B61">
        <w:t xml:space="preserve"> </w:t>
      </w:r>
      <w:r w:rsidR="002D540A">
        <w:t>taxi cost index</w:t>
      </w:r>
      <w:r w:rsidR="004E4B61">
        <w:t>es</w:t>
      </w:r>
      <w:r w:rsidR="002D540A">
        <w:t xml:space="preserve"> have increased significantly over the last two years, </w:t>
      </w:r>
      <w:r w:rsidR="000348B8">
        <w:t>such as</w:t>
      </w:r>
      <w:r w:rsidR="002D540A">
        <w:t xml:space="preserve"> vehicle and insurance costs. </w:t>
      </w:r>
    </w:p>
    <w:p w14:paraId="2FF64593" w14:textId="558A64A8" w:rsidR="0077402B" w:rsidRDefault="00BF27FA" w:rsidP="0077402B">
      <w:r w:rsidRPr="005D5C7C">
        <w:t xml:space="preserve">In our draft decision, we </w:t>
      </w:r>
      <w:r w:rsidR="00374E93" w:rsidRPr="005D5C7C">
        <w:t>propos</w:t>
      </w:r>
      <w:r w:rsidRPr="005D5C7C">
        <w:t>ed</w:t>
      </w:r>
      <w:r w:rsidR="00374E93" w:rsidRPr="005D5C7C">
        <w:t xml:space="preserve"> to</w:t>
      </w:r>
      <w:r w:rsidR="00BD1E77" w:rsidRPr="005D5C7C">
        <w:t xml:space="preserve"> retain </w:t>
      </w:r>
      <w:r w:rsidR="00221B5C" w:rsidRPr="005D5C7C">
        <w:t>a</w:t>
      </w:r>
      <w:r w:rsidR="00BD1E77" w:rsidRPr="005D5C7C">
        <w:t xml:space="preserve"> </w:t>
      </w:r>
      <w:r w:rsidR="0077402B" w:rsidRPr="005D5C7C">
        <w:t xml:space="preserve">fare adjustment mechanism </w:t>
      </w:r>
      <w:r w:rsidR="00BD1E77" w:rsidRPr="005D5C7C">
        <w:t xml:space="preserve">and expand it to include </w:t>
      </w:r>
      <w:r w:rsidR="0077402B" w:rsidRPr="005D5C7C">
        <w:t xml:space="preserve">all cost components of our taxi cost index. </w:t>
      </w:r>
      <w:r w:rsidR="0077402B" w:rsidRPr="005D5C7C" w:rsidDel="002F0BA8">
        <w:t xml:space="preserve">Stakeholders generally supported </w:t>
      </w:r>
      <w:r w:rsidR="00D11248" w:rsidRPr="005D5C7C" w:rsidDel="002F0BA8">
        <w:t>this proposal</w:t>
      </w:r>
      <w:r w:rsidR="0077402B" w:rsidRPr="005D5C7C" w:rsidDel="002F0BA8">
        <w:t>.</w:t>
      </w:r>
      <w:r w:rsidR="00555E2B" w:rsidRPr="005D5C7C">
        <w:rPr>
          <w:rStyle w:val="FootnoteReference"/>
        </w:rPr>
        <w:footnoteReference w:id="46"/>
      </w:r>
      <w:r w:rsidR="0077402B">
        <w:t xml:space="preserve"> </w:t>
      </w:r>
    </w:p>
    <w:p w14:paraId="4D06FD7D" w14:textId="63C013D8" w:rsidR="00EE32AD" w:rsidRDefault="001B22C4" w:rsidP="0077402B">
      <w:r>
        <w:t xml:space="preserve">Our </w:t>
      </w:r>
      <w:r w:rsidR="00072FF9">
        <w:t>final</w:t>
      </w:r>
      <w:r w:rsidR="0077402B">
        <w:t xml:space="preserve"> decision is </w:t>
      </w:r>
      <w:r w:rsidR="00A63E51">
        <w:t>to include</w:t>
      </w:r>
      <w:r w:rsidR="0077402B">
        <w:t xml:space="preserve"> all cost components of our taxi cost index in </w:t>
      </w:r>
      <w:r w:rsidR="00416E17">
        <w:t xml:space="preserve">a </w:t>
      </w:r>
      <w:r w:rsidR="0077402B">
        <w:t>fare adjustment mechanism</w:t>
      </w:r>
      <w:r w:rsidR="5C26E270">
        <w:t xml:space="preserve"> </w:t>
      </w:r>
      <w:r w:rsidR="002F370B">
        <w:t>in 2025</w:t>
      </w:r>
      <w:r w:rsidR="0077402B">
        <w:t xml:space="preserve">. </w:t>
      </w:r>
      <w:r w:rsidR="008539C0">
        <w:t>This will more accurately reflect the change in costs of operating a t</w:t>
      </w:r>
      <w:r w:rsidR="00A14F56">
        <w:t xml:space="preserve">axi and help maintain the commercial viability of taxi services. </w:t>
      </w:r>
      <w:r w:rsidR="00983696">
        <w:t>This will also smooth</w:t>
      </w:r>
      <w:r w:rsidR="00212758">
        <w:t xml:space="preserve"> </w:t>
      </w:r>
      <w:r w:rsidR="00A325BF">
        <w:t>fare</w:t>
      </w:r>
      <w:r w:rsidR="00212758">
        <w:t xml:space="preserve"> changes</w:t>
      </w:r>
      <w:r w:rsidR="00A325BF">
        <w:t xml:space="preserve"> </w:t>
      </w:r>
      <w:r w:rsidR="00D92F4B">
        <w:t>for passengers and taxi operators.</w:t>
      </w:r>
    </w:p>
    <w:p w14:paraId="1949BCA1" w14:textId="77777777" w:rsidR="0077402B" w:rsidRDefault="0077402B" w:rsidP="0077402B">
      <w:r>
        <w:t xml:space="preserve">The process for the fare adjustment mechanism is shown below. </w:t>
      </w:r>
    </w:p>
    <w:p w14:paraId="3CD62177" w14:textId="6F72B54D" w:rsidR="0077402B" w:rsidRDefault="0077402B" w:rsidP="006E3810">
      <w:pPr>
        <w:pStyle w:val="Pull-outHeading"/>
      </w:pPr>
      <w:r>
        <w:lastRenderedPageBreak/>
        <w:t>Process for the fare adjustment mechanism in 2025</w:t>
      </w:r>
    </w:p>
    <w:p w14:paraId="7DCE95D0" w14:textId="5E4E2231" w:rsidR="0077402B" w:rsidRDefault="0077402B" w:rsidP="006E3810">
      <w:pPr>
        <w:pStyle w:val="Pull-outBullet1"/>
      </w:pPr>
      <w:r>
        <w:t xml:space="preserve">In </w:t>
      </w:r>
      <w:r w:rsidR="001E152D">
        <w:t xml:space="preserve">August </w:t>
      </w:r>
      <w:r>
        <w:t>2025, we will update the cost inflators in the taxi cost index</w:t>
      </w:r>
      <w:r w:rsidR="007B58A8">
        <w:t>es</w:t>
      </w:r>
      <w:r>
        <w:t xml:space="preserve"> to account for </w:t>
      </w:r>
      <w:r w:rsidR="002B4104">
        <w:t xml:space="preserve">the </w:t>
      </w:r>
      <w:r>
        <w:t xml:space="preserve">changes in all cost components </w:t>
      </w:r>
      <w:r w:rsidR="114E2795">
        <w:t xml:space="preserve">that occur </w:t>
      </w:r>
      <w:r w:rsidR="00CF02A5">
        <w:t>over the period from</w:t>
      </w:r>
      <w:r>
        <w:t xml:space="preserve"> June 2024 and June 2025.</w:t>
      </w:r>
      <w:r w:rsidR="00166DB5" w:rsidRPr="00166DB5">
        <w:rPr>
          <w:rStyle w:val="Heading1Char"/>
          <w:rFonts w:asciiTheme="minorHAnsi" w:eastAsiaTheme="minorHAnsi" w:hAnsiTheme="minorHAnsi" w:cstheme="minorBidi"/>
          <w:b/>
          <w:color w:val="4986A0" w:themeColor="text2"/>
          <w:sz w:val="18"/>
          <w:szCs w:val="18"/>
          <w:vertAlign w:val="superscript"/>
        </w:rPr>
        <w:t xml:space="preserve"> </w:t>
      </w:r>
    </w:p>
    <w:p w14:paraId="7956469E" w14:textId="66D3A16C" w:rsidR="0077402B" w:rsidRDefault="0077402B" w:rsidP="006E3810">
      <w:pPr>
        <w:pStyle w:val="Pull-outBullet1"/>
      </w:pPr>
      <w:r>
        <w:t xml:space="preserve">We will calculate and assess the change in the costs of operating a </w:t>
      </w:r>
      <w:r w:rsidR="00A73E36">
        <w:t xml:space="preserve">conventional </w:t>
      </w:r>
      <w:r>
        <w:t>taxi</w:t>
      </w:r>
      <w:r w:rsidR="00A73E36">
        <w:t xml:space="preserve"> and a wheelchair accessible taxi</w:t>
      </w:r>
      <w:r>
        <w:t xml:space="preserve"> using </w:t>
      </w:r>
      <w:r w:rsidR="003A39FD">
        <w:t xml:space="preserve">the updated cost inflators. </w:t>
      </w:r>
    </w:p>
    <w:p w14:paraId="72E48184" w14:textId="0073D689" w:rsidR="00075D6F" w:rsidRDefault="0077402B" w:rsidP="003E44E4">
      <w:pPr>
        <w:pStyle w:val="Pull-outBullet1"/>
      </w:pPr>
      <w:r>
        <w:t xml:space="preserve">If the change </w:t>
      </w:r>
      <w:r w:rsidR="003F6128">
        <w:t xml:space="preserve">in the conventional taxi cost index </w:t>
      </w:r>
      <w:r>
        <w:t>is more than plus/minus 1</w:t>
      </w:r>
      <w:r w:rsidR="008E0807">
        <w:t> per </w:t>
      </w:r>
      <w:r>
        <w:t>cent</w:t>
      </w:r>
      <w:r w:rsidR="00B162A4">
        <w:t>:</w:t>
      </w:r>
    </w:p>
    <w:p w14:paraId="72C90637" w14:textId="467BC4E8" w:rsidR="00075D6F" w:rsidRDefault="00075D6F" w:rsidP="003E44E4">
      <w:pPr>
        <w:pStyle w:val="Pull-outBullet2"/>
      </w:pPr>
      <w:r>
        <w:t xml:space="preserve">the high occupancy fee and charges will </w:t>
      </w:r>
      <w:r w:rsidR="004771F3">
        <w:t>be adjusted</w:t>
      </w:r>
      <w:r>
        <w:t xml:space="preserve"> by the change in the wheelchair accessible taxi cost index</w:t>
      </w:r>
      <w:r w:rsidR="00C36ABB">
        <w:t>, and</w:t>
      </w:r>
    </w:p>
    <w:p w14:paraId="7DE0178D" w14:textId="5FBB8E93" w:rsidR="0077402B" w:rsidRPr="00EB12A5" w:rsidRDefault="00075D6F" w:rsidP="007000A0">
      <w:pPr>
        <w:pStyle w:val="Pull-outBullet2"/>
      </w:pPr>
      <w:r>
        <w:t xml:space="preserve">all other </w:t>
      </w:r>
      <w:r w:rsidR="00546157">
        <w:t>fares and charges</w:t>
      </w:r>
      <w:r>
        <w:t xml:space="preserve"> </w:t>
      </w:r>
      <w:r w:rsidR="00EB12A5">
        <w:t xml:space="preserve">will </w:t>
      </w:r>
      <w:r w:rsidR="004771F3">
        <w:t>be adjusted</w:t>
      </w:r>
      <w:r w:rsidR="00EB12A5">
        <w:t xml:space="preserve"> by the change in the conventional taxi cost index</w:t>
      </w:r>
      <w:r w:rsidR="00C36ABB">
        <w:t>.</w:t>
      </w:r>
    </w:p>
    <w:p w14:paraId="18F47BAE" w14:textId="618B9D47" w:rsidR="0077402B" w:rsidRDefault="0077402B" w:rsidP="006E3810">
      <w:pPr>
        <w:pStyle w:val="Pull-outBullet1"/>
      </w:pPr>
      <w:r>
        <w:t xml:space="preserve">If the change </w:t>
      </w:r>
      <w:r w:rsidR="003F6128">
        <w:t xml:space="preserve">in the conventional taxi cost index </w:t>
      </w:r>
      <w:r>
        <w:t>is less than plus/minus 1</w:t>
      </w:r>
      <w:r w:rsidR="008E0807">
        <w:t> per </w:t>
      </w:r>
      <w:r>
        <w:t>cent, the maximum fares</w:t>
      </w:r>
      <w:r w:rsidR="00B367F1">
        <w:t xml:space="preserve"> and the high occupancy fee and charges</w:t>
      </w:r>
      <w:r>
        <w:t xml:space="preserve"> will </w:t>
      </w:r>
      <w:r w:rsidR="61355AA4">
        <w:t>remain un</w:t>
      </w:r>
      <w:r>
        <w:t>change</w:t>
      </w:r>
      <w:r w:rsidR="0D9C0820">
        <w:t>d</w:t>
      </w:r>
      <w:r>
        <w:t xml:space="preserve"> as the administrative and implementation costs of changing fares are likely to outweigh any benefits.</w:t>
      </w:r>
    </w:p>
    <w:p w14:paraId="763974A2" w14:textId="7CF8FAF0" w:rsidR="0077402B" w:rsidRDefault="00271A3A" w:rsidP="006E3810">
      <w:pPr>
        <w:pStyle w:val="Pull-outBullet1"/>
      </w:pPr>
      <w:r>
        <w:t>If the fare adjustment mechanism indicates fares should change,</w:t>
      </w:r>
      <w:r w:rsidR="00C43604">
        <w:t xml:space="preserve"> then</w:t>
      </w:r>
      <w:r>
        <w:t xml:space="preserve"> </w:t>
      </w:r>
      <w:r w:rsidR="00C43604">
        <w:t>i</w:t>
      </w:r>
      <w:r w:rsidR="0077402B">
        <w:t xml:space="preserve">n September 2025 we will publish our assessment and a notice in the </w:t>
      </w:r>
      <w:r w:rsidR="000A1BAA" w:rsidRPr="00B40B18">
        <w:rPr>
          <w:i/>
        </w:rPr>
        <w:t xml:space="preserve">Victorian </w:t>
      </w:r>
      <w:r w:rsidR="0077402B" w:rsidRPr="00B40B18">
        <w:rPr>
          <w:i/>
        </w:rPr>
        <w:t>Government Gazette</w:t>
      </w:r>
      <w:r w:rsidR="0077402B">
        <w:t>.</w:t>
      </w:r>
    </w:p>
    <w:p w14:paraId="153C746C" w14:textId="3CE9B069" w:rsidR="0077402B" w:rsidRDefault="0077402B" w:rsidP="006E3810">
      <w:pPr>
        <w:pStyle w:val="Pull-outBullet1"/>
      </w:pPr>
      <w:r>
        <w:t xml:space="preserve">To assist unbooked taxi </w:t>
      </w:r>
      <w:r w:rsidR="00C12A5D">
        <w:t xml:space="preserve">service </w:t>
      </w:r>
      <w:r>
        <w:t xml:space="preserve">providers, we will also include updated tariffs in our assessment paper and publish the newly calculated </w:t>
      </w:r>
      <w:r w:rsidR="00D62F08">
        <w:t xml:space="preserve">maximum </w:t>
      </w:r>
      <w:r>
        <w:t>fares on our website.</w:t>
      </w:r>
    </w:p>
    <w:p w14:paraId="4B4B1997" w14:textId="30ADF863" w:rsidR="0077402B" w:rsidRDefault="00744498" w:rsidP="006E3810">
      <w:pPr>
        <w:pStyle w:val="Pull-outBullet1"/>
      </w:pPr>
      <w:r>
        <w:t>N</w:t>
      </w:r>
      <w:r w:rsidR="0077402B">
        <w:t xml:space="preserve">ew maximum fares would </w:t>
      </w:r>
      <w:r w:rsidR="0077402B" w:rsidRPr="00B37892">
        <w:t xml:space="preserve">take effect </w:t>
      </w:r>
      <w:r w:rsidR="009B5DC9" w:rsidRPr="00B37892">
        <w:t>on</w:t>
      </w:r>
      <w:r w:rsidR="00BA7438" w:rsidRPr="00B37892">
        <w:t xml:space="preserve"> </w:t>
      </w:r>
      <w:r w:rsidR="00B505FF" w:rsidRPr="00B37892">
        <w:t>23</w:t>
      </w:r>
      <w:r w:rsidR="0077402B" w:rsidRPr="00B37892">
        <w:t xml:space="preserve"> </w:t>
      </w:r>
      <w:r w:rsidR="00B505FF" w:rsidRPr="00B37892">
        <w:t xml:space="preserve">September </w:t>
      </w:r>
      <w:r w:rsidR="0077402B" w:rsidRPr="00B37892">
        <w:t>2025</w:t>
      </w:r>
      <w:r w:rsidR="0077402B">
        <w:t xml:space="preserve"> and remain in place until a new price determination takes effect.</w:t>
      </w:r>
    </w:p>
    <w:p w14:paraId="53120E1A" w14:textId="5F584821" w:rsidR="00264F3F" w:rsidRDefault="00024C9A" w:rsidP="00C42AC4">
      <w:pPr>
        <w:pStyle w:val="Source"/>
        <w:jc w:val="left"/>
        <w:rPr>
          <w:b/>
          <w:bCs/>
        </w:rPr>
      </w:pPr>
      <w:r>
        <w:rPr>
          <w:b/>
          <w:bCs/>
        </w:rPr>
        <w:t xml:space="preserve">Note: </w:t>
      </w:r>
      <w:r w:rsidR="00F916AD">
        <w:t>most</w:t>
      </w:r>
      <w:r w:rsidR="00264F3F" w:rsidRPr="00C06445">
        <w:t xml:space="preserve"> changes in </w:t>
      </w:r>
      <w:r w:rsidR="00264F3F">
        <w:t xml:space="preserve">the </w:t>
      </w:r>
      <w:r w:rsidR="00264F3F" w:rsidRPr="00C06445">
        <w:t>cost</w:t>
      </w:r>
      <w:r w:rsidR="00264F3F">
        <w:t xml:space="preserve"> inflators</w:t>
      </w:r>
      <w:r w:rsidR="00264F3F" w:rsidRPr="00C06445">
        <w:t xml:space="preserve"> are measured over the period from June 2022 to </w:t>
      </w:r>
      <w:r w:rsidR="00264F3F">
        <w:t>June</w:t>
      </w:r>
      <w:r w:rsidR="00264F3F" w:rsidRPr="00C06445">
        <w:t xml:space="preserve"> 2024. </w:t>
      </w:r>
      <w:r w:rsidR="00264F3F" w:rsidRPr="00D108A9">
        <w:t xml:space="preserve">However, the changes in the cost inflators which use the wage price index (network (labour) and administration) and </w:t>
      </w:r>
      <w:r w:rsidR="00264F3F" w:rsidRPr="00E1007F">
        <w:t>comprehensive car insurance index</w:t>
      </w:r>
      <w:r w:rsidR="00264F3F">
        <w:t xml:space="preserve"> (insurance)</w:t>
      </w:r>
      <w:r w:rsidR="00264F3F" w:rsidRPr="007E570B">
        <w:t xml:space="preserve"> </w:t>
      </w:r>
      <w:r w:rsidR="00264F3F" w:rsidRPr="00D108A9">
        <w:t>are measured from June 2022 to March 2024</w:t>
      </w:r>
      <w:r w:rsidR="00166DB5">
        <w:t xml:space="preserve">. </w:t>
      </w:r>
      <w:r w:rsidR="002C773D">
        <w:t>T</w:t>
      </w:r>
      <w:r w:rsidR="00ED5EDB">
        <w:t xml:space="preserve">hese </w:t>
      </w:r>
      <w:r w:rsidR="00166A4F">
        <w:t>cost inflators will be measure</w:t>
      </w:r>
      <w:r w:rsidR="00247034">
        <w:t>d</w:t>
      </w:r>
      <w:r w:rsidR="00166A4F">
        <w:t xml:space="preserve"> from March 2024 to June 2025</w:t>
      </w:r>
      <w:r w:rsidR="002C773D">
        <w:t xml:space="preserve"> for the fare adjustment mechanism.</w:t>
      </w:r>
    </w:p>
    <w:p w14:paraId="2B187A27" w14:textId="732DB499" w:rsidR="00E20226" w:rsidRDefault="00080AF2" w:rsidP="002C773D">
      <w:pPr>
        <w:pStyle w:val="Source"/>
        <w:jc w:val="left"/>
      </w:pPr>
      <w:r w:rsidRPr="002C773D">
        <w:rPr>
          <w:b/>
        </w:rPr>
        <w:t>Note:</w:t>
      </w:r>
      <w:r>
        <w:t xml:space="preserve"> if the data</w:t>
      </w:r>
      <w:r w:rsidR="0047529E">
        <w:t xml:space="preserve"> for the June 2025 </w:t>
      </w:r>
      <w:r w:rsidR="00EE0EB2">
        <w:t>Q</w:t>
      </w:r>
      <w:r w:rsidR="0047529E">
        <w:t>uarter</w:t>
      </w:r>
      <w:r>
        <w:t xml:space="preserve"> for </w:t>
      </w:r>
      <w:r w:rsidR="00431699">
        <w:t xml:space="preserve">a cost component is not available at the time of making the commission’s assessment, we will use the most recent data available to us for that cost component. </w:t>
      </w:r>
    </w:p>
    <w:p w14:paraId="20D92897" w14:textId="77777777" w:rsidR="00E20226" w:rsidRDefault="00E20226" w:rsidP="00F7543D"/>
    <w:p w14:paraId="0A0D02B1" w14:textId="77777777" w:rsidR="0041429A" w:rsidRDefault="0041429A" w:rsidP="00F7543D">
      <w:pPr>
        <w:sectPr w:rsidR="0041429A" w:rsidSect="0053218D">
          <w:footerReference w:type="default" r:id="rId23"/>
          <w:type w:val="continuous"/>
          <w:pgSz w:w="11906" w:h="16838" w:code="9"/>
          <w:pgMar w:top="1134" w:right="1134" w:bottom="1134" w:left="1134" w:header="709" w:footer="692" w:gutter="0"/>
          <w:cols w:space="708"/>
          <w:docGrid w:linePitch="360"/>
        </w:sectPr>
      </w:pPr>
    </w:p>
    <w:p w14:paraId="06FC2CA1" w14:textId="7BB67659" w:rsidR="00A672AE" w:rsidRDefault="005C281C" w:rsidP="007019B3">
      <w:pPr>
        <w:pStyle w:val="Heading1numbered"/>
      </w:pPr>
      <w:bookmarkStart w:id="124" w:name="_Toc174692664"/>
      <w:bookmarkEnd w:id="30"/>
      <w:bookmarkEnd w:id="31"/>
      <w:bookmarkEnd w:id="32"/>
      <w:r>
        <w:lastRenderedPageBreak/>
        <w:t>Non-cash payment surcharge</w:t>
      </w:r>
      <w:bookmarkEnd w:id="124"/>
    </w:p>
    <w:p w14:paraId="0E10931E" w14:textId="7986FF0A" w:rsidR="00751962" w:rsidRDefault="00751962" w:rsidP="00BE644E">
      <w:pPr>
        <w:pStyle w:val="Pull-out"/>
      </w:pPr>
      <w:r>
        <w:t xml:space="preserve">Our </w:t>
      </w:r>
      <w:r w:rsidR="001A7B23">
        <w:t>final</w:t>
      </w:r>
      <w:r>
        <w:t xml:space="preserve"> decision for the maximum non</w:t>
      </w:r>
      <w:r w:rsidR="00E02673">
        <w:noBreakHyphen/>
      </w:r>
      <w:r>
        <w:t xml:space="preserve">cash payment surcharge for taxi services in Victoria </w:t>
      </w:r>
      <w:r w:rsidR="00F85D52">
        <w:t>is</w:t>
      </w:r>
      <w:r>
        <w:t xml:space="preserve">: </w:t>
      </w:r>
    </w:p>
    <w:p w14:paraId="2CE8AA29" w14:textId="67CD28B7" w:rsidR="00751962" w:rsidRDefault="00751962" w:rsidP="00BE644E">
      <w:pPr>
        <w:pStyle w:val="Pull-outBullet1"/>
      </w:pPr>
      <w:r>
        <w:t>4</w:t>
      </w:r>
      <w:r w:rsidR="00E02673">
        <w:t> per </w:t>
      </w:r>
      <w:r>
        <w:t>cent (including GST) for all non</w:t>
      </w:r>
      <w:r w:rsidR="00E02673">
        <w:noBreakHyphen/>
      </w:r>
      <w:r>
        <w:t>cash payment methods, except commercial passenger vehicle specific payment instruments</w:t>
      </w:r>
      <w:r w:rsidR="00F37FE2">
        <w:t>.</w:t>
      </w:r>
    </w:p>
    <w:p w14:paraId="74D4AC93" w14:textId="7CA3554E" w:rsidR="00751962" w:rsidRDefault="00751962" w:rsidP="00BE644E">
      <w:pPr>
        <w:pStyle w:val="Pull-outBullet1"/>
      </w:pPr>
      <w:r>
        <w:t>6</w:t>
      </w:r>
      <w:r w:rsidR="00E02673">
        <w:t> per </w:t>
      </w:r>
      <w:r>
        <w:t xml:space="preserve">cent (no GST payable) for commercial passenger vehicle specific payment instruments (such as Cabcharge payment instruments). </w:t>
      </w:r>
    </w:p>
    <w:p w14:paraId="1DED80C3" w14:textId="7E61425C" w:rsidR="00751962" w:rsidRDefault="00751962" w:rsidP="00BE644E">
      <w:pPr>
        <w:pStyle w:val="Pull-out"/>
      </w:pPr>
      <w:r>
        <w:t xml:space="preserve">In </w:t>
      </w:r>
      <w:r w:rsidR="002522C2">
        <w:t xml:space="preserve">making </w:t>
      </w:r>
      <w:r>
        <w:t xml:space="preserve">our </w:t>
      </w:r>
      <w:r w:rsidR="006F6E7F">
        <w:t>final</w:t>
      </w:r>
      <w:r>
        <w:t xml:space="preserve"> decision, we considered the reasonable costs of facilitating non</w:t>
      </w:r>
      <w:r w:rsidR="00E02673">
        <w:noBreakHyphen/>
      </w:r>
      <w:r>
        <w:t>cash transactions in taxis by examining information provided by stakeholders and undertaking benchmarking analysis.</w:t>
      </w:r>
    </w:p>
    <w:p w14:paraId="3B7167F8" w14:textId="5E3A70BA" w:rsidR="00751962" w:rsidRDefault="00751962" w:rsidP="00BE644E">
      <w:pPr>
        <w:pStyle w:val="Pull-out"/>
      </w:pPr>
      <w:r>
        <w:t xml:space="preserve">Our benchmarking shows that the </w:t>
      </w:r>
      <w:r w:rsidR="004A0678">
        <w:t xml:space="preserve">maximum </w:t>
      </w:r>
      <w:r>
        <w:t>4</w:t>
      </w:r>
      <w:r w:rsidR="00E02673">
        <w:t> per </w:t>
      </w:r>
      <w:r>
        <w:t>cent surcharge enable</w:t>
      </w:r>
      <w:r w:rsidR="00FD1839">
        <w:t>s</w:t>
      </w:r>
      <w:r>
        <w:t xml:space="preserve"> taxi payment processors to recover the reasonable costs of accepting and processing </w:t>
      </w:r>
      <w:r w:rsidR="00585B38">
        <w:t>most no</w:t>
      </w:r>
      <w:r w:rsidR="006B580E">
        <w:t>n-cash</w:t>
      </w:r>
      <w:r w:rsidR="001D676D">
        <w:t xml:space="preserve"> </w:t>
      </w:r>
      <w:r>
        <w:t>payments for taxi services.</w:t>
      </w:r>
    </w:p>
    <w:p w14:paraId="08AE789A" w14:textId="27B6F2BE" w:rsidR="00751962" w:rsidRDefault="00751962" w:rsidP="00BE644E">
      <w:pPr>
        <w:pStyle w:val="Pull-out"/>
      </w:pPr>
      <w:r>
        <w:t>The 6</w:t>
      </w:r>
      <w:r w:rsidR="00E02673">
        <w:t> per </w:t>
      </w:r>
      <w:r>
        <w:t xml:space="preserve">cent </w:t>
      </w:r>
      <w:r w:rsidR="003E5534">
        <w:t xml:space="preserve">maximum </w:t>
      </w:r>
      <w:r>
        <w:t xml:space="preserve">surcharge </w:t>
      </w:r>
      <w:r w:rsidR="00936E54">
        <w:t>for commercial passenger ve</w:t>
      </w:r>
      <w:r w:rsidR="006611F1">
        <w:t>hicle specific</w:t>
      </w:r>
      <w:r w:rsidR="002A65AA">
        <w:t xml:space="preserve"> </w:t>
      </w:r>
      <w:r w:rsidR="00BF4706">
        <w:t xml:space="preserve">payment instruments </w:t>
      </w:r>
      <w:r>
        <w:t>reflects higher costs for the Cabcharge payment instrument.</w:t>
      </w:r>
    </w:p>
    <w:p w14:paraId="285567D1" w14:textId="484B5D83" w:rsidR="00751962" w:rsidRDefault="00751962" w:rsidP="00751962">
      <w:r>
        <w:t>In the taxi industry, non</w:t>
      </w:r>
      <w:r w:rsidR="00E02673">
        <w:noBreakHyphen/>
      </w:r>
      <w:r>
        <w:t xml:space="preserve">cash payment surcharges may be charged to taxi passengers to recover the costs </w:t>
      </w:r>
      <w:r w:rsidR="004024DF">
        <w:t xml:space="preserve">of </w:t>
      </w:r>
      <w:r>
        <w:t>accepting and processing non</w:t>
      </w:r>
      <w:r w:rsidR="00E02673">
        <w:noBreakHyphen/>
      </w:r>
      <w:r>
        <w:t>cash payment transactions. Non</w:t>
      </w:r>
      <w:r w:rsidR="00E02673">
        <w:noBreakHyphen/>
      </w:r>
      <w:r>
        <w:t>cash payment transactions refer to payments made by any method other than cash, such as payments via debit or credit cards.</w:t>
      </w:r>
    </w:p>
    <w:p w14:paraId="1E5B507D" w14:textId="2435D138" w:rsidR="00E41397" w:rsidRDefault="00751962" w:rsidP="00751962">
      <w:r>
        <w:t>In other sectors of the economy (including rideshare and hire car services), surcharge</w:t>
      </w:r>
      <w:r w:rsidR="00F85D52">
        <w:t xml:space="preserve"> rules for </w:t>
      </w:r>
      <w:r>
        <w:t>non</w:t>
      </w:r>
      <w:r w:rsidR="00E02673">
        <w:noBreakHyphen/>
      </w:r>
      <w:r>
        <w:t xml:space="preserve">cash payments </w:t>
      </w:r>
      <w:r w:rsidR="00F85D52">
        <w:t>are</w:t>
      </w:r>
      <w:r>
        <w:t xml:space="preserve"> set by the Reserve Bank of Australia</w:t>
      </w:r>
      <w:r w:rsidR="00F85D52">
        <w:t>,</w:t>
      </w:r>
      <w:r>
        <w:t xml:space="preserve"> </w:t>
      </w:r>
      <w:r w:rsidR="00F85D52">
        <w:t>wh</w:t>
      </w:r>
      <w:r w:rsidR="00E41397">
        <w:t>ile</w:t>
      </w:r>
      <w:r>
        <w:t xml:space="preserve"> the Australian Competition and Consumer Commission is responsible for enforcing those rules.</w:t>
      </w:r>
      <w:r w:rsidR="00F63862">
        <w:rPr>
          <w:rStyle w:val="FootnoteReference"/>
        </w:rPr>
        <w:footnoteReference w:id="47"/>
      </w:r>
      <w:r>
        <w:t xml:space="preserve"> </w:t>
      </w:r>
    </w:p>
    <w:p w14:paraId="40764BA6" w14:textId="019D1E29" w:rsidR="00E41397" w:rsidRDefault="00751962" w:rsidP="00751962">
      <w:r>
        <w:t>However, the Reserve Bank of Australia’s rules specifically exclude non</w:t>
      </w:r>
      <w:r w:rsidR="00E02673">
        <w:noBreakHyphen/>
      </w:r>
      <w:r>
        <w:t>cash payments for taxi services.</w:t>
      </w:r>
      <w:r w:rsidR="00E41397">
        <w:t xml:space="preserve"> </w:t>
      </w:r>
      <w:r w:rsidR="00BC07CC">
        <w:t>The Essential Services Commission is</w:t>
      </w:r>
      <w:r>
        <w:t xml:space="preserve"> responsible for setting the maximum surcharges for non</w:t>
      </w:r>
      <w:r w:rsidR="00E02673">
        <w:noBreakHyphen/>
      </w:r>
      <w:r>
        <w:t>cash payment transactions for taxi services (</w:t>
      </w:r>
      <w:r w:rsidR="053E1230">
        <w:t xml:space="preserve">applies to </w:t>
      </w:r>
      <w:r>
        <w:t>both booked and unbooked taxi services)</w:t>
      </w:r>
      <w:r w:rsidR="008B25C8">
        <w:t xml:space="preserve"> in accordance with Victorian legislation</w:t>
      </w:r>
      <w:r>
        <w:t>.</w:t>
      </w:r>
    </w:p>
    <w:p w14:paraId="14B1886E" w14:textId="34ECA308" w:rsidR="00751962" w:rsidRDefault="00751962" w:rsidP="00751962">
      <w:r>
        <w:lastRenderedPageBreak/>
        <w:t xml:space="preserve">Safe Transport Victoria </w:t>
      </w:r>
      <w:r w:rsidR="00156B7E">
        <w:t xml:space="preserve">(the </w:t>
      </w:r>
      <w:r>
        <w:t>commercial passenger vehicle industry regulator</w:t>
      </w:r>
      <w:r w:rsidR="00156B7E">
        <w:t>)</w:t>
      </w:r>
      <w:r>
        <w:t xml:space="preserve"> is responsible for enforcing compliance with the</w:t>
      </w:r>
      <w:r w:rsidR="00865024">
        <w:t>se</w:t>
      </w:r>
      <w:r>
        <w:t xml:space="preserve"> surcharges. </w:t>
      </w:r>
    </w:p>
    <w:p w14:paraId="79CB8F7E" w14:textId="275F8700" w:rsidR="00751962" w:rsidRDefault="00751962" w:rsidP="00751962">
      <w:r>
        <w:t xml:space="preserve">We are required to review the maximum surcharges every two years. </w:t>
      </w:r>
    </w:p>
    <w:p w14:paraId="114CC312" w14:textId="4225A75C" w:rsidR="00751962" w:rsidRDefault="00751962" w:rsidP="00BE644E">
      <w:pPr>
        <w:pStyle w:val="Heading2"/>
      </w:pPr>
      <w:bookmarkStart w:id="125" w:name="_Toc174692665"/>
      <w:r>
        <w:t>Our approach to setting non</w:t>
      </w:r>
      <w:r w:rsidR="00E02673">
        <w:noBreakHyphen/>
      </w:r>
      <w:r>
        <w:t>cash payment surcharges</w:t>
      </w:r>
      <w:bookmarkEnd w:id="125"/>
    </w:p>
    <w:p w14:paraId="48E44B67" w14:textId="36196A0C" w:rsidR="00751962" w:rsidRDefault="00751962" w:rsidP="00751962">
      <w:r>
        <w:t>Our role is to set the maximum non</w:t>
      </w:r>
      <w:r w:rsidR="00E02673">
        <w:noBreakHyphen/>
      </w:r>
      <w:r>
        <w:t xml:space="preserve">cash payment surcharge that applies to taxi services in Victoria. </w:t>
      </w:r>
    </w:p>
    <w:p w14:paraId="53C4DAE8" w14:textId="77777777" w:rsidR="00AC4126" w:rsidRDefault="00751962" w:rsidP="00751962">
      <w:r>
        <w:t>In undertaking this role, our objectives include promoting both the long</w:t>
      </w:r>
      <w:r w:rsidR="00E02673">
        <w:noBreakHyphen/>
      </w:r>
      <w:r>
        <w:t>term interests of Victorian consumers and efficiency in the taxi non</w:t>
      </w:r>
      <w:r w:rsidR="00E02673">
        <w:noBreakHyphen/>
      </w:r>
      <w:r>
        <w:t>cash payment industry.</w:t>
      </w:r>
      <w:r w:rsidR="00B26D57">
        <w:rPr>
          <w:rStyle w:val="FootnoteReference"/>
        </w:rPr>
        <w:footnoteReference w:id="48"/>
      </w:r>
    </w:p>
    <w:p w14:paraId="792D7B4B" w14:textId="3161778C" w:rsidR="00751962" w:rsidRDefault="00751962" w:rsidP="00751962">
      <w:r>
        <w:t>We must also ensure that those who facilitate taxi non</w:t>
      </w:r>
      <w:r w:rsidR="00E02673">
        <w:noBreakHyphen/>
      </w:r>
      <w:r>
        <w:t>cash payment transactions are able to recover the reasonable cost of accepting and processing these transactions.</w:t>
      </w:r>
      <w:r w:rsidR="006D2BD1">
        <w:rPr>
          <w:rStyle w:val="FootnoteReference"/>
        </w:rPr>
        <w:footnoteReference w:id="49"/>
      </w:r>
      <w:r w:rsidR="00BE7D5E">
        <w:t xml:space="preserve"> </w:t>
      </w:r>
      <w:r>
        <w:t xml:space="preserve">  </w:t>
      </w:r>
    </w:p>
    <w:p w14:paraId="651C3890" w14:textId="0B5809AD" w:rsidR="004A76E2" w:rsidRDefault="004A76E2" w:rsidP="004A76E2">
      <w:r>
        <w:t xml:space="preserve">As outlined in chapter 1, in the taxi industry, the surcharge is primarily collected by taxi payment processors. However, the surcharge may alternatively be collected by the taxi driver, operator or booking service provider.  </w:t>
      </w:r>
    </w:p>
    <w:p w14:paraId="60DFD405" w14:textId="642D7BB6" w:rsidR="00751962" w:rsidRDefault="00751962" w:rsidP="00751962">
      <w:r>
        <w:t>We define ‘reasonable cost’ to mean the costs incurred in accepting and processing non</w:t>
      </w:r>
      <w:r w:rsidR="00E02673">
        <w:noBreakHyphen/>
      </w:r>
      <w:r>
        <w:t>cash payment transactions, which are moderate, not excessive, and within the limits of what it would be rational or sensible to expect for the given level of service quality and reliability.</w:t>
      </w:r>
      <w:r w:rsidR="00A73FEA">
        <w:rPr>
          <w:rStyle w:val="FootnoteReference"/>
        </w:rPr>
        <w:footnoteReference w:id="50"/>
      </w:r>
      <w:r w:rsidR="00455C49">
        <w:t xml:space="preserve"> </w:t>
      </w:r>
    </w:p>
    <w:p w14:paraId="725B21AE" w14:textId="5543240F" w:rsidR="00751962" w:rsidRDefault="00585AC8" w:rsidP="00751962">
      <w:r>
        <w:t xml:space="preserve">The costs payment processors incur varies depending on who collects the surcharge and what technology is used. </w:t>
      </w:r>
      <w:r w:rsidR="008D6061">
        <w:t>We consider that</w:t>
      </w:r>
      <w:r w:rsidR="00751962">
        <w:t xml:space="preserve"> reasonable costs typically include:</w:t>
      </w:r>
    </w:p>
    <w:p w14:paraId="2D27F9A3" w14:textId="0D36E220" w:rsidR="00751962" w:rsidRDefault="00751962" w:rsidP="00BE644E">
      <w:pPr>
        <w:pStyle w:val="ListBullet"/>
      </w:pPr>
      <w:r w:rsidRPr="00AF3B05">
        <w:rPr>
          <w:b/>
          <w:bCs/>
        </w:rPr>
        <w:t>merchant service fees</w:t>
      </w:r>
      <w:r>
        <w:t xml:space="preserve"> – this is the variable cost of processing non</w:t>
      </w:r>
      <w:r w:rsidR="00E02673">
        <w:noBreakHyphen/>
      </w:r>
      <w:r>
        <w:t>cash payments and includes interchange fees (fees set by the card scheme to be paid by the merchant’s bank to the cardholder’s bank), scheme fees (fees paid by the merchant’s bank and cardholder’s bank to the payment scheme) and the merchant bank’s margin.</w:t>
      </w:r>
    </w:p>
    <w:p w14:paraId="71A0AB91" w14:textId="12E115A9" w:rsidR="00751962" w:rsidRDefault="00751962" w:rsidP="00BE644E">
      <w:pPr>
        <w:pStyle w:val="ListBullet"/>
      </w:pPr>
      <w:r w:rsidRPr="00AF3B05">
        <w:rPr>
          <w:b/>
          <w:bCs/>
        </w:rPr>
        <w:t>operational costs</w:t>
      </w:r>
      <w:r>
        <w:t xml:space="preserve"> – includes wages, payment terminal maintenance, fraud and fraud prevention and other administrative overheads.</w:t>
      </w:r>
    </w:p>
    <w:p w14:paraId="3BE2D336" w14:textId="16628144" w:rsidR="00751962" w:rsidRDefault="00751962" w:rsidP="00BE644E">
      <w:pPr>
        <w:pStyle w:val="ListBullet"/>
      </w:pPr>
      <w:r w:rsidRPr="00AF3B05">
        <w:rPr>
          <w:b/>
          <w:bCs/>
        </w:rPr>
        <w:t>capital costs</w:t>
      </w:r>
      <w:r>
        <w:t xml:space="preserve"> </w:t>
      </w:r>
      <w:r w:rsidR="00252887">
        <w:t>– payment</w:t>
      </w:r>
      <w:r>
        <w:t xml:space="preserve"> terminals and other infrastructure that is required to process non</w:t>
      </w:r>
      <w:r w:rsidR="00E02673">
        <w:noBreakHyphen/>
      </w:r>
      <w:r>
        <w:t>cash payments.</w:t>
      </w:r>
      <w:r w:rsidR="008F75F8">
        <w:rPr>
          <w:rStyle w:val="FootnoteReference"/>
        </w:rPr>
        <w:footnoteReference w:id="51"/>
      </w:r>
    </w:p>
    <w:p w14:paraId="07CD8A13" w14:textId="59B4248E" w:rsidR="00751962" w:rsidRDefault="00816131" w:rsidP="00751962">
      <w:r>
        <w:lastRenderedPageBreak/>
        <w:t xml:space="preserve">In our view, </w:t>
      </w:r>
      <w:r w:rsidR="00751962">
        <w:t xml:space="preserve">costs related to other parts of taxi services, such as booking services, </w:t>
      </w:r>
      <w:r w:rsidR="00E02673">
        <w:t>Multi Purpose</w:t>
      </w:r>
      <w:r w:rsidR="00751962">
        <w:t xml:space="preserve"> Taxi Program processing, taximeter and dispatch functions, and driver incentives and commissions should not be recovered via the surcharge</w:t>
      </w:r>
      <w:r w:rsidR="00751962" w:rsidRPr="00CB2C52">
        <w:t>.</w:t>
      </w:r>
      <w:r w:rsidR="5A27317D" w:rsidRPr="00CB2C52">
        <w:t xml:space="preserve"> </w:t>
      </w:r>
      <w:r w:rsidR="003B6964">
        <w:t>I</w:t>
      </w:r>
      <w:r w:rsidR="003B6964" w:rsidRPr="00CB2C52">
        <w:t>n our previous reviews</w:t>
      </w:r>
      <w:r w:rsidR="003B6964">
        <w:t xml:space="preserve">, </w:t>
      </w:r>
      <w:r w:rsidR="00F32356">
        <w:t>w</w:t>
      </w:r>
      <w:r w:rsidR="00ED364B" w:rsidRPr="00CB2C52">
        <w:t>e</w:t>
      </w:r>
      <w:r w:rsidR="002669E5">
        <w:t xml:space="preserve"> </w:t>
      </w:r>
      <w:r w:rsidR="0098083B" w:rsidRPr="00CB2C52">
        <w:t xml:space="preserve">set out </w:t>
      </w:r>
      <w:r w:rsidR="00860461">
        <w:t>what we consider to be</w:t>
      </w:r>
      <w:r w:rsidR="0098083B" w:rsidRPr="00CB2C52">
        <w:t xml:space="preserve"> </w:t>
      </w:r>
      <w:r w:rsidR="00E304FE">
        <w:t>the</w:t>
      </w:r>
      <w:r w:rsidR="00FB1FC1">
        <w:t xml:space="preserve"> reasonable costs</w:t>
      </w:r>
      <w:r w:rsidR="00E304FE">
        <w:t xml:space="preserve"> of facilitating non-cash payments in the taxi industry</w:t>
      </w:r>
      <w:r w:rsidR="00FB1FC1">
        <w:t xml:space="preserve"> and </w:t>
      </w:r>
      <w:r w:rsidR="001D4886" w:rsidRPr="00CB2C52">
        <w:t>detail</w:t>
      </w:r>
      <w:r w:rsidR="00365B0E">
        <w:t>ed</w:t>
      </w:r>
      <w:r w:rsidR="001D4886" w:rsidRPr="00CB2C52">
        <w:t xml:space="preserve"> reasons for not including </w:t>
      </w:r>
      <w:r>
        <w:t>other</w:t>
      </w:r>
      <w:r w:rsidR="001D4886" w:rsidRPr="00CB2C52">
        <w:t xml:space="preserve"> costs.</w:t>
      </w:r>
      <w:r w:rsidR="001D4886" w:rsidRPr="00CB2C52">
        <w:rPr>
          <w:rStyle w:val="FootnoteReference"/>
        </w:rPr>
        <w:footnoteReference w:id="52"/>
      </w:r>
      <w:r w:rsidR="00CB2C52" w:rsidRPr="00CB2C52" w:rsidDel="00CB2C52">
        <w:t xml:space="preserve"> </w:t>
      </w:r>
      <w:r w:rsidR="00D56312">
        <w:t>Our views have not cha</w:t>
      </w:r>
      <w:r w:rsidR="003D4913">
        <w:t>nged.</w:t>
      </w:r>
    </w:p>
    <w:p w14:paraId="4AA3F6C6" w14:textId="7B358991" w:rsidR="006C763A" w:rsidRDefault="006C763A" w:rsidP="006C763A">
      <w:pPr>
        <w:pStyle w:val="Pull-out"/>
      </w:pPr>
      <w:r>
        <w:t xml:space="preserve">See </w:t>
      </w:r>
      <w:hyperlink w:anchor="_Appendix_G:_Our" w:history="1">
        <w:r w:rsidRPr="009B424C">
          <w:rPr>
            <w:rStyle w:val="Hyperlink"/>
          </w:rPr>
          <w:t xml:space="preserve">Appendix </w:t>
        </w:r>
        <w:r w:rsidR="00901E46" w:rsidRPr="009B424C">
          <w:rPr>
            <w:rStyle w:val="Hyperlink"/>
          </w:rPr>
          <w:t>G</w:t>
        </w:r>
      </w:hyperlink>
      <w:r>
        <w:t xml:space="preserve"> </w:t>
      </w:r>
      <w:r w:rsidR="00C83A26" w:rsidRPr="00C83A26">
        <w:t xml:space="preserve">for further information on the legal framework for setting maximum </w:t>
      </w:r>
      <w:r w:rsidR="00C83A26">
        <w:t>non-cash payment surcharges</w:t>
      </w:r>
      <w:r w:rsidR="00C83A26" w:rsidRPr="00C83A26">
        <w:t>.</w:t>
      </w:r>
    </w:p>
    <w:p w14:paraId="134B36BC" w14:textId="77777777" w:rsidR="00751962" w:rsidRDefault="00751962" w:rsidP="007D221A">
      <w:pPr>
        <w:pStyle w:val="Heading3"/>
      </w:pPr>
      <w:bookmarkStart w:id="126" w:name="_Toc173691386"/>
      <w:bookmarkStart w:id="127" w:name="_Toc174692666"/>
      <w:r>
        <w:t>The basis of the current surcharges</w:t>
      </w:r>
      <w:bookmarkEnd w:id="126"/>
      <w:bookmarkEnd w:id="127"/>
    </w:p>
    <w:p w14:paraId="477F7707" w14:textId="345BCBB4" w:rsidR="00751962" w:rsidRDefault="00751962" w:rsidP="007D221A">
      <w:r>
        <w:t>In our 2019 review, we set the maximum non</w:t>
      </w:r>
      <w:r w:rsidR="00E02673">
        <w:noBreakHyphen/>
      </w:r>
      <w:r>
        <w:t>cash payment surcharges at:</w:t>
      </w:r>
    </w:p>
    <w:p w14:paraId="0006323F" w14:textId="3B8363C4" w:rsidR="00751962" w:rsidRDefault="00751962" w:rsidP="007D221A">
      <w:pPr>
        <w:pStyle w:val="ListBullet"/>
      </w:pPr>
      <w:r>
        <w:t>4</w:t>
      </w:r>
      <w:r w:rsidR="00E02673">
        <w:t> per </w:t>
      </w:r>
      <w:r>
        <w:t>cent (including GST) for most non</w:t>
      </w:r>
      <w:r w:rsidR="00E02673">
        <w:noBreakHyphen/>
      </w:r>
      <w:r>
        <w:t>cash payment methods</w:t>
      </w:r>
    </w:p>
    <w:p w14:paraId="08C2412E" w14:textId="147A9550" w:rsidR="00751962" w:rsidRDefault="00751962" w:rsidP="007D221A">
      <w:pPr>
        <w:pStyle w:val="ListBullet"/>
      </w:pPr>
      <w:r>
        <w:t>6</w:t>
      </w:r>
      <w:r w:rsidR="00E02673">
        <w:t> per </w:t>
      </w:r>
      <w:r>
        <w:t xml:space="preserve">cent (excluding GST) for </w:t>
      </w:r>
      <w:r w:rsidR="00902B3C">
        <w:t xml:space="preserve">commercial passenger vehicle </w:t>
      </w:r>
      <w:r>
        <w:t xml:space="preserve">specific payment instruments (like Cabcharge). </w:t>
      </w:r>
    </w:p>
    <w:p w14:paraId="1F4B2E39" w14:textId="6E1F3730" w:rsidR="00751962" w:rsidRDefault="00751962" w:rsidP="007D221A">
      <w:r>
        <w:t>Using industry cost data, we undertook a bottom</w:t>
      </w:r>
      <w:r w:rsidR="00E02673">
        <w:noBreakHyphen/>
      </w:r>
      <w:r>
        <w:t>up cost assessment and found that most payment processors required a surcharge of between 3.5</w:t>
      </w:r>
      <w:r w:rsidR="00E02673">
        <w:t> per </w:t>
      </w:r>
      <w:r>
        <w:t>cent and 3.9</w:t>
      </w:r>
      <w:r w:rsidR="00E02673">
        <w:t> per </w:t>
      </w:r>
      <w:r>
        <w:t>cent to recover their reasonable costs.</w:t>
      </w:r>
      <w:r w:rsidR="007C649F">
        <w:rPr>
          <w:rStyle w:val="FootnoteReference"/>
        </w:rPr>
        <w:footnoteReference w:id="53"/>
      </w:r>
      <w:r>
        <w:t xml:space="preserve"> </w:t>
      </w:r>
    </w:p>
    <w:p w14:paraId="2238FDCB" w14:textId="35E25001" w:rsidR="00751962" w:rsidRDefault="00751962" w:rsidP="007D221A">
      <w:r>
        <w:t>In consideration of taxi payment processors’ costs, benchmarking and stakeholder views, we set the surcharge for most payment methods to 4</w:t>
      </w:r>
      <w:r w:rsidR="00E02673">
        <w:t> per </w:t>
      </w:r>
      <w:r>
        <w:t>cent. We set a higher</w:t>
      </w:r>
      <w:r w:rsidR="00AD6E9B">
        <w:t xml:space="preserve"> maximum</w:t>
      </w:r>
      <w:r>
        <w:t xml:space="preserve"> surcharge for </w:t>
      </w:r>
      <w:r w:rsidR="00902B3C">
        <w:t xml:space="preserve">commercial passenger vehicle </w:t>
      </w:r>
      <w:r>
        <w:t>specific payment instruments, such as Cabcharge, because cost data showed that this payment method incurred higher costs</w:t>
      </w:r>
      <w:r w:rsidR="00BB29D2">
        <w:t xml:space="preserve"> (for example, </w:t>
      </w:r>
      <w:r w:rsidR="005420CD">
        <w:t>costs related</w:t>
      </w:r>
      <w:r w:rsidR="00BB29D2">
        <w:t xml:space="preserve"> </w:t>
      </w:r>
      <w:r w:rsidR="002B117E">
        <w:t xml:space="preserve">to </w:t>
      </w:r>
      <w:r w:rsidR="00BB29D2">
        <w:t>account management</w:t>
      </w:r>
      <w:r w:rsidR="005420CD" w:rsidRPr="005420CD">
        <w:t xml:space="preserve"> </w:t>
      </w:r>
      <w:r w:rsidR="005420CD">
        <w:t>and working capital to fund account holder credit)</w:t>
      </w:r>
      <w:r>
        <w:t xml:space="preserve">. </w:t>
      </w:r>
    </w:p>
    <w:p w14:paraId="7F6D2823" w14:textId="7004B1E9" w:rsidR="00751962" w:rsidRDefault="00751962" w:rsidP="00B9163F">
      <w:r>
        <w:t xml:space="preserve">After following a similar method in our 2022 review, </w:t>
      </w:r>
      <w:r w:rsidR="00405177">
        <w:t>our 2022 decision was</w:t>
      </w:r>
      <w:r w:rsidR="009722A9">
        <w:t xml:space="preserve"> </w:t>
      </w:r>
      <w:r>
        <w:t xml:space="preserve">to maintain the surcharges at </w:t>
      </w:r>
      <w:r w:rsidR="0057578E">
        <w:t xml:space="preserve">previously determined </w:t>
      </w:r>
      <w:r>
        <w:t>level</w:t>
      </w:r>
      <w:r w:rsidR="0057578E">
        <w:t>s</w:t>
      </w:r>
      <w:r>
        <w:t>.</w:t>
      </w:r>
      <w:r w:rsidR="00A0387F">
        <w:rPr>
          <w:rStyle w:val="FootnoteReference"/>
        </w:rPr>
        <w:footnoteReference w:id="54"/>
      </w:r>
    </w:p>
    <w:p w14:paraId="19A9CD4A" w14:textId="77777777" w:rsidR="00751962" w:rsidRDefault="00751962" w:rsidP="00EA2333">
      <w:pPr>
        <w:pStyle w:val="Heading3"/>
      </w:pPr>
      <w:bookmarkStart w:id="128" w:name="_Toc166669793"/>
      <w:bookmarkStart w:id="129" w:name="_Toc166678858"/>
      <w:bookmarkStart w:id="130" w:name="_Toc167345813"/>
      <w:bookmarkStart w:id="131" w:name="_Toc167346507"/>
      <w:bookmarkStart w:id="132" w:name="_Toc167780302"/>
      <w:bookmarkStart w:id="133" w:name="_Toc173691387"/>
      <w:bookmarkStart w:id="134" w:name="_Toc174692667"/>
      <w:r>
        <w:lastRenderedPageBreak/>
        <w:t>Our approach for this review</w:t>
      </w:r>
      <w:bookmarkEnd w:id="128"/>
      <w:bookmarkEnd w:id="129"/>
      <w:bookmarkEnd w:id="130"/>
      <w:bookmarkEnd w:id="131"/>
      <w:bookmarkEnd w:id="132"/>
      <w:bookmarkEnd w:id="133"/>
      <w:bookmarkEnd w:id="134"/>
      <w:r>
        <w:t xml:space="preserve"> </w:t>
      </w:r>
    </w:p>
    <w:p w14:paraId="781B84D6" w14:textId="75BFD45C" w:rsidR="0057578E" w:rsidRDefault="00273060" w:rsidP="007F3E52">
      <w:r>
        <w:t>We used benchmarking analysis</w:t>
      </w:r>
      <w:r w:rsidR="000F7621">
        <w:t xml:space="preserve"> and considered stakeholder views </w:t>
      </w:r>
      <w:r>
        <w:t>to assess</w:t>
      </w:r>
      <w:r w:rsidR="006D69F7">
        <w:t xml:space="preserve"> whether the current surcharges recover</w:t>
      </w:r>
      <w:r w:rsidR="00AE5FA0">
        <w:t>ed</w:t>
      </w:r>
      <w:r>
        <w:t xml:space="preserve"> the reasonable cost</w:t>
      </w:r>
      <w:r w:rsidR="006D69F7">
        <w:t xml:space="preserve">s </w:t>
      </w:r>
      <w:r>
        <w:t>of accepting and processing non</w:t>
      </w:r>
      <w:r>
        <w:noBreakHyphen/>
        <w:t>cash payment</w:t>
      </w:r>
      <w:r w:rsidR="003F538C">
        <w:t>s in</w:t>
      </w:r>
      <w:r w:rsidR="003F379A">
        <w:t xml:space="preserve"> </w:t>
      </w:r>
      <w:r>
        <w:t xml:space="preserve">the Victorian taxi industry. </w:t>
      </w:r>
    </w:p>
    <w:p w14:paraId="71B36317" w14:textId="0650D0C6" w:rsidR="00751962" w:rsidRDefault="0057578E" w:rsidP="007F3E52">
      <w:r>
        <w:t>Our</w:t>
      </w:r>
      <w:r w:rsidR="00105EA9">
        <w:t xml:space="preserve"> draft decision</w:t>
      </w:r>
      <w:r>
        <w:t xml:space="preserve"> </w:t>
      </w:r>
      <w:r w:rsidR="00105EA9">
        <w:t xml:space="preserve">set out </w:t>
      </w:r>
      <w:r>
        <w:t>why</w:t>
      </w:r>
      <w:r w:rsidR="00105EA9">
        <w:t xml:space="preserve"> we </w:t>
      </w:r>
      <w:r w:rsidR="00A134BB">
        <w:t>deemed</w:t>
      </w:r>
      <w:r w:rsidR="003F538C">
        <w:t xml:space="preserve"> the current surcharges continued to be appropriate</w:t>
      </w:r>
      <w:r w:rsidR="00E31BD0">
        <w:t>. S</w:t>
      </w:r>
      <w:r w:rsidR="005D3017">
        <w:t>takeholders</w:t>
      </w:r>
      <w:r w:rsidR="00E31BD0">
        <w:t xml:space="preserve">’ views were sought, and their </w:t>
      </w:r>
      <w:r w:rsidR="00677936">
        <w:t xml:space="preserve">submissions </w:t>
      </w:r>
      <w:r w:rsidR="00E31BD0">
        <w:t>considered</w:t>
      </w:r>
      <w:r w:rsidR="00677936">
        <w:t xml:space="preserve"> in coming to this final decision. </w:t>
      </w:r>
      <w:r w:rsidR="000C0985">
        <w:t xml:space="preserve"> </w:t>
      </w:r>
    </w:p>
    <w:p w14:paraId="713FC3FD" w14:textId="28A76165" w:rsidR="00751962" w:rsidRDefault="00751962" w:rsidP="00EA2333">
      <w:pPr>
        <w:pStyle w:val="Heading2"/>
      </w:pPr>
      <w:bookmarkStart w:id="135" w:name="_Toc174692668"/>
      <w:r>
        <w:t xml:space="preserve">Benchmarking shows that </w:t>
      </w:r>
      <w:r w:rsidR="007A0523">
        <w:t xml:space="preserve">a </w:t>
      </w:r>
      <w:r>
        <w:t>4</w:t>
      </w:r>
      <w:r w:rsidR="00E02673">
        <w:t> per </w:t>
      </w:r>
      <w:r>
        <w:t xml:space="preserve">cent </w:t>
      </w:r>
      <w:r w:rsidR="00FE52A3">
        <w:t xml:space="preserve">maximum </w:t>
      </w:r>
      <w:r>
        <w:t xml:space="preserve">surcharge </w:t>
      </w:r>
      <w:r w:rsidR="00F90002">
        <w:t xml:space="preserve">is </w:t>
      </w:r>
      <w:r w:rsidR="00CD6E65">
        <w:t>appropriate</w:t>
      </w:r>
      <w:bookmarkEnd w:id="135"/>
    </w:p>
    <w:p w14:paraId="364EC77B" w14:textId="27F8FE11" w:rsidR="00751962" w:rsidRDefault="00751962" w:rsidP="00751962">
      <w:r>
        <w:t>Our benchmarking analysis compares the maximum 4</w:t>
      </w:r>
      <w:r w:rsidR="00E02673">
        <w:t> per </w:t>
      </w:r>
      <w:r>
        <w:t>cent surcharge against the cost</w:t>
      </w:r>
      <w:r w:rsidR="00F948FF">
        <w:t>s</w:t>
      </w:r>
      <w:r>
        <w:t xml:space="preserve"> </w:t>
      </w:r>
      <w:r w:rsidR="00DF03B4">
        <w:t xml:space="preserve">small businesses </w:t>
      </w:r>
      <w:r w:rsidR="00E7152D">
        <w:t>in Australia face when a</w:t>
      </w:r>
      <w:r>
        <w:t xml:space="preserve">ccepting and processing credit and debit card transactions. </w:t>
      </w:r>
      <w:r w:rsidR="008F2600">
        <w:t xml:space="preserve">We </w:t>
      </w:r>
      <w:r w:rsidR="00CD7BB3">
        <w:t>assumed that taxis use multiple terminals and</w:t>
      </w:r>
      <w:r w:rsidR="008F2600">
        <w:t xml:space="preserve"> used </w:t>
      </w:r>
      <w:r w:rsidR="00F114C4">
        <w:t xml:space="preserve">the cost of </w:t>
      </w:r>
      <w:r w:rsidR="008A2C7A">
        <w:t>terminals available to</w:t>
      </w:r>
      <w:r w:rsidR="008F2600">
        <w:t xml:space="preserve"> small businesses</w:t>
      </w:r>
      <w:r w:rsidR="00280D22">
        <w:t xml:space="preserve"> </w:t>
      </w:r>
      <w:r w:rsidR="005D44E9">
        <w:t>with revenue simila</w:t>
      </w:r>
      <w:r w:rsidR="005D44E9" w:rsidRPr="001A1B0B">
        <w:t xml:space="preserve">r to that of the </w:t>
      </w:r>
      <w:r w:rsidR="001C11E0" w:rsidRPr="001A1B0B">
        <w:t>typical</w:t>
      </w:r>
      <w:r w:rsidR="005D44E9" w:rsidRPr="001A1B0B">
        <w:t xml:space="preserve"> taxi</w:t>
      </w:r>
      <w:r w:rsidR="001C11E0" w:rsidRPr="001A1B0B">
        <w:t xml:space="preserve"> to ensure</w:t>
      </w:r>
      <w:r w:rsidR="006C4AC0" w:rsidRPr="001A1B0B">
        <w:t xml:space="preserve"> our analysis</w:t>
      </w:r>
      <w:r w:rsidR="00AB0B9F" w:rsidRPr="001A1B0B">
        <w:t xml:space="preserve"> was comparable</w:t>
      </w:r>
      <w:r w:rsidR="00C169C6" w:rsidRPr="001A1B0B">
        <w:t xml:space="preserve"> with the taxi industry. </w:t>
      </w:r>
      <w:r w:rsidRPr="001A1B0B">
        <w:t>Our</w:t>
      </w:r>
      <w:r>
        <w:t xml:space="preserve"> analysis shows that it may be possible for taxi</w:t>
      </w:r>
      <w:r w:rsidR="0028797F">
        <w:t xml:space="preserve"> payment processors</w:t>
      </w:r>
      <w:r>
        <w:t xml:space="preserve"> to process most non</w:t>
      </w:r>
      <w:r w:rsidR="00E02673">
        <w:noBreakHyphen/>
      </w:r>
      <w:r>
        <w:t xml:space="preserve">cash payments with a surcharge </w:t>
      </w:r>
      <w:r w:rsidRPr="001E3E8A">
        <w:t>between 1.8</w:t>
      </w:r>
      <w:r w:rsidR="00E02673" w:rsidRPr="001E3E8A">
        <w:t> per </w:t>
      </w:r>
      <w:r w:rsidRPr="001E3E8A">
        <w:t>cent and 3.6</w:t>
      </w:r>
      <w:r w:rsidR="00E02673" w:rsidRPr="001E3E8A">
        <w:t> per </w:t>
      </w:r>
      <w:r w:rsidR="00137373" w:rsidRPr="001E3E8A">
        <w:t>cent</w:t>
      </w:r>
      <w:r w:rsidRPr="001E3E8A">
        <w:t>.</w:t>
      </w:r>
    </w:p>
    <w:p w14:paraId="0BD34A68" w14:textId="2FD51CDE" w:rsidR="00751962" w:rsidRDefault="00751962" w:rsidP="003F078D">
      <w:r>
        <w:t xml:space="preserve">We also examined how </w:t>
      </w:r>
      <w:r w:rsidR="006F5229">
        <w:t xml:space="preserve">payment processing </w:t>
      </w:r>
      <w:r>
        <w:t>costs have changed over</w:t>
      </w:r>
      <w:r w:rsidR="00B16FDD">
        <w:t xml:space="preserve"> </w:t>
      </w:r>
      <w:r>
        <w:t>time</w:t>
      </w:r>
      <w:r w:rsidR="002548C8" w:rsidDel="00AC5338">
        <w:t xml:space="preserve"> </w:t>
      </w:r>
      <w:r w:rsidR="006F5229">
        <w:t>in the broader economy</w:t>
      </w:r>
      <w:r>
        <w:t>. This involved analysing public data on economy</w:t>
      </w:r>
      <w:r w:rsidR="00B217FD">
        <w:t>-</w:t>
      </w:r>
      <w:r>
        <w:t>wide trends in merchant service fees and comparing our benchmarking results to our 2019 and 2022 reviews.</w:t>
      </w:r>
      <w:r w:rsidR="00363377">
        <w:t xml:space="preserve"> Our analysis shows that merchant services fees have been declining over the long term, </w:t>
      </w:r>
      <w:r w:rsidR="000E560D">
        <w:t xml:space="preserve">however they have </w:t>
      </w:r>
      <w:r w:rsidR="00126D48">
        <w:t>stabilised</w:t>
      </w:r>
      <w:r w:rsidR="000E560D">
        <w:t xml:space="preserve"> since 2020.</w:t>
      </w:r>
      <w:r w:rsidR="00126D48">
        <w:t xml:space="preserve"> </w:t>
      </w:r>
      <w:r w:rsidR="002E6896">
        <w:t>Our benchmarking results show that</w:t>
      </w:r>
      <w:r>
        <w:t xml:space="preserve"> the cost of processing non</w:t>
      </w:r>
      <w:r w:rsidR="00E02673">
        <w:noBreakHyphen/>
      </w:r>
      <w:r>
        <w:t>cash payments</w:t>
      </w:r>
      <w:r w:rsidR="000736D6">
        <w:t xml:space="preserve"> as a percentage of revenue</w:t>
      </w:r>
      <w:r>
        <w:t xml:space="preserve"> ha</w:t>
      </w:r>
      <w:r w:rsidDel="000736D6">
        <w:t>s</w:t>
      </w:r>
      <w:r>
        <w:t xml:space="preserve"> </w:t>
      </w:r>
      <w:r w:rsidR="0001202E">
        <w:t xml:space="preserve">remained stable </w:t>
      </w:r>
      <w:r>
        <w:t>since our initial review in 2019.</w:t>
      </w:r>
    </w:p>
    <w:p w14:paraId="3377B4CD" w14:textId="73558B78" w:rsidR="003426ED" w:rsidRDefault="003426ED" w:rsidP="003F078D">
      <w:r>
        <w:t xml:space="preserve">This means that a 4 per cent </w:t>
      </w:r>
      <w:r w:rsidR="00FE52A3">
        <w:t xml:space="preserve">maximum </w:t>
      </w:r>
      <w:r>
        <w:t xml:space="preserve">surcharge will </w:t>
      </w:r>
      <w:r w:rsidR="00D006E0">
        <w:t xml:space="preserve">continue to </w:t>
      </w:r>
      <w:r>
        <w:t xml:space="preserve">enable taxi payment processors to recover the reasonable costs of accepting and processing most non-cash payment methods. Processors </w:t>
      </w:r>
      <w:r w:rsidR="00C96B57">
        <w:t>can</w:t>
      </w:r>
      <w:r w:rsidR="000D4277">
        <w:t xml:space="preserve"> </w:t>
      </w:r>
      <w:r>
        <w:t>choose to charge less than the maximum</w:t>
      </w:r>
      <w:r w:rsidR="00C96B57">
        <w:t xml:space="preserve"> or vary charges by payment type provided they stay below the maximum</w:t>
      </w:r>
      <w:r>
        <w:t xml:space="preserve">. </w:t>
      </w:r>
    </w:p>
    <w:p w14:paraId="43DA24BD" w14:textId="23B0D159" w:rsidR="00751962" w:rsidRDefault="00751962" w:rsidP="005D3CD3">
      <w:pPr>
        <w:pStyle w:val="Heading3"/>
      </w:pPr>
      <w:bookmarkStart w:id="136" w:name="_Toc166669795"/>
      <w:bookmarkStart w:id="137" w:name="_Toc166678860"/>
      <w:bookmarkStart w:id="138" w:name="_Toc167345815"/>
      <w:bookmarkStart w:id="139" w:name="_Toc167346509"/>
      <w:bookmarkStart w:id="140" w:name="_Toc167780304"/>
      <w:bookmarkStart w:id="141" w:name="_Toc173691389"/>
      <w:bookmarkStart w:id="142" w:name="_Toc174692669"/>
      <w:r w:rsidRPr="004A7712">
        <w:t>Our benchmarking analysis</w:t>
      </w:r>
      <w:bookmarkEnd w:id="136"/>
      <w:bookmarkEnd w:id="137"/>
      <w:bookmarkEnd w:id="138"/>
      <w:bookmarkEnd w:id="139"/>
      <w:bookmarkEnd w:id="140"/>
      <w:bookmarkEnd w:id="141"/>
      <w:bookmarkEnd w:id="142"/>
    </w:p>
    <w:p w14:paraId="7D318A31" w14:textId="7AAAD0A8" w:rsidR="00751962" w:rsidRDefault="00751962" w:rsidP="00751962">
      <w:r>
        <w:t>To benchmark taxi surcharges, we estimated an implied surcharge that would be needed to recover the cost of facilitating non</w:t>
      </w:r>
      <w:r w:rsidR="00E02673">
        <w:noBreakHyphen/>
      </w:r>
      <w:r>
        <w:t xml:space="preserve">cash payments for a given level of revenue. </w:t>
      </w:r>
    </w:p>
    <w:p w14:paraId="64F92586" w14:textId="363B0272" w:rsidR="00751962" w:rsidRDefault="00751962" w:rsidP="00751962">
      <w:r>
        <w:t>The implied surcharge is equal to the monthly cost of processing non</w:t>
      </w:r>
      <w:r w:rsidR="00E02673">
        <w:noBreakHyphen/>
      </w:r>
      <w:r>
        <w:t>cash payments divided by an estimated monthly turnover for a payment terminal in a taxi in Victoria.</w:t>
      </w:r>
    </w:p>
    <w:tbl>
      <w:tblPr>
        <w:tblStyle w:val="TableGrid1"/>
        <w:tblW w:w="0" w:type="auto"/>
        <w:tblLook w:val="0480" w:firstRow="0" w:lastRow="0" w:firstColumn="1" w:lastColumn="0" w:noHBand="0" w:noVBand="1"/>
      </w:tblPr>
      <w:tblGrid>
        <w:gridCol w:w="4416"/>
        <w:gridCol w:w="1253"/>
        <w:gridCol w:w="3969"/>
      </w:tblGrid>
      <w:tr w:rsidR="00B61569" w:rsidRPr="00102091" w14:paraId="04ADCA7B" w14:textId="77777777">
        <w:trPr>
          <w:cnfStyle w:val="000000100000" w:firstRow="0" w:lastRow="0" w:firstColumn="0" w:lastColumn="0" w:oddVBand="0" w:evenVBand="0" w:oddHBand="1" w:evenHBand="0" w:firstRowFirstColumn="0" w:firstRowLastColumn="0" w:lastRowFirstColumn="0" w:lastRowLastColumn="0"/>
        </w:trPr>
        <w:tc>
          <w:tcPr>
            <w:tcW w:w="4416" w:type="dxa"/>
          </w:tcPr>
          <w:p w14:paraId="1695A335" w14:textId="5A2A94BB" w:rsidR="00B61569" w:rsidRPr="00102091" w:rsidRDefault="00B61569" w:rsidP="001E27C6">
            <w:pPr>
              <w:jc w:val="center"/>
              <w:rPr>
                <w:rFonts w:ascii="Arial" w:eastAsia="Arial" w:hAnsi="Arial" w:cs="Arial"/>
              </w:rPr>
            </w:pPr>
            <w:r>
              <w:rPr>
                <w:rFonts w:ascii="Arial" w:eastAsia="Arial" w:hAnsi="Arial" w:cs="Arial"/>
              </w:rPr>
              <w:t>Implied surcharge</w:t>
            </w:r>
          </w:p>
        </w:tc>
        <w:tc>
          <w:tcPr>
            <w:tcW w:w="1253" w:type="dxa"/>
          </w:tcPr>
          <w:p w14:paraId="05A2D5AA" w14:textId="77777777" w:rsidR="00B61569" w:rsidRPr="00102091" w:rsidRDefault="00B61569" w:rsidP="001E27C6">
            <w:pPr>
              <w:jc w:val="center"/>
              <w:rPr>
                <w:rFonts w:ascii="Arial" w:eastAsia="Arial" w:hAnsi="Arial" w:cs="Arial"/>
              </w:rPr>
            </w:pPr>
            <w:r w:rsidRPr="00102091">
              <w:rPr>
                <w:rFonts w:ascii="Arial" w:eastAsia="Arial" w:hAnsi="Arial" w:cs="Arial"/>
              </w:rPr>
              <w:t>=</w:t>
            </w:r>
          </w:p>
        </w:tc>
        <w:tc>
          <w:tcPr>
            <w:tcW w:w="3969" w:type="dxa"/>
          </w:tcPr>
          <w:p w14:paraId="02013DD5" w14:textId="0E584794" w:rsidR="00B61569" w:rsidRPr="001E27C6" w:rsidRDefault="00000000" w:rsidP="001E27C6">
            <w:pPr>
              <w:spacing w:before="0" w:line="240" w:lineRule="auto"/>
              <w:jc w:val="center"/>
              <w:rPr>
                <w:rFonts w:eastAsia="Arial" w:cstheme="minorHAnsi"/>
                <w:iCs/>
              </w:rPr>
            </w:pPr>
            <m:oMathPara>
              <m:oMath>
                <m:f>
                  <m:fPr>
                    <m:ctrlPr>
                      <w:rPr>
                        <w:rFonts w:ascii="Cambria Math" w:hAnsi="Cambria Math" w:cstheme="minorHAnsi"/>
                        <w:iCs/>
                      </w:rPr>
                    </m:ctrlPr>
                  </m:fPr>
                  <m:num>
                    <m:r>
                      <m:rPr>
                        <m:sty m:val="p"/>
                      </m:rPr>
                      <w:rPr>
                        <w:rFonts w:ascii="Cambria Math" w:hAnsi="Cambria Math" w:cstheme="minorHAnsi"/>
                      </w:rPr>
                      <m:t>Monthly cost</m:t>
                    </m:r>
                  </m:num>
                  <m:den>
                    <m:r>
                      <m:rPr>
                        <m:sty m:val="p"/>
                      </m:rPr>
                      <w:rPr>
                        <w:rFonts w:ascii="Cambria Math" w:hAnsi="Cambria Math" w:cstheme="minorHAnsi"/>
                      </w:rPr>
                      <m:t>Monthly turnover</m:t>
                    </m:r>
                  </m:den>
                </m:f>
              </m:oMath>
            </m:oMathPara>
          </w:p>
        </w:tc>
      </w:tr>
    </w:tbl>
    <w:p w14:paraId="4B9CDE61" w14:textId="2459AB19" w:rsidR="004057CA" w:rsidRDefault="004057CA" w:rsidP="004057CA">
      <w:r>
        <w:lastRenderedPageBreak/>
        <w:t xml:space="preserve">We estimated </w:t>
      </w:r>
      <w:r w:rsidRPr="00B424A1">
        <w:rPr>
          <w:b/>
          <w:bCs/>
        </w:rPr>
        <w:t>monthly cost</w:t>
      </w:r>
      <w:r>
        <w:t xml:space="preserve"> based on </w:t>
      </w:r>
      <w:r w:rsidR="00972ABA">
        <w:t xml:space="preserve">4G </w:t>
      </w:r>
      <w:r>
        <w:t>payment terminals</w:t>
      </w:r>
      <w:r w:rsidR="00EF4A73">
        <w:t xml:space="preserve"> that are </w:t>
      </w:r>
      <w:r>
        <w:t>available to small businesses in Australia. These offers typically included a rate for different payment types (such as debit and credit) and a monthly fee for terminal hire. However, the pricing plans vary. For example, some offer a fixed fee for all payment types and others differentiate by payment schemes (e.g.</w:t>
      </w:r>
      <w:r w:rsidR="00CE49C7">
        <w:t> </w:t>
      </w:r>
      <w:r>
        <w:t xml:space="preserve">eftpos, Visa and Mastercard, American Express) and card types (e.g. debit, credit). </w:t>
      </w:r>
    </w:p>
    <w:p w14:paraId="5C0C12AB" w14:textId="5CD1BE01" w:rsidR="004057CA" w:rsidRDefault="004057CA" w:rsidP="004057CA">
      <w:r>
        <w:t xml:space="preserve">We estimated </w:t>
      </w:r>
      <w:r w:rsidRPr="00B424A1">
        <w:rPr>
          <w:b/>
          <w:bCs/>
        </w:rPr>
        <w:t>monthly turnover</w:t>
      </w:r>
      <w:r>
        <w:t xml:space="preserve"> based on actual taxi payment processor data we collected in previous reviews and the views provided by stakeholders for this review. The revenue</w:t>
      </w:r>
      <w:r w:rsidR="008D5725">
        <w:t xml:space="preserve"> estimate</w:t>
      </w:r>
      <w:r>
        <w:t xml:space="preserve"> is </w:t>
      </w:r>
      <w:r w:rsidR="008D5725">
        <w:t xml:space="preserve">26 per cent lower than </w:t>
      </w:r>
      <w:r w:rsidR="00CC6A80">
        <w:t>the figure in</w:t>
      </w:r>
      <w:r>
        <w:t xml:space="preserve"> our 2019 review</w:t>
      </w:r>
      <w:r w:rsidR="00E30DA6" w:rsidRPr="00E30DA6">
        <w:t xml:space="preserve"> </w:t>
      </w:r>
      <w:r w:rsidR="00E30DA6">
        <w:t>($1</w:t>
      </w:r>
      <w:r w:rsidR="00EE7B07">
        <w:t>,</w:t>
      </w:r>
      <w:r w:rsidR="00E30DA6">
        <w:t>625 per terminal, or $3</w:t>
      </w:r>
      <w:r w:rsidR="00EE7B07">
        <w:t>,</w:t>
      </w:r>
      <w:r w:rsidR="00E30DA6">
        <w:t>250 per taxi)</w:t>
      </w:r>
      <w:r w:rsidR="00CC6A80">
        <w:t>.</w:t>
      </w:r>
      <w:r>
        <w:t xml:space="preserve"> </w:t>
      </w:r>
      <w:r w:rsidR="00CC6A80">
        <w:t xml:space="preserve">This </w:t>
      </w:r>
      <w:r>
        <w:t>reflect</w:t>
      </w:r>
      <w:r w:rsidR="00CC6A80">
        <w:t>s</w:t>
      </w:r>
      <w:r>
        <w:t xml:space="preserve"> that the market had not returned to pre</w:t>
      </w:r>
      <w:r w:rsidR="00E02673">
        <w:noBreakHyphen/>
      </w:r>
      <w:r>
        <w:t>pandemic levels</w:t>
      </w:r>
      <w:r w:rsidR="001E4292">
        <w:t>, and accords with</w:t>
      </w:r>
      <w:r w:rsidR="001E4292" w:rsidRPr="001E4292">
        <w:t xml:space="preserve"> </w:t>
      </w:r>
      <w:r w:rsidR="001E4292">
        <w:t>views expressed by stakeholders</w:t>
      </w:r>
      <w:r>
        <w:t>.</w:t>
      </w:r>
      <w:r w:rsidR="00BC69C6">
        <w:rPr>
          <w:rStyle w:val="FootnoteReference"/>
        </w:rPr>
        <w:footnoteReference w:id="55"/>
      </w:r>
      <w:r>
        <w:t xml:space="preserve">  </w:t>
      </w:r>
    </w:p>
    <w:p w14:paraId="64934BBD" w14:textId="6CE76D8E" w:rsidR="00751962" w:rsidRDefault="004057CA" w:rsidP="004057CA">
      <w:r w:rsidRPr="00EC4CB8">
        <w:t xml:space="preserve">Figure </w:t>
      </w:r>
      <w:r w:rsidR="003B5E22" w:rsidRPr="00EC4CB8">
        <w:t>1</w:t>
      </w:r>
      <w:r>
        <w:t xml:space="preserve"> shows the implied surcharge needed to recover </w:t>
      </w:r>
      <w:r w:rsidR="00A051EB">
        <w:t xml:space="preserve">the </w:t>
      </w:r>
      <w:r>
        <w:t>costs of terminals available to small business</w:t>
      </w:r>
      <w:r w:rsidR="00254BF0">
        <w:t>es</w:t>
      </w:r>
      <w:r>
        <w:t>.</w:t>
      </w:r>
    </w:p>
    <w:p w14:paraId="0A1087FF" w14:textId="0BFBFEE2" w:rsidR="00B424A1" w:rsidRDefault="00B424A1" w:rsidP="003B5E22">
      <w:pPr>
        <w:pStyle w:val="Figure-Table-BoxHeading"/>
        <w:ind w:left="0" w:firstLine="0"/>
      </w:pPr>
      <w:r w:rsidRPr="00EC4CB8">
        <w:t xml:space="preserve">Figure </w:t>
      </w:r>
      <w:r w:rsidR="003B5E22" w:rsidRPr="00EC4CB8">
        <w:t>1</w:t>
      </w:r>
      <w:r w:rsidRPr="00B424A1">
        <w:tab/>
      </w:r>
      <w:r w:rsidR="00EE15F1" w:rsidRPr="00EE15F1">
        <w:t>Implied surcharge assuming two terminals</w:t>
      </w:r>
    </w:p>
    <w:p w14:paraId="60AD5B14" w14:textId="10AF0FEE" w:rsidR="00B27529" w:rsidRDefault="00FC72DE" w:rsidP="003B5E22">
      <w:pPr>
        <w:pStyle w:val="Figure-Table-BoxHeading"/>
        <w:ind w:left="0" w:firstLine="0"/>
      </w:pPr>
      <w:r>
        <w:rPr>
          <w:noProof/>
        </w:rPr>
        <w:drawing>
          <wp:inline distT="0" distB="0" distL="0" distR="0" wp14:anchorId="2702D6DC" wp14:editId="3720CD3F">
            <wp:extent cx="6120130" cy="3186820"/>
            <wp:effectExtent l="0" t="0" r="0" b="0"/>
            <wp:docPr id="1117330318" name="Chart 1">
              <a:extLst xmlns:a="http://schemas.openxmlformats.org/drawingml/2006/main">
                <a:ext uri="{FF2B5EF4-FFF2-40B4-BE49-F238E27FC236}">
                  <a16:creationId xmlns:a16="http://schemas.microsoft.com/office/drawing/2014/main" id="{9D4C9097-C616-411A-96CE-920CBC041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A4F1411" w14:textId="3E1CD87F" w:rsidR="004001C7" w:rsidRPr="003417DC" w:rsidRDefault="00643088" w:rsidP="004001C7">
      <w:r>
        <w:t>Our analysis assumes</w:t>
      </w:r>
      <w:r w:rsidR="00F95A47">
        <w:t xml:space="preserve"> that taxis use multiple terminals</w:t>
      </w:r>
      <w:r w:rsidR="00B8163C">
        <w:t xml:space="preserve"> at this point in time</w:t>
      </w:r>
      <w:r w:rsidR="00E611A0">
        <w:t xml:space="preserve">. This common </w:t>
      </w:r>
      <w:r w:rsidR="00602922">
        <w:t xml:space="preserve">taxi sector </w:t>
      </w:r>
      <w:r w:rsidR="00E611A0">
        <w:t xml:space="preserve">practice increases costs. </w:t>
      </w:r>
      <w:r w:rsidR="009768A9">
        <w:t>O</w:t>
      </w:r>
      <w:r w:rsidR="00E611A0">
        <w:t xml:space="preserve">ur benchmarking analysis </w:t>
      </w:r>
      <w:r w:rsidR="00703550">
        <w:t xml:space="preserve">shows that </w:t>
      </w:r>
      <w:r w:rsidR="06F0AAB5">
        <w:t xml:space="preserve">if taxi drivers used a single </w:t>
      </w:r>
      <w:r w:rsidR="06F0AAB5">
        <w:lastRenderedPageBreak/>
        <w:t xml:space="preserve">payment terminal, </w:t>
      </w:r>
      <w:r w:rsidR="00703550">
        <w:t xml:space="preserve">taxi payment processors may be able to process non-cash payments at a cost between 1.6 </w:t>
      </w:r>
      <w:r w:rsidR="007D4E9C">
        <w:t xml:space="preserve">per cent </w:t>
      </w:r>
      <w:r w:rsidR="00703550">
        <w:t>and 2.4 per cent.</w:t>
      </w:r>
    </w:p>
    <w:p w14:paraId="07BE765F" w14:textId="7473893A" w:rsidR="00B53C1A" w:rsidRDefault="00A6302D" w:rsidP="00803C44">
      <w:r>
        <w:t xml:space="preserve">As a condition of registration, unbooked taxis are required to be able to provide services for the Multi Purpose Taxi Program (MPTP). At the time of </w:t>
      </w:r>
      <w:r w:rsidR="003951C1">
        <w:t>our draft decision</w:t>
      </w:r>
      <w:r>
        <w:t xml:space="preserve">, only two </w:t>
      </w:r>
      <w:r w:rsidR="005F4182">
        <w:t xml:space="preserve">taxi </w:t>
      </w:r>
      <w:r>
        <w:t>companies had been approved to provide access to MPTP processing (A2B and Oiii). A2B provides access to the MPTP program via its payment terminals while Oiii provides access via its integrated taxi platform.</w:t>
      </w:r>
      <w:r w:rsidR="0042798A" w:rsidRPr="0042798A">
        <w:t xml:space="preserve"> </w:t>
      </w:r>
    </w:p>
    <w:p w14:paraId="25EA0851" w14:textId="526DC6D7" w:rsidR="006879EF" w:rsidRDefault="0042798A" w:rsidP="00803C44">
      <w:r>
        <w:t xml:space="preserve">Since our draft decision was published, </w:t>
      </w:r>
      <w:r w:rsidR="00565C82">
        <w:t xml:space="preserve">a joint arrangement between </w:t>
      </w:r>
      <w:r>
        <w:t xml:space="preserve">GM Cabs and Silver Top </w:t>
      </w:r>
      <w:r w:rsidR="00093752">
        <w:t xml:space="preserve">Taxi </w:t>
      </w:r>
      <w:r w:rsidR="00565C82">
        <w:t>has also been approved</w:t>
      </w:r>
      <w:r w:rsidR="00C81D61">
        <w:t xml:space="preserve"> to pro</w:t>
      </w:r>
      <w:r w:rsidR="00F615AB">
        <w:t xml:space="preserve">vide access to </w:t>
      </w:r>
      <w:r w:rsidR="000311D2">
        <w:t>MPTP processing</w:t>
      </w:r>
      <w:r w:rsidR="001C0C39">
        <w:t xml:space="preserve">, whereby </w:t>
      </w:r>
      <w:r>
        <w:t xml:space="preserve">Silver Top taxis can use a GM Cabs payment terminal integrated with the </w:t>
      </w:r>
      <w:r w:rsidR="00963154">
        <w:t xml:space="preserve">Silver Top </w:t>
      </w:r>
      <w:r>
        <w:t xml:space="preserve">taxi meter </w:t>
      </w:r>
      <w:r w:rsidR="00D5624B">
        <w:t xml:space="preserve">to </w:t>
      </w:r>
      <w:r w:rsidR="004B7C5B">
        <w:t>process MPTP trips.</w:t>
      </w:r>
      <w:r>
        <w:rPr>
          <w:rStyle w:val="FootnoteReference"/>
        </w:rPr>
        <w:footnoteReference w:id="56"/>
      </w:r>
      <w:r>
        <w:t xml:space="preserve"> </w:t>
      </w:r>
    </w:p>
    <w:p w14:paraId="1CB933C0" w14:textId="7C94D72E" w:rsidR="004001C7" w:rsidRDefault="0042798A" w:rsidP="00A6302D">
      <w:r>
        <w:t>However, some taxi payment processors have not been approved to process MPTP trips.</w:t>
      </w:r>
      <w:r w:rsidR="0012121E">
        <w:t xml:space="preserve"> The</w:t>
      </w:r>
      <w:r w:rsidR="00E32A4C">
        <w:t xml:space="preserve">se payment processors </w:t>
      </w:r>
      <w:r w:rsidR="00DA1662">
        <w:t xml:space="preserve">participate in the market </w:t>
      </w:r>
      <w:r w:rsidR="000E1024">
        <w:t>by providing secondary</w:t>
      </w:r>
      <w:r w:rsidR="00F47F34">
        <w:t xml:space="preserve"> payment terminals </w:t>
      </w:r>
      <w:r w:rsidR="00592622">
        <w:t>directly to taxi drivers.</w:t>
      </w:r>
    </w:p>
    <w:p w14:paraId="0B17FF1C" w14:textId="6E6EA45C" w:rsidR="00ED1020" w:rsidRDefault="00445BC1" w:rsidP="00803C44">
      <w:r>
        <w:t xml:space="preserve">For </w:t>
      </w:r>
      <w:r w:rsidR="00813ED0">
        <w:t xml:space="preserve">these </w:t>
      </w:r>
      <w:r>
        <w:t>reasons</w:t>
      </w:r>
      <w:r w:rsidR="00482E5E">
        <w:t>,</w:t>
      </w:r>
      <w:r>
        <w:t xml:space="preserve"> </w:t>
      </w:r>
      <w:r w:rsidR="00EF7952">
        <w:t>we consider</w:t>
      </w:r>
      <w:r w:rsidR="008E46F2">
        <w:t>, on balance,</w:t>
      </w:r>
      <w:r w:rsidR="00EF7952">
        <w:t xml:space="preserve"> </w:t>
      </w:r>
      <w:r w:rsidR="00B701D7">
        <w:t xml:space="preserve">our </w:t>
      </w:r>
      <w:r w:rsidR="00972ABA">
        <w:t>multiple terminal assumption</w:t>
      </w:r>
      <w:r w:rsidR="0014413A">
        <w:t xml:space="preserve"> </w:t>
      </w:r>
      <w:r w:rsidR="00EF7952">
        <w:t>remains</w:t>
      </w:r>
      <w:r w:rsidR="006A5D1F">
        <w:t xml:space="preserve"> </w:t>
      </w:r>
      <w:r w:rsidR="0014413A">
        <w:t xml:space="preserve">appropriate </w:t>
      </w:r>
      <w:r w:rsidR="6470CC2C">
        <w:t xml:space="preserve">for now </w:t>
      </w:r>
      <w:r w:rsidR="0014413A">
        <w:t>as reflect</w:t>
      </w:r>
      <w:r w:rsidR="00FC54E6">
        <w:t>ive</w:t>
      </w:r>
      <w:r w:rsidR="0014413A">
        <w:t xml:space="preserve"> </w:t>
      </w:r>
      <w:r w:rsidR="00FC54E6">
        <w:t>of</w:t>
      </w:r>
      <w:r w:rsidR="0014413A">
        <w:t xml:space="preserve"> the reasonable costs of providing non-cash payment s</w:t>
      </w:r>
      <w:r w:rsidR="005E1CFC">
        <w:t>ervices</w:t>
      </w:r>
      <w:r w:rsidR="00E81B28">
        <w:t xml:space="preserve"> and promot</w:t>
      </w:r>
      <w:r w:rsidR="00C977CF">
        <w:t>ing</w:t>
      </w:r>
      <w:r w:rsidR="00E81B28">
        <w:t xml:space="preserve"> competition in the sector</w:t>
      </w:r>
      <w:r w:rsidR="005E1CFC">
        <w:t>.</w:t>
      </w:r>
      <w:r w:rsidR="000762D1">
        <w:rPr>
          <w:rStyle w:val="FootnoteReference"/>
        </w:rPr>
        <w:footnoteReference w:id="57"/>
      </w:r>
      <w:r w:rsidR="005E1CFC">
        <w:t xml:space="preserve"> </w:t>
      </w:r>
    </w:p>
    <w:p w14:paraId="183F6AE3" w14:textId="18854A03" w:rsidR="00FD0D73" w:rsidRDefault="00FD0D73" w:rsidP="00FD0D73">
      <w:r>
        <w:t xml:space="preserve">We will </w:t>
      </w:r>
      <w:r w:rsidR="00682B41">
        <w:t>need to</w:t>
      </w:r>
      <w:r>
        <w:t xml:space="preserve"> revisit this </w:t>
      </w:r>
      <w:r w:rsidR="00031725">
        <w:t xml:space="preserve">multiple terminal </w:t>
      </w:r>
      <w:r>
        <w:t>assumption in future reviews. The expansion of the M</w:t>
      </w:r>
      <w:r w:rsidR="00B179E1">
        <w:t>ulti Purpose Taxi Program</w:t>
      </w:r>
      <w:r w:rsidR="002979A9">
        <w:t xml:space="preserve"> </w:t>
      </w:r>
      <w:r>
        <w:t>and any other changes in technology may</w:t>
      </w:r>
      <w:r w:rsidR="00E10A61">
        <w:t xml:space="preserve"> increase competition and</w:t>
      </w:r>
      <w:r>
        <w:t xml:space="preserve"> result in fewer taxi drivers using multiple terminals.</w:t>
      </w:r>
      <w:r>
        <w:rPr>
          <w:rStyle w:val="FootnoteReference"/>
        </w:rPr>
        <w:footnoteReference w:id="58"/>
      </w:r>
    </w:p>
    <w:p w14:paraId="0569FC5F" w14:textId="73F53C5E" w:rsidR="00E86E7C" w:rsidRDefault="00E86E7C" w:rsidP="002A7FFA">
      <w:pPr>
        <w:pStyle w:val="Heading4"/>
      </w:pPr>
      <w:r>
        <w:t>Submissions on our benchmarking analysis</w:t>
      </w:r>
    </w:p>
    <w:p w14:paraId="49A4CA2E" w14:textId="46DB0927" w:rsidR="00A66A79" w:rsidRDefault="00501E31" w:rsidP="00501E31">
      <w:r>
        <w:t xml:space="preserve">Black </w:t>
      </w:r>
      <w:r w:rsidR="004D49A7">
        <w:t>&amp;</w:t>
      </w:r>
      <w:r>
        <w:t xml:space="preserve"> White Cabs</w:t>
      </w:r>
      <w:r w:rsidR="004D49A7">
        <w:t>’</w:t>
      </w:r>
      <w:r>
        <w:t xml:space="preserve"> submission </w:t>
      </w:r>
      <w:r w:rsidR="001F21C3">
        <w:t>on our draft decision</w:t>
      </w:r>
      <w:r>
        <w:t xml:space="preserve"> stated that the cost of payment processing in other </w:t>
      </w:r>
      <w:r w:rsidR="00034D85">
        <w:t xml:space="preserve">industries </w:t>
      </w:r>
      <w:r>
        <w:t xml:space="preserve">is not comparable to </w:t>
      </w:r>
      <w:r w:rsidR="005910D1">
        <w:t>that in</w:t>
      </w:r>
      <w:r>
        <w:t xml:space="preserve"> taxi services</w:t>
      </w:r>
      <w:r w:rsidR="00034D85">
        <w:t>,</w:t>
      </w:r>
      <w:r>
        <w:t xml:space="preserve"> due to unique factors such as driver </w:t>
      </w:r>
      <w:r>
        <w:lastRenderedPageBreak/>
        <w:t>retention and higher rates of terminal damage.</w:t>
      </w:r>
      <w:r>
        <w:rPr>
          <w:rStyle w:val="FootnoteReference"/>
        </w:rPr>
        <w:footnoteReference w:id="59"/>
      </w:r>
      <w:r>
        <w:t xml:space="preserve"> </w:t>
      </w:r>
      <w:r w:rsidR="00A66A79">
        <w:t xml:space="preserve">For this reason, they said </w:t>
      </w:r>
      <w:r w:rsidR="7B9004F1">
        <w:t>economy wide benchmarking</w:t>
      </w:r>
      <w:r w:rsidR="00A66A79">
        <w:t xml:space="preserve"> should not be relied on.</w:t>
      </w:r>
    </w:p>
    <w:p w14:paraId="2F4CDFF3" w14:textId="49795AE3" w:rsidR="00501E31" w:rsidRDefault="00501E31" w:rsidP="00501E31">
      <w:r>
        <w:t xml:space="preserve">We note that the current surcharge is based on a cost build-up assessment using payment processors’ actual costs. Further, </w:t>
      </w:r>
      <w:r w:rsidR="00932164">
        <w:t>our</w:t>
      </w:r>
      <w:r w:rsidR="008B725D">
        <w:t xml:space="preserve"> </w:t>
      </w:r>
      <w:r w:rsidR="00281336">
        <w:t xml:space="preserve">benchmarking analysis </w:t>
      </w:r>
      <w:r w:rsidR="7ADFAE10">
        <w:t>is</w:t>
      </w:r>
      <w:r w:rsidR="00281336">
        <w:t xml:space="preserve"> tailored to the </w:t>
      </w:r>
      <w:r w:rsidR="7E4BE73B">
        <w:t>taxi</w:t>
      </w:r>
      <w:r w:rsidR="00281336">
        <w:t xml:space="preserve"> industry</w:t>
      </w:r>
      <w:r w:rsidR="00A564DF">
        <w:t xml:space="preserve">. It shows that </w:t>
      </w:r>
      <w:r w:rsidR="00281336">
        <w:t xml:space="preserve">the 4 per cent surcharge </w:t>
      </w:r>
      <w:r w:rsidR="00EF113E">
        <w:t xml:space="preserve">continues to </w:t>
      </w:r>
      <w:r w:rsidR="00A564DF">
        <w:t>recover</w:t>
      </w:r>
      <w:r w:rsidR="00281336">
        <w:t xml:space="preserve"> the cost of processing non</w:t>
      </w:r>
      <w:r w:rsidR="00775624">
        <w:t>-</w:t>
      </w:r>
      <w:r w:rsidR="00281336">
        <w:t>cash payments in the taxi industry</w:t>
      </w:r>
      <w:r w:rsidR="00A564DF">
        <w:t>.</w:t>
      </w:r>
      <w:r>
        <w:t xml:space="preserve"> </w:t>
      </w:r>
    </w:p>
    <w:p w14:paraId="7AB795B0" w14:textId="280A85C8" w:rsidR="00A4081E" w:rsidRDefault="00501E31" w:rsidP="00BF7311">
      <w:r>
        <w:t>GM Cabs raised the issue of how the cost of chargebacks can affect taxi payment processors.</w:t>
      </w:r>
      <w:r>
        <w:rPr>
          <w:rStyle w:val="FootnoteReference"/>
        </w:rPr>
        <w:footnoteReference w:id="60"/>
      </w:r>
      <w:r>
        <w:t xml:space="preserve"> </w:t>
      </w:r>
      <w:r w:rsidR="001B1742">
        <w:t xml:space="preserve">Our previous reviews found that these costs were low. </w:t>
      </w:r>
      <w:r>
        <w:t>More broadly, decisions on how to manage the risk and cost of chargebacks are operational decisions for payment providers and taxi drivers.</w:t>
      </w:r>
      <w:r w:rsidR="00534A76">
        <w:t xml:space="preserve"> </w:t>
      </w:r>
      <w:r w:rsidR="00BF7311">
        <w:t xml:space="preserve">   </w:t>
      </w:r>
    </w:p>
    <w:p w14:paraId="22176A72" w14:textId="49973239" w:rsidR="00C62BEA" w:rsidRPr="00C62BEA" w:rsidRDefault="00C62BEA" w:rsidP="00CD755B">
      <w:pPr>
        <w:pStyle w:val="Pull-out"/>
      </w:pPr>
      <w:r>
        <w:t xml:space="preserve">See </w:t>
      </w:r>
      <w:hyperlink w:anchor="_Appendix_F:_Non-cash" w:history="1">
        <w:r w:rsidRPr="00F50B05">
          <w:rPr>
            <w:rStyle w:val="Hyperlink"/>
          </w:rPr>
          <w:t xml:space="preserve">Appendix </w:t>
        </w:r>
        <w:r w:rsidR="00901E46">
          <w:rPr>
            <w:rStyle w:val="Hyperlink"/>
          </w:rPr>
          <w:t>F</w:t>
        </w:r>
      </w:hyperlink>
      <w:r>
        <w:t xml:space="preserve"> for more information on our benchmarking methodology and analysis</w:t>
      </w:r>
      <w:r w:rsidR="00D120F8">
        <w:t>.</w:t>
      </w:r>
      <w:r w:rsidDel="00A451B3">
        <w:t xml:space="preserve"> </w:t>
      </w:r>
    </w:p>
    <w:p w14:paraId="373C56F4" w14:textId="14CF3C1C" w:rsidR="00803C44" w:rsidRDefault="009C3C1C" w:rsidP="00BA4F68">
      <w:pPr>
        <w:pStyle w:val="Heading3"/>
      </w:pPr>
      <w:bookmarkStart w:id="143" w:name="_Toc166669796"/>
      <w:bookmarkStart w:id="144" w:name="_Toc166678861"/>
      <w:bookmarkStart w:id="145" w:name="_Toc167345816"/>
      <w:bookmarkStart w:id="146" w:name="_Toc167346510"/>
      <w:bookmarkStart w:id="147" w:name="_Toc167780305"/>
      <w:bookmarkStart w:id="148" w:name="_Toc173691390"/>
      <w:bookmarkStart w:id="149" w:name="_Toc174692670"/>
      <w:r>
        <w:t>The c</w:t>
      </w:r>
      <w:r w:rsidR="00803C44">
        <w:t>ost of non</w:t>
      </w:r>
      <w:r w:rsidR="00E02673">
        <w:noBreakHyphen/>
      </w:r>
      <w:r w:rsidR="00803C44">
        <w:t>cash payment services has not increased in other sectors</w:t>
      </w:r>
      <w:bookmarkEnd w:id="143"/>
      <w:bookmarkEnd w:id="144"/>
      <w:bookmarkEnd w:id="145"/>
      <w:bookmarkEnd w:id="146"/>
      <w:bookmarkEnd w:id="147"/>
      <w:bookmarkEnd w:id="148"/>
      <w:bookmarkEnd w:id="149"/>
    </w:p>
    <w:p w14:paraId="20E099A5" w14:textId="63070F8F" w:rsidR="00803C44" w:rsidRDefault="00803C44" w:rsidP="00803C44">
      <w:r>
        <w:t>We examined available data on how the costs of facilitating non</w:t>
      </w:r>
      <w:r w:rsidR="00E02673">
        <w:noBreakHyphen/>
      </w:r>
      <w:r>
        <w:t xml:space="preserve">cash transactions </w:t>
      </w:r>
      <w:r w:rsidR="00A02BE1">
        <w:t>are</w:t>
      </w:r>
      <w:r>
        <w:t xml:space="preserve"> changing across the economy. This is to understand the change in the costs of facilitating non</w:t>
      </w:r>
      <w:r w:rsidR="00E02673">
        <w:noBreakHyphen/>
      </w:r>
      <w:r>
        <w:t>cash transactions</w:t>
      </w:r>
      <w:r w:rsidR="35D8716C">
        <w:t xml:space="preserve"> as opposed </w:t>
      </w:r>
      <w:r w:rsidR="00426248">
        <w:t>to the</w:t>
      </w:r>
      <w:r>
        <w:t xml:space="preserve"> level of costs, which </w:t>
      </w:r>
      <w:r w:rsidR="00E94811">
        <w:t xml:space="preserve">may be </w:t>
      </w:r>
      <w:r>
        <w:t xml:space="preserve">higher in the taxi industry than in other sectors of the economy. </w:t>
      </w:r>
    </w:p>
    <w:p w14:paraId="637321F6" w14:textId="022C5486" w:rsidR="00803C44" w:rsidRDefault="00803C44" w:rsidP="00803C44">
      <w:r>
        <w:t>The Reserve Bank of Australia publishes aggregate market data on merchant service fees in Australia. Merchant service fees are variable costs of processing non</w:t>
      </w:r>
      <w:r w:rsidR="00E02673">
        <w:noBreakHyphen/>
      </w:r>
      <w:r>
        <w:t>cash transactions. They do not include the cost of the terminals, or other costs that taxi payment processors may bear (such as fraud and fraud prevention and other overheads). However, significant changes in average merchant service fees could provide an indication o</w:t>
      </w:r>
      <w:r w:rsidR="00AB7F8A">
        <w:t>f</w:t>
      </w:r>
      <w:r>
        <w:t xml:space="preserve"> whether current taxi non</w:t>
      </w:r>
      <w:r w:rsidR="00E02673">
        <w:noBreakHyphen/>
      </w:r>
      <w:r>
        <w:t xml:space="preserve">cash payment surcharges remain appropriate. </w:t>
      </w:r>
    </w:p>
    <w:p w14:paraId="52EABE19" w14:textId="1BE49524" w:rsidR="00803C44" w:rsidRDefault="00803C44" w:rsidP="00803C44">
      <w:r w:rsidRPr="00CD13A6">
        <w:t xml:space="preserve">Figure </w:t>
      </w:r>
      <w:r w:rsidR="00BA4F68" w:rsidRPr="00CD13A6">
        <w:t>2</w:t>
      </w:r>
      <w:r>
        <w:t xml:space="preserve"> shows how the average merchant service fee by card type has changed since 2013. </w:t>
      </w:r>
      <w:r w:rsidR="007B76F1">
        <w:t>T</w:t>
      </w:r>
      <w:r>
        <w:t xml:space="preserve">he </w:t>
      </w:r>
      <w:r w:rsidR="002532FF">
        <w:t>long-term</w:t>
      </w:r>
      <w:r>
        <w:t xml:space="preserve"> trend indicates costs have decreased over the past decade for most payment methods. </w:t>
      </w:r>
      <w:r w:rsidR="00B07946">
        <w:t>However, s</w:t>
      </w:r>
      <w:r w:rsidR="004D29B1">
        <w:t>ince 202</w:t>
      </w:r>
      <w:r w:rsidR="00B07946">
        <w:t>0</w:t>
      </w:r>
      <w:r w:rsidR="00C8302B">
        <w:t>,</w:t>
      </w:r>
      <w:r w:rsidR="000F6CE3">
        <w:t xml:space="preserve"> the merchant service fees for</w:t>
      </w:r>
      <w:r w:rsidR="00B07946">
        <w:t xml:space="preserve"> </w:t>
      </w:r>
      <w:r w:rsidR="002273B6">
        <w:t xml:space="preserve">Visa and Mastercard </w:t>
      </w:r>
      <w:r w:rsidR="00745F7D">
        <w:t>debit and credit c</w:t>
      </w:r>
      <w:r w:rsidR="00F84559">
        <w:t xml:space="preserve">ards have </w:t>
      </w:r>
      <w:r w:rsidR="00DA4555">
        <w:t>remained stable</w:t>
      </w:r>
      <w:r w:rsidR="00AC04FC">
        <w:t xml:space="preserve"> (at less than one per cent)</w:t>
      </w:r>
      <w:r w:rsidR="00F84559">
        <w:t xml:space="preserve">, </w:t>
      </w:r>
      <w:r w:rsidR="00E72FFC">
        <w:t xml:space="preserve">while </w:t>
      </w:r>
      <w:r w:rsidR="000F6CE3">
        <w:t xml:space="preserve">those for </w:t>
      </w:r>
      <w:r w:rsidR="00E72FFC">
        <w:t xml:space="preserve">Diner’s Club and American Express </w:t>
      </w:r>
      <w:r w:rsidR="00DA4555">
        <w:t xml:space="preserve">continued to </w:t>
      </w:r>
      <w:r w:rsidR="00E72FFC">
        <w:t xml:space="preserve">decline. </w:t>
      </w:r>
      <w:r w:rsidR="000F6CE3">
        <w:t>Merchant service fees for e</w:t>
      </w:r>
      <w:r w:rsidR="003D4573">
        <w:t>ftpos increased slight</w:t>
      </w:r>
      <w:r w:rsidR="000F6CE3">
        <w:t>ly</w:t>
      </w:r>
      <w:r w:rsidR="003D4573">
        <w:t xml:space="preserve"> but remain </w:t>
      </w:r>
      <w:r w:rsidR="00837101">
        <w:t>at low levels.</w:t>
      </w:r>
      <w:r w:rsidR="000D5C9D">
        <w:t xml:space="preserve"> </w:t>
      </w:r>
    </w:p>
    <w:p w14:paraId="0C04FFC8" w14:textId="77777777" w:rsidR="00015EF3" w:rsidRDefault="00015EF3" w:rsidP="00803C44"/>
    <w:p w14:paraId="3DE22D34" w14:textId="2FA8A06C" w:rsidR="00B424A1" w:rsidRDefault="00803C44" w:rsidP="00BA4F68">
      <w:pPr>
        <w:pStyle w:val="Figure-Table-BoxHeading"/>
        <w:ind w:left="0" w:firstLine="0"/>
      </w:pPr>
      <w:r>
        <w:lastRenderedPageBreak/>
        <w:t xml:space="preserve">Figure </w:t>
      </w:r>
      <w:r w:rsidR="00BA4F68">
        <w:t>2</w:t>
      </w:r>
      <w:r>
        <w:tab/>
        <w:t>Average merchant service fee by card type</w:t>
      </w:r>
    </w:p>
    <w:p w14:paraId="4EEC36ED" w14:textId="307B02A2" w:rsidR="00522063" w:rsidRDefault="00522063" w:rsidP="00BA4F68">
      <w:pPr>
        <w:pStyle w:val="Figure-Table-BoxHeading"/>
        <w:ind w:left="0" w:firstLine="0"/>
      </w:pPr>
      <w:r>
        <w:rPr>
          <w:noProof/>
        </w:rPr>
        <w:drawing>
          <wp:inline distT="0" distB="0" distL="0" distR="0" wp14:anchorId="7A20E002" wp14:editId="45656CDB">
            <wp:extent cx="6120130" cy="3180080"/>
            <wp:effectExtent l="0" t="0" r="0" b="1270"/>
            <wp:docPr id="578444080" name="Chart 1">
              <a:extLst xmlns:a="http://schemas.openxmlformats.org/drawingml/2006/main">
                <a:ext uri="{FF2B5EF4-FFF2-40B4-BE49-F238E27FC236}">
                  <a16:creationId xmlns:a16="http://schemas.microsoft.com/office/drawing/2014/main" id="{5CEEA921-686E-459D-8FB2-5DE5B537DE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064EE16" w14:textId="61242756" w:rsidR="000233C4" w:rsidRDefault="000233C4" w:rsidP="000233C4">
      <w:pPr>
        <w:pStyle w:val="Source"/>
        <w:jc w:val="left"/>
      </w:pPr>
      <w:r w:rsidRPr="00F257AC">
        <w:rPr>
          <w:b/>
          <w:bCs/>
        </w:rPr>
        <w:t>Note:</w:t>
      </w:r>
      <w:r>
        <w:t xml:space="preserve"> Diners Club was </w:t>
      </w:r>
      <w:r w:rsidR="00426248">
        <w:t>shut down</w:t>
      </w:r>
      <w:r>
        <w:t xml:space="preserve"> by NAB on 15 April 2024.</w:t>
      </w:r>
    </w:p>
    <w:p w14:paraId="14941A90" w14:textId="26D42670" w:rsidR="000233C4" w:rsidRDefault="000233C4" w:rsidP="000233C4">
      <w:pPr>
        <w:pStyle w:val="Source"/>
        <w:jc w:val="left"/>
      </w:pPr>
      <w:r w:rsidRPr="00F257AC">
        <w:rPr>
          <w:b/>
          <w:bCs/>
        </w:rPr>
        <w:t>Source:</w:t>
      </w:r>
      <w:r>
        <w:t xml:space="preserve"> </w:t>
      </w:r>
      <w:r w:rsidR="00BA32BE" w:rsidRPr="00BA32BE">
        <w:t xml:space="preserve">Essential Services Commission analysis of </w:t>
      </w:r>
      <w:r w:rsidR="00BA32BE">
        <w:t>RBA</w:t>
      </w:r>
      <w:r w:rsidR="00BA32BE" w:rsidRPr="00BA32BE">
        <w:t xml:space="preserve"> data – </w:t>
      </w:r>
      <w:r w:rsidR="00BA32BE">
        <w:t>RBA</w:t>
      </w:r>
      <w:r w:rsidR="00BA32BE" w:rsidRPr="00BA32BE">
        <w:t>, 2024, “</w:t>
      </w:r>
      <w:r w:rsidR="00BA32BE">
        <w:t>Average Merchant Fees for Debit, Credit and Charge Cards – C3</w:t>
      </w:r>
      <w:r w:rsidR="00BA32BE" w:rsidRPr="00BA32BE">
        <w:t>” [Excel file], www.</w:t>
      </w:r>
      <w:r w:rsidR="00EE585A">
        <w:t>rba</w:t>
      </w:r>
      <w:r w:rsidR="00BA32BE" w:rsidRPr="00BA32BE">
        <w:t>.gov.au/</w:t>
      </w:r>
      <w:r w:rsidR="00EE585A">
        <w:t>statistics/tables/</w:t>
      </w:r>
    </w:p>
    <w:p w14:paraId="0994024C" w14:textId="42F28296" w:rsidR="000233C4" w:rsidRDefault="000233C4" w:rsidP="00E0019C">
      <w:r>
        <w:t xml:space="preserve">While this data does not include the cost of terminals, our benchmarking </w:t>
      </w:r>
      <w:r w:rsidRPr="00E8799E">
        <w:t>analysis above</w:t>
      </w:r>
      <w:r>
        <w:t xml:space="preserve"> does. As part of this analysis, we have recorded the market offerings available to small businesses since 2019. This data also shows costs have not increased. </w:t>
      </w:r>
    </w:p>
    <w:p w14:paraId="00A2FD95" w14:textId="34C6777B" w:rsidR="00AB07EB" w:rsidRDefault="00F66F3A" w:rsidP="00E0019C">
      <w:r>
        <w:t>Comparing our benchmarking analysis for our current review to our 2019 review shows that the</w:t>
      </w:r>
      <w:r w:rsidR="00EF1375">
        <w:t xml:space="preserve"> </w:t>
      </w:r>
      <w:r w:rsidR="00FC047C">
        <w:t xml:space="preserve">range of </w:t>
      </w:r>
      <w:r>
        <w:t>implied surcharge</w:t>
      </w:r>
      <w:r w:rsidR="00FC047C">
        <w:t>s</w:t>
      </w:r>
      <w:r>
        <w:t xml:space="preserve"> </w:t>
      </w:r>
      <w:r w:rsidR="00FC047C">
        <w:t xml:space="preserve">remain </w:t>
      </w:r>
      <w:r w:rsidR="006446DB">
        <w:t>comparable.</w:t>
      </w:r>
      <w:r w:rsidR="009A29D4">
        <w:t xml:space="preserve"> </w:t>
      </w:r>
      <w:r w:rsidR="004F2A19">
        <w:t>T</w:t>
      </w:r>
      <w:r w:rsidR="006E6D79">
        <w:t xml:space="preserve">his </w:t>
      </w:r>
      <w:r w:rsidR="008F6EFF">
        <w:t>predominantly</w:t>
      </w:r>
      <w:r w:rsidR="006E6D79">
        <w:t xml:space="preserve"> </w:t>
      </w:r>
      <w:r w:rsidR="002848F6">
        <w:t xml:space="preserve">is </w:t>
      </w:r>
      <w:r w:rsidR="006446DB">
        <w:t>the result of a</w:t>
      </w:r>
      <w:r w:rsidR="00436AA3">
        <w:t xml:space="preserve"> </w:t>
      </w:r>
      <w:r w:rsidR="000C1AEC">
        <w:t xml:space="preserve">decline </w:t>
      </w:r>
      <w:r w:rsidR="00436AA3">
        <w:t xml:space="preserve">in </w:t>
      </w:r>
      <w:r w:rsidR="00DA04CF">
        <w:t>fare revenue per terminal</w:t>
      </w:r>
      <w:r w:rsidR="008706AE">
        <w:t xml:space="preserve">. </w:t>
      </w:r>
      <w:r w:rsidR="006C16BE">
        <w:t xml:space="preserve">The costs </w:t>
      </w:r>
      <w:r w:rsidR="002967AB">
        <w:t>of the terminal offers used in our benchmarking analysis have</w:t>
      </w:r>
      <w:r w:rsidR="006E6D79">
        <w:t xml:space="preserve"> </w:t>
      </w:r>
      <w:r w:rsidR="002967AB">
        <w:t xml:space="preserve">generally </w:t>
      </w:r>
      <w:r w:rsidR="006E6D79">
        <w:t xml:space="preserve">decreased or remained stable. </w:t>
      </w:r>
    </w:p>
    <w:p w14:paraId="0E28D150" w14:textId="402C1493" w:rsidR="000233C4" w:rsidRDefault="000233C4" w:rsidP="00E0019C">
      <w:pPr>
        <w:pStyle w:val="Heading2"/>
      </w:pPr>
      <w:bookmarkStart w:id="150" w:name="_Toc174692671"/>
      <w:r>
        <w:t>We considered stakeholder views on the current surcharges</w:t>
      </w:r>
      <w:bookmarkEnd w:id="150"/>
      <w:r>
        <w:t xml:space="preserve"> </w:t>
      </w:r>
    </w:p>
    <w:p w14:paraId="4EF2B5C7" w14:textId="759986C2" w:rsidR="000233C4" w:rsidRDefault="6CBFE60D" w:rsidP="00E0019C">
      <w:r>
        <w:t>Our</w:t>
      </w:r>
      <w:r w:rsidR="000233C4">
        <w:t xml:space="preserve"> consultation </w:t>
      </w:r>
      <w:r>
        <w:t>requested</w:t>
      </w:r>
      <w:r w:rsidR="000233C4">
        <w:t xml:space="preserve"> stakeholders provide evidence to support their views on whether current surcharges recovered the reasonable costs of facilitating non</w:t>
      </w:r>
      <w:r w:rsidR="00E02673">
        <w:noBreakHyphen/>
      </w:r>
      <w:r w:rsidR="000233C4">
        <w:t>cash payments for taxi services.</w:t>
      </w:r>
    </w:p>
    <w:p w14:paraId="12E33FBA" w14:textId="77777777" w:rsidR="008B1753" w:rsidRDefault="000233C4" w:rsidP="00E0019C">
      <w:r>
        <w:t xml:space="preserve">In response, we heard mixed views on whether the current surcharges were appropriate. </w:t>
      </w:r>
    </w:p>
    <w:p w14:paraId="11D67FF5" w14:textId="56D55E00" w:rsidR="008B1753" w:rsidRDefault="000233C4" w:rsidP="00E0019C">
      <w:r>
        <w:lastRenderedPageBreak/>
        <w:t xml:space="preserve">Some stakeholders </w:t>
      </w:r>
      <w:r w:rsidR="41F1FA19">
        <w:t xml:space="preserve">said </w:t>
      </w:r>
      <w:r>
        <w:t>the current surcharges were too high, noting that other sectors of the economy had lower levels of surcharging.</w:t>
      </w:r>
      <w:r w:rsidR="005C449F">
        <w:rPr>
          <w:rStyle w:val="FootnoteReference"/>
        </w:rPr>
        <w:footnoteReference w:id="61"/>
      </w:r>
      <w:r>
        <w:t xml:space="preserve"> </w:t>
      </w:r>
      <w:r w:rsidR="00365ABA">
        <w:t xml:space="preserve">A high surcharge </w:t>
      </w:r>
      <w:r w:rsidR="000A3C94">
        <w:t>may discourage the use of non-cash payment method</w:t>
      </w:r>
      <w:r w:rsidR="002B29E7">
        <w:t xml:space="preserve">s and does not </w:t>
      </w:r>
      <w:r w:rsidR="00365ABA">
        <w:t>promote</w:t>
      </w:r>
      <w:r w:rsidR="002B29E7">
        <w:t xml:space="preserve"> broader benefits</w:t>
      </w:r>
      <w:r w:rsidR="002A09F3">
        <w:t xml:space="preserve"> of non-cash payment methods</w:t>
      </w:r>
      <w:r w:rsidR="002B29E7">
        <w:t xml:space="preserve">, such as </w:t>
      </w:r>
      <w:r w:rsidR="007D6C5D">
        <w:t>reducing costs associated with handling</w:t>
      </w:r>
      <w:r w:rsidR="002B29E7">
        <w:t xml:space="preserve"> cash and </w:t>
      </w:r>
      <w:r w:rsidR="00365ABA">
        <w:t>improving driver safety.</w:t>
      </w:r>
      <w:r w:rsidR="002B29E7">
        <w:t xml:space="preserve"> </w:t>
      </w:r>
    </w:p>
    <w:p w14:paraId="10AEC33E" w14:textId="1E648888" w:rsidR="00EF36CE" w:rsidRDefault="000233C4" w:rsidP="00E0019C">
      <w:r>
        <w:t>Other stakeholders, particularly payment processors, put forward that the 4</w:t>
      </w:r>
      <w:r w:rsidR="00E02673">
        <w:t> per </w:t>
      </w:r>
      <w:r>
        <w:t>cent surcharge should be increased to 5</w:t>
      </w:r>
      <w:r w:rsidR="00E02673">
        <w:t> per </w:t>
      </w:r>
      <w:r>
        <w:t>cent</w:t>
      </w:r>
      <w:r w:rsidR="00FA7C53">
        <w:t xml:space="preserve">, </w:t>
      </w:r>
      <w:r w:rsidR="00DF5144">
        <w:t xml:space="preserve">to account for </w:t>
      </w:r>
      <w:r w:rsidR="00B44E16">
        <w:t xml:space="preserve">inflationary </w:t>
      </w:r>
      <w:r w:rsidR="00DF5144">
        <w:t xml:space="preserve">cost pressures, technological refresh costs and falls in </w:t>
      </w:r>
      <w:r w:rsidR="00A55BE4">
        <w:t>revenue per terminal.</w:t>
      </w:r>
      <w:r w:rsidR="00FD5FD8">
        <w:rPr>
          <w:rStyle w:val="FootnoteReference"/>
        </w:rPr>
        <w:footnoteReference w:id="62"/>
      </w:r>
      <w:r>
        <w:t xml:space="preserve">  </w:t>
      </w:r>
    </w:p>
    <w:p w14:paraId="079092E7" w14:textId="55717EC7" w:rsidR="000233C4" w:rsidRDefault="00C76F0F" w:rsidP="00E0019C">
      <w:r>
        <w:t>We had regard to these views when preparing our draft decision</w:t>
      </w:r>
      <w:r w:rsidR="00755FDA">
        <w:t xml:space="preserve">. </w:t>
      </w:r>
      <w:r w:rsidR="00051226">
        <w:t>However, on balance we considered</w:t>
      </w:r>
      <w:r w:rsidR="00F311A3">
        <w:t xml:space="preserve"> that</w:t>
      </w:r>
      <w:r w:rsidR="008538C1">
        <w:t xml:space="preserve"> the current surcharges continue to be appropriate </w:t>
      </w:r>
      <w:r w:rsidR="00520944">
        <w:t>because</w:t>
      </w:r>
      <w:r w:rsidR="009A104A">
        <w:t>:</w:t>
      </w:r>
    </w:p>
    <w:p w14:paraId="4D748694" w14:textId="10E2B7EB" w:rsidR="009A104A" w:rsidRDefault="00607722" w:rsidP="009A104A">
      <w:pPr>
        <w:pStyle w:val="ListBullet"/>
      </w:pPr>
      <w:r>
        <w:t>U</w:t>
      </w:r>
      <w:r w:rsidR="009A104A">
        <w:t xml:space="preserve">nderlying fare increases </w:t>
      </w:r>
      <w:r w:rsidR="4A012D0E">
        <w:t>since 2022</w:t>
      </w:r>
      <w:r w:rsidR="009A104A">
        <w:t xml:space="preserve"> have </w:t>
      </w:r>
      <w:r w:rsidR="00601319">
        <w:t xml:space="preserve">also </w:t>
      </w:r>
      <w:r w:rsidR="009A104A">
        <w:t>increased the dollar amount recovered via surcharges</w:t>
      </w:r>
      <w:r w:rsidR="00566675">
        <w:t xml:space="preserve">, reflecting increases in costs </w:t>
      </w:r>
      <w:r w:rsidR="00FA7C53">
        <w:t>of providing taxi serv</w:t>
      </w:r>
      <w:r w:rsidR="00EF36CE">
        <w:t>i</w:t>
      </w:r>
      <w:r w:rsidR="00FA7C53">
        <w:t>ces</w:t>
      </w:r>
      <w:r w:rsidR="00772B55">
        <w:t>.</w:t>
      </w:r>
      <w:r w:rsidR="00772B55">
        <w:rPr>
          <w:rStyle w:val="FootnoteReference"/>
        </w:rPr>
        <w:footnoteReference w:id="63"/>
      </w:r>
    </w:p>
    <w:p w14:paraId="1B76C854" w14:textId="42992C8F" w:rsidR="009A104A" w:rsidRDefault="00607722" w:rsidP="009A104A">
      <w:pPr>
        <w:pStyle w:val="ListBullet"/>
      </w:pPr>
      <w:r>
        <w:t>F</w:t>
      </w:r>
      <w:r w:rsidR="00951781">
        <w:t xml:space="preserve">alls in revenue per terminal may indicate an oversupply of terminals </w:t>
      </w:r>
      <w:r w:rsidR="2CE7A386">
        <w:t xml:space="preserve">(many taxis have more than one) </w:t>
      </w:r>
      <w:r w:rsidR="00951781">
        <w:t>and that a consolidation of terminals could reduce costs</w:t>
      </w:r>
      <w:r w:rsidR="00772B55">
        <w:t>.</w:t>
      </w:r>
      <w:r w:rsidR="00772B55">
        <w:rPr>
          <w:rStyle w:val="FootnoteReference"/>
        </w:rPr>
        <w:footnoteReference w:id="64"/>
      </w:r>
    </w:p>
    <w:p w14:paraId="4F02B8DB" w14:textId="7D2502A0" w:rsidR="00951781" w:rsidRDefault="00607722" w:rsidP="009A104A">
      <w:pPr>
        <w:pStyle w:val="ListBullet"/>
      </w:pPr>
      <w:r>
        <w:t>B</w:t>
      </w:r>
      <w:r w:rsidR="009B3EA0">
        <w:t xml:space="preserve">usinesses have known about the upcoming </w:t>
      </w:r>
      <w:r w:rsidR="000A70ED">
        <w:t xml:space="preserve">3G network shutdown for 5 years </w:t>
      </w:r>
      <w:r w:rsidR="00D241E9">
        <w:t>(</w:t>
      </w:r>
      <w:r w:rsidR="000A70ED">
        <w:t>which is greater than the useful life of payment terminals</w:t>
      </w:r>
      <w:r w:rsidR="00D241E9">
        <w:t>) and t</w:t>
      </w:r>
      <w:r w:rsidR="000A70ED">
        <w:t xml:space="preserve">he timing of capital investment is a business decision for </w:t>
      </w:r>
      <w:r w:rsidR="00772B55">
        <w:t>taxi payment pro</w:t>
      </w:r>
      <w:r w:rsidR="0050128F">
        <w:t>cessors</w:t>
      </w:r>
      <w:r w:rsidR="00772B55">
        <w:t>.</w:t>
      </w:r>
      <w:r w:rsidR="00772B55">
        <w:rPr>
          <w:rStyle w:val="FootnoteReference"/>
        </w:rPr>
        <w:footnoteReference w:id="65"/>
      </w:r>
    </w:p>
    <w:p w14:paraId="6217AFAD" w14:textId="05E6D5EA" w:rsidR="000A70ED" w:rsidRDefault="00607722" w:rsidP="009A104A">
      <w:pPr>
        <w:pStyle w:val="ListBullet"/>
      </w:pPr>
      <w:r>
        <w:t>H</w:t>
      </w:r>
      <w:r w:rsidR="00481138">
        <w:t>igher</w:t>
      </w:r>
      <w:r w:rsidR="6710C35E">
        <w:t xml:space="preserve"> taxi industry</w:t>
      </w:r>
      <w:r w:rsidR="00481138">
        <w:t xml:space="preserve"> surcharges </w:t>
      </w:r>
      <w:r w:rsidR="00F311A3">
        <w:t>reflect</w:t>
      </w:r>
      <w:r w:rsidR="006553EA">
        <w:t xml:space="preserve"> difference</w:t>
      </w:r>
      <w:r w:rsidR="002F729D">
        <w:t xml:space="preserve">s in the nature of the industry and </w:t>
      </w:r>
      <w:r w:rsidR="006553EA">
        <w:t xml:space="preserve">the legislative framework </w:t>
      </w:r>
      <w:r w:rsidR="003D1991">
        <w:t>that applies</w:t>
      </w:r>
      <w:r w:rsidR="00892F1D">
        <w:t>, including</w:t>
      </w:r>
      <w:r w:rsidR="00F311A3">
        <w:t xml:space="preserve"> the </w:t>
      </w:r>
      <w:r w:rsidR="008F3383">
        <w:t xml:space="preserve">lower </w:t>
      </w:r>
      <w:r w:rsidR="00F311A3">
        <w:t>level of</w:t>
      </w:r>
      <w:r w:rsidR="00481138">
        <w:t xml:space="preserve"> </w:t>
      </w:r>
      <w:r w:rsidR="008F3383">
        <w:t>non-cash</w:t>
      </w:r>
      <w:r w:rsidR="00481138">
        <w:t xml:space="preserve"> </w:t>
      </w:r>
      <w:r w:rsidR="002141D8">
        <w:t xml:space="preserve">turnover, </w:t>
      </w:r>
      <w:r w:rsidR="005E4701">
        <w:t xml:space="preserve">use of </w:t>
      </w:r>
      <w:r w:rsidR="00A60225">
        <w:t>multiple terminal</w:t>
      </w:r>
      <w:r w:rsidR="003D1991">
        <w:t>s</w:t>
      </w:r>
      <w:r w:rsidR="00A60225">
        <w:t xml:space="preserve"> </w:t>
      </w:r>
      <w:r w:rsidR="00481138">
        <w:t xml:space="preserve">and </w:t>
      </w:r>
      <w:r w:rsidR="000F469F">
        <w:t xml:space="preserve">low take-up of new </w:t>
      </w:r>
      <w:r w:rsidR="003212C9">
        <w:t>technologies.</w:t>
      </w:r>
      <w:r w:rsidR="00772B55">
        <w:rPr>
          <w:rStyle w:val="FootnoteReference"/>
        </w:rPr>
        <w:footnoteReference w:id="66"/>
      </w:r>
    </w:p>
    <w:p w14:paraId="520AADEF" w14:textId="5550735D" w:rsidR="000E0E91" w:rsidRDefault="6366B815" w:rsidP="00CE4BB2">
      <w:r>
        <w:t>Despite these being substantive matters, s</w:t>
      </w:r>
      <w:r w:rsidR="00E120C3">
        <w:t>ubm</w:t>
      </w:r>
      <w:r w:rsidR="00A43BB4">
        <w:t xml:space="preserve">issions </w:t>
      </w:r>
      <w:r w:rsidR="00E007FD">
        <w:t>to our draft decision</w:t>
      </w:r>
      <w:r w:rsidR="00A43BB4">
        <w:t xml:space="preserve"> did not provide </w:t>
      </w:r>
      <w:r w:rsidR="00823265">
        <w:t>additional</w:t>
      </w:r>
      <w:r w:rsidR="00A43BB4">
        <w:t xml:space="preserve"> information on these issue</w:t>
      </w:r>
      <w:r w:rsidR="00730673">
        <w:t>s</w:t>
      </w:r>
      <w:r w:rsidR="00A43BB4">
        <w:t xml:space="preserve">. </w:t>
      </w:r>
    </w:p>
    <w:p w14:paraId="08976461" w14:textId="470A0405" w:rsidR="009344FE" w:rsidRDefault="3E4465AA" w:rsidP="009344FE">
      <w:pPr>
        <w:pStyle w:val="Heading4"/>
      </w:pPr>
      <w:r>
        <w:lastRenderedPageBreak/>
        <w:t>Calls</w:t>
      </w:r>
      <w:r w:rsidR="009344FE">
        <w:t xml:space="preserve"> </w:t>
      </w:r>
      <w:r w:rsidR="6D315807">
        <w:t>to</w:t>
      </w:r>
      <w:r w:rsidR="009344FE">
        <w:t xml:space="preserve"> change the regulatory framework or deregulation</w:t>
      </w:r>
    </w:p>
    <w:p w14:paraId="085EB85F" w14:textId="19B35216" w:rsidR="00022BC4" w:rsidRDefault="00A6266D" w:rsidP="00022BC4">
      <w:r>
        <w:t xml:space="preserve">Some submissions </w:t>
      </w:r>
      <w:r w:rsidR="00833ED8">
        <w:t xml:space="preserve">on our draft decision </w:t>
      </w:r>
      <w:r>
        <w:t xml:space="preserve">continued to </w:t>
      </w:r>
      <w:r w:rsidR="00322D01">
        <w:t xml:space="preserve">advocate for </w:t>
      </w:r>
      <w:r w:rsidR="009C4982">
        <w:t xml:space="preserve">changes to the </w:t>
      </w:r>
      <w:r w:rsidR="002C4EF5">
        <w:t>regulatory</w:t>
      </w:r>
      <w:r w:rsidR="009C4982">
        <w:t xml:space="preserve"> framework</w:t>
      </w:r>
      <w:r w:rsidR="00022BC4">
        <w:t>. They noted that changes in the demand for taxi services, technological advancements in payments, changes in consumer spending behaviour and inconsistencies between the regulation of rideshare and taxi services means that the current regulatory framework may not be fit</w:t>
      </w:r>
      <w:r w:rsidR="6F37DE9D">
        <w:t xml:space="preserve"> </w:t>
      </w:r>
      <w:r w:rsidR="00022BC4">
        <w:t>for</w:t>
      </w:r>
      <w:r w:rsidR="44553FF5">
        <w:t xml:space="preserve"> </w:t>
      </w:r>
      <w:r w:rsidR="00022BC4">
        <w:t xml:space="preserve">purpose. </w:t>
      </w:r>
    </w:p>
    <w:p w14:paraId="34D3CD75" w14:textId="48ABC8D2" w:rsidR="00022BC4" w:rsidRDefault="00022BC4" w:rsidP="00022BC4">
      <w:r>
        <w:t>Submissions discussed the potential of alternative models, such as deregulation</w:t>
      </w:r>
      <w:r w:rsidR="00074F78">
        <w:t xml:space="preserve"> or</w:t>
      </w:r>
      <w:r>
        <w:t xml:space="preserve"> banning surcharging</w:t>
      </w:r>
      <w:r w:rsidR="00074F78">
        <w:t>.</w:t>
      </w:r>
      <w:r w:rsidR="00392AB9">
        <w:rPr>
          <w:rStyle w:val="FootnoteReference"/>
        </w:rPr>
        <w:footnoteReference w:id="67"/>
      </w:r>
      <w:r w:rsidR="00074F78">
        <w:t xml:space="preserve"> </w:t>
      </w:r>
      <w:r w:rsidR="00F65155">
        <w:t>Visa noted that the Reserv</w:t>
      </w:r>
      <w:r w:rsidR="002C19E5">
        <w:t xml:space="preserve">e Bank of Australia is </w:t>
      </w:r>
      <w:r w:rsidR="00392AB9">
        <w:t>performing a review of the payment system, which may be an opportunity to include taxis</w:t>
      </w:r>
      <w:r>
        <w:t xml:space="preserve"> in the Reserve Bank of Australia’s payment scheme rules.</w:t>
      </w:r>
      <w:r>
        <w:rPr>
          <w:rStyle w:val="FootnoteReference"/>
        </w:rPr>
        <w:footnoteReference w:id="68"/>
      </w:r>
      <w:r>
        <w:t xml:space="preserve"> </w:t>
      </w:r>
    </w:p>
    <w:p w14:paraId="46005E27" w14:textId="742FBFF2" w:rsidR="00B34674" w:rsidRDefault="00022BC4" w:rsidP="00022BC4">
      <w:r>
        <w:t xml:space="preserve">These issues are outside the scope of our </w:t>
      </w:r>
      <w:r w:rsidR="00392AB9">
        <w:t>r</w:t>
      </w:r>
      <w:r w:rsidR="00833ED8">
        <w:t>eview</w:t>
      </w:r>
      <w:r w:rsidR="00392AB9">
        <w:t xml:space="preserve">. </w:t>
      </w:r>
    </w:p>
    <w:p w14:paraId="596359FF" w14:textId="033E252D" w:rsidR="000233C4" w:rsidRDefault="000233C4" w:rsidP="009E3D5E">
      <w:pPr>
        <w:pStyle w:val="Heading2"/>
      </w:pPr>
      <w:bookmarkStart w:id="151" w:name="_Toc174692672"/>
      <w:r>
        <w:t xml:space="preserve">Our </w:t>
      </w:r>
      <w:r w:rsidR="007E2A84">
        <w:t>final</w:t>
      </w:r>
      <w:r>
        <w:t xml:space="preserve"> decision is to maintain the existing non</w:t>
      </w:r>
      <w:r w:rsidR="00E02673">
        <w:noBreakHyphen/>
      </w:r>
      <w:r>
        <w:t>cash payment surcharges</w:t>
      </w:r>
      <w:bookmarkEnd w:id="151"/>
      <w:r>
        <w:t xml:space="preserve"> </w:t>
      </w:r>
    </w:p>
    <w:p w14:paraId="538080D3" w14:textId="05B0E6B8" w:rsidR="000233C4" w:rsidRDefault="000233C4" w:rsidP="009E3D5E">
      <w:r>
        <w:t xml:space="preserve">Our </w:t>
      </w:r>
      <w:r w:rsidR="00482321">
        <w:t xml:space="preserve">final </w:t>
      </w:r>
      <w:r>
        <w:t>decision is for the maximum non</w:t>
      </w:r>
      <w:r w:rsidR="00E02673">
        <w:noBreakHyphen/>
      </w:r>
      <w:r>
        <w:t>cash payment surcharge for taxi services in Victoria to remain at:</w:t>
      </w:r>
    </w:p>
    <w:p w14:paraId="03DAFBCB" w14:textId="0AABA4A4" w:rsidR="000233C4" w:rsidRDefault="000233C4" w:rsidP="009E3D5E">
      <w:pPr>
        <w:pStyle w:val="ListBullet"/>
      </w:pPr>
      <w:r w:rsidRPr="009E3D5E">
        <w:rPr>
          <w:b/>
          <w:bCs/>
        </w:rPr>
        <w:t>4</w:t>
      </w:r>
      <w:r w:rsidR="00E02673">
        <w:rPr>
          <w:b/>
          <w:bCs/>
        </w:rPr>
        <w:t> per </w:t>
      </w:r>
      <w:r w:rsidRPr="009E3D5E">
        <w:rPr>
          <w:b/>
          <w:bCs/>
        </w:rPr>
        <w:t xml:space="preserve">cent </w:t>
      </w:r>
      <w:r>
        <w:t>(including GST) for all non</w:t>
      </w:r>
      <w:r w:rsidR="00E02673">
        <w:noBreakHyphen/>
      </w:r>
      <w:r>
        <w:t xml:space="preserve">cash payment methods, except </w:t>
      </w:r>
      <w:bookmarkStart w:id="152" w:name="_Hlk167654104"/>
      <w:r>
        <w:t xml:space="preserve">commercial passenger vehicle </w:t>
      </w:r>
      <w:bookmarkEnd w:id="152"/>
      <w:r>
        <w:t>specific payment instruments</w:t>
      </w:r>
    </w:p>
    <w:p w14:paraId="02FA45C2" w14:textId="77F5377C" w:rsidR="000233C4" w:rsidRDefault="000233C4" w:rsidP="009E3D5E">
      <w:pPr>
        <w:pStyle w:val="ListBullet"/>
      </w:pPr>
      <w:r w:rsidRPr="009E3D5E">
        <w:rPr>
          <w:b/>
          <w:bCs/>
        </w:rPr>
        <w:t>6</w:t>
      </w:r>
      <w:r w:rsidR="00E02673">
        <w:rPr>
          <w:b/>
          <w:bCs/>
        </w:rPr>
        <w:t> per </w:t>
      </w:r>
      <w:r w:rsidRPr="009E3D5E">
        <w:rPr>
          <w:b/>
          <w:bCs/>
        </w:rPr>
        <w:t>cent</w:t>
      </w:r>
      <w:r>
        <w:t xml:space="preserve"> (no GST payable) for commercial passenger vehicle specific payment instruments (such as Cabcharge payment instruments). </w:t>
      </w:r>
    </w:p>
    <w:p w14:paraId="5652E0FE" w14:textId="26B24E43" w:rsidR="000233C4" w:rsidRDefault="000233C4" w:rsidP="009E3D5E">
      <w:r>
        <w:t xml:space="preserve">Our </w:t>
      </w:r>
      <w:r w:rsidR="00482321">
        <w:t>final</w:t>
      </w:r>
      <w:r>
        <w:t xml:space="preserve"> decision maintains two separate surcharges. The difference between the two relates to additional issuing costs associated with the Cabcharge payment instrument. Th</w:t>
      </w:r>
      <w:r w:rsidR="001F212D">
        <w:t>e</w:t>
      </w:r>
      <w:r>
        <w:t xml:space="preserve"> </w:t>
      </w:r>
      <w:r w:rsidR="001F212D">
        <w:t>6 per cent</w:t>
      </w:r>
      <w:r>
        <w:t xml:space="preserve"> surcharge applies to any other future commercial passenger vehicle specific payment instruments that taxi payment processors may develop</w:t>
      </w:r>
      <w:r w:rsidR="0062030B">
        <w:t xml:space="preserve"> during this regulatory period</w:t>
      </w:r>
      <w:r>
        <w:t xml:space="preserve">. </w:t>
      </w:r>
    </w:p>
    <w:p w14:paraId="4CB66A87" w14:textId="7751AC6F" w:rsidR="006B57BC" w:rsidRDefault="006B57BC" w:rsidP="006B57BC">
      <w:r>
        <w:t>Visa’s submissions advocated for the surcharges to be</w:t>
      </w:r>
      <w:r w:rsidR="00967FCA">
        <w:t xml:space="preserve"> further</w:t>
      </w:r>
      <w:r>
        <w:t xml:space="preserve"> differentiated by card type.</w:t>
      </w:r>
      <w:r>
        <w:rPr>
          <w:rStyle w:val="FootnoteReference"/>
        </w:rPr>
        <w:footnoteReference w:id="69"/>
      </w:r>
      <w:r>
        <w:t xml:space="preserve"> This would mean having different surcharges for eftpos, debit</w:t>
      </w:r>
      <w:r w:rsidR="001179C6">
        <w:t xml:space="preserve"> and</w:t>
      </w:r>
      <w:r w:rsidR="00967FCA">
        <w:t xml:space="preserve"> </w:t>
      </w:r>
      <w:r>
        <w:t>credit card transactions.</w:t>
      </w:r>
    </w:p>
    <w:p w14:paraId="1960CB6C" w14:textId="573B0507" w:rsidR="00210FB0" w:rsidRDefault="006B57BC" w:rsidP="006B57BC">
      <w:r>
        <w:lastRenderedPageBreak/>
        <w:t>The payment processor data we collected in our previous reviews showed that the differences in processing costs between most payment methods for taxi services were relatively small (except for the Cabcharge instrument).</w:t>
      </w:r>
    </w:p>
    <w:p w14:paraId="61C6966E" w14:textId="7372A74E" w:rsidR="00C53163" w:rsidRDefault="006544AF" w:rsidP="006B57BC">
      <w:r>
        <w:t>Furthermore</w:t>
      </w:r>
      <w:r w:rsidR="000C6FB3">
        <w:t>,</w:t>
      </w:r>
      <w:r>
        <w:t xml:space="preserve"> our</w:t>
      </w:r>
      <w:r w:rsidR="008C49E2">
        <w:t xml:space="preserve"> draft decision</w:t>
      </w:r>
      <w:r w:rsidR="00032F3E">
        <w:t xml:space="preserve"> highlighted</w:t>
      </w:r>
      <w:r w:rsidR="008878EE">
        <w:t xml:space="preserve"> </w:t>
      </w:r>
      <w:r w:rsidR="000C6FB3">
        <w:t xml:space="preserve">that </w:t>
      </w:r>
      <w:r w:rsidR="101345E8">
        <w:t xml:space="preserve">having different </w:t>
      </w:r>
      <w:r w:rsidR="008878EE">
        <w:t xml:space="preserve">surcharges for different payment methods </w:t>
      </w:r>
      <w:r w:rsidR="00F9400A">
        <w:t xml:space="preserve">could create confusion for passengers. </w:t>
      </w:r>
      <w:r w:rsidR="009301C0">
        <w:t>On balance</w:t>
      </w:r>
      <w:r w:rsidR="006B57BC">
        <w:t xml:space="preserve">, we do not consider that </w:t>
      </w:r>
      <w:r w:rsidR="00B91350">
        <w:t xml:space="preserve">imposing </w:t>
      </w:r>
      <w:r w:rsidR="00147B27">
        <w:t>additional</w:t>
      </w:r>
      <w:r w:rsidR="00B91350">
        <w:t xml:space="preserve"> requirements on the sector</w:t>
      </w:r>
      <w:r w:rsidR="00147B27">
        <w:t xml:space="preserve"> by </w:t>
      </w:r>
      <w:r w:rsidR="005F6704">
        <w:t xml:space="preserve">further </w:t>
      </w:r>
      <w:r w:rsidR="006B57BC">
        <w:t xml:space="preserve">differentiating surcharges </w:t>
      </w:r>
      <w:r w:rsidR="00DF78FD">
        <w:t xml:space="preserve">by payment </w:t>
      </w:r>
      <w:r w:rsidR="005F6704">
        <w:t xml:space="preserve">method is </w:t>
      </w:r>
      <w:r w:rsidR="00C53163">
        <w:t>appropriate</w:t>
      </w:r>
      <w:r w:rsidR="00A4675E">
        <w:t xml:space="preserve"> or worthwhile</w:t>
      </w:r>
      <w:r w:rsidR="00C53163">
        <w:t xml:space="preserve"> at this stage.</w:t>
      </w:r>
      <w:r w:rsidR="00870B9D">
        <w:t xml:space="preserve"> </w:t>
      </w:r>
      <w:r w:rsidR="000C401C">
        <w:t>Our decision is on a maximum surcharge</w:t>
      </w:r>
      <w:r w:rsidR="00CC0FA8">
        <w:t>;</w:t>
      </w:r>
      <w:r w:rsidR="000C401C">
        <w:t xml:space="preserve"> it is possible </w:t>
      </w:r>
      <w:r w:rsidR="00CC0FA8">
        <w:t xml:space="preserve">for a payment processor </w:t>
      </w:r>
      <w:r w:rsidR="00AA0B54">
        <w:t xml:space="preserve">to differentiate below </w:t>
      </w:r>
      <w:r w:rsidR="00D4588E">
        <w:t>this maximum surcharge</w:t>
      </w:r>
      <w:r w:rsidR="00C53163">
        <w:t>.</w:t>
      </w:r>
    </w:p>
    <w:p w14:paraId="0D21AA97" w14:textId="13D0061C" w:rsidR="006B57BC" w:rsidRDefault="00676701" w:rsidP="006B57BC">
      <w:r>
        <w:t>The</w:t>
      </w:r>
      <w:r w:rsidR="00731D46">
        <w:t xml:space="preserve"> Reserve Bank of Australia </w:t>
      </w:r>
      <w:r w:rsidR="005D7EEF">
        <w:t xml:space="preserve">is planning to commence a review of the retail payments system. </w:t>
      </w:r>
      <w:r w:rsidR="002F61F4">
        <w:t>The findings of this review</w:t>
      </w:r>
      <w:r w:rsidR="004B06C7">
        <w:t xml:space="preserve"> may be relevant to our future reviews</w:t>
      </w:r>
      <w:r w:rsidR="008A08D4">
        <w:t xml:space="preserve"> or the broader policy framework</w:t>
      </w:r>
      <w:r w:rsidR="005D7EEF">
        <w:t>.</w:t>
      </w:r>
      <w:r w:rsidR="00B62BC7">
        <w:rPr>
          <w:rStyle w:val="FootnoteReference"/>
        </w:rPr>
        <w:footnoteReference w:id="70"/>
      </w:r>
      <w:r w:rsidR="005D7EEF">
        <w:t xml:space="preserve">  </w:t>
      </w:r>
      <w:r w:rsidR="006B57BC">
        <w:t xml:space="preserve"> </w:t>
      </w:r>
    </w:p>
    <w:p w14:paraId="448E4EFC" w14:textId="2B1CF6C5" w:rsidR="000233C4" w:rsidRDefault="000233C4" w:rsidP="009E3D5E">
      <w:pPr>
        <w:pStyle w:val="Heading3"/>
      </w:pPr>
      <w:bookmarkStart w:id="153" w:name="_Toc166669804"/>
      <w:bookmarkStart w:id="154" w:name="_Toc166678869"/>
      <w:bookmarkStart w:id="155" w:name="_Toc167345824"/>
      <w:bookmarkStart w:id="156" w:name="_Toc167346518"/>
      <w:bookmarkStart w:id="157" w:name="_Toc167780313"/>
      <w:bookmarkStart w:id="158" w:name="_Toc173691393"/>
      <w:bookmarkStart w:id="159" w:name="_Toc174692673"/>
      <w:r>
        <w:t>The 4</w:t>
      </w:r>
      <w:r w:rsidR="00E02673">
        <w:t> per </w:t>
      </w:r>
      <w:r>
        <w:t xml:space="preserve">cent </w:t>
      </w:r>
      <w:r w:rsidR="00A452BF">
        <w:t xml:space="preserve">maximum </w:t>
      </w:r>
      <w:r>
        <w:t>surcharge recovers the reasonable costs of processing most non</w:t>
      </w:r>
      <w:r w:rsidR="00E02673">
        <w:noBreakHyphen/>
      </w:r>
      <w:r>
        <w:t>cash payment methods</w:t>
      </w:r>
      <w:bookmarkEnd w:id="153"/>
      <w:bookmarkEnd w:id="154"/>
      <w:bookmarkEnd w:id="155"/>
      <w:bookmarkEnd w:id="156"/>
      <w:bookmarkEnd w:id="157"/>
      <w:bookmarkEnd w:id="158"/>
      <w:bookmarkEnd w:id="159"/>
    </w:p>
    <w:p w14:paraId="2278FACE" w14:textId="649EA30F" w:rsidR="000233C4" w:rsidRDefault="000233C4" w:rsidP="009E3D5E">
      <w:r>
        <w:t>We</w:t>
      </w:r>
      <w:r w:rsidR="00BD7B94">
        <w:t xml:space="preserve"> propose to</w:t>
      </w:r>
      <w:r>
        <w:t xml:space="preserve"> set a maximum 4</w:t>
      </w:r>
      <w:r w:rsidR="00E02673">
        <w:t> per </w:t>
      </w:r>
      <w:r>
        <w:t xml:space="preserve">cent surcharge </w:t>
      </w:r>
      <w:r w:rsidR="000B7A31">
        <w:t xml:space="preserve">that </w:t>
      </w:r>
      <w:r>
        <w:t>applies to most non</w:t>
      </w:r>
      <w:r w:rsidR="00E02673">
        <w:noBreakHyphen/>
      </w:r>
      <w:r>
        <w:t>cash payment methods, including</w:t>
      </w:r>
      <w:r w:rsidR="00464DE6">
        <w:t>:</w:t>
      </w:r>
      <w:r>
        <w:t xml:space="preserve"> </w:t>
      </w:r>
    </w:p>
    <w:p w14:paraId="163A81D6" w14:textId="705E16DC" w:rsidR="000233C4" w:rsidRDefault="000233C4" w:rsidP="009E3D5E">
      <w:pPr>
        <w:pStyle w:val="ListBullet"/>
      </w:pPr>
      <w:r>
        <w:t>eftpos transactions</w:t>
      </w:r>
    </w:p>
    <w:p w14:paraId="5D93AFC7" w14:textId="641744F5" w:rsidR="000233C4" w:rsidRDefault="000233C4" w:rsidP="009E3D5E">
      <w:pPr>
        <w:pStyle w:val="ListBullet"/>
      </w:pPr>
      <w:r>
        <w:t>Mastercard and VISA debit and credit card transactions</w:t>
      </w:r>
    </w:p>
    <w:p w14:paraId="05CB589D" w14:textId="36980DAD" w:rsidR="000233C4" w:rsidRDefault="000233C4" w:rsidP="009E3D5E">
      <w:pPr>
        <w:pStyle w:val="ListBullet"/>
      </w:pPr>
      <w:r>
        <w:t>American Express</w:t>
      </w:r>
      <w:r w:rsidR="00B5691F">
        <w:t xml:space="preserve"> transactions</w:t>
      </w:r>
      <w:r w:rsidR="009E3D5E">
        <w:t>.</w:t>
      </w:r>
      <w:r>
        <w:t xml:space="preserve"> </w:t>
      </w:r>
    </w:p>
    <w:p w14:paraId="6513210D" w14:textId="1187F2AA" w:rsidR="000233C4" w:rsidRDefault="003A3CA1" w:rsidP="00CA5542">
      <w:r>
        <w:t>We consider</w:t>
      </w:r>
      <w:r w:rsidR="000233C4">
        <w:t xml:space="preserve"> that a 4</w:t>
      </w:r>
      <w:r w:rsidR="00E02673">
        <w:t> per </w:t>
      </w:r>
      <w:r w:rsidR="000233C4">
        <w:t xml:space="preserve">cent </w:t>
      </w:r>
      <w:r w:rsidR="008A08D4">
        <w:t>ma</w:t>
      </w:r>
      <w:r w:rsidR="005F3509">
        <w:t xml:space="preserve">ximum </w:t>
      </w:r>
      <w:r w:rsidR="000233C4">
        <w:t>surcharge recover</w:t>
      </w:r>
      <w:r w:rsidR="00330A2F">
        <w:t>s</w:t>
      </w:r>
      <w:r w:rsidR="000233C4">
        <w:t xml:space="preserve"> the reasonable costs of processing non</w:t>
      </w:r>
      <w:r w:rsidR="00E02673">
        <w:noBreakHyphen/>
      </w:r>
      <w:r w:rsidR="000233C4">
        <w:t>cash payment transactions. This is based on our previous reviews where we conducted benchmarking analysis and collected extensive cost data to perform a cost build</w:t>
      </w:r>
      <w:r w:rsidR="00E02673">
        <w:noBreakHyphen/>
      </w:r>
      <w:r w:rsidR="000233C4">
        <w:t>up</w:t>
      </w:r>
      <w:r w:rsidR="00203D16">
        <w:t xml:space="preserve"> and further benchmarking in this review</w:t>
      </w:r>
      <w:r w:rsidR="000233C4">
        <w:t>.</w:t>
      </w:r>
    </w:p>
    <w:p w14:paraId="29E7DB65" w14:textId="0E2EF0C6" w:rsidR="000233C4" w:rsidRDefault="000233C4" w:rsidP="00CA5542">
      <w:r>
        <w:t xml:space="preserve">In coming to our </w:t>
      </w:r>
      <w:r w:rsidR="00482321">
        <w:t xml:space="preserve">final </w:t>
      </w:r>
      <w:r>
        <w:t>decision, we considered views and information provided by stakeholders about whether the 4</w:t>
      </w:r>
      <w:r w:rsidR="00E02673">
        <w:t> per </w:t>
      </w:r>
      <w:r>
        <w:t>cent</w:t>
      </w:r>
      <w:r w:rsidR="00C427EF">
        <w:t xml:space="preserve"> maximum </w:t>
      </w:r>
      <w:r w:rsidR="003E044D">
        <w:t xml:space="preserve">surcharge </w:t>
      </w:r>
      <w:r>
        <w:t xml:space="preserve">continued to be appropriate. We heard mixed views but did not consider that the information provided supported a change </w:t>
      </w:r>
      <w:r w:rsidR="00CA5F04">
        <w:t>abov</w:t>
      </w:r>
      <w:r w:rsidR="00B54422">
        <w:t>e</w:t>
      </w:r>
      <w:r>
        <w:t xml:space="preserve"> </w:t>
      </w:r>
      <w:r w:rsidR="00FF1DE4">
        <w:t xml:space="preserve">the </w:t>
      </w:r>
      <w:r>
        <w:t>current level.</w:t>
      </w:r>
    </w:p>
    <w:p w14:paraId="3ED88C35" w14:textId="0FDFF49D" w:rsidR="000233C4" w:rsidRDefault="00203D16" w:rsidP="00CA5542">
      <w:r>
        <w:t xml:space="preserve">This </w:t>
      </w:r>
      <w:r w:rsidR="00205361">
        <w:t>review benchmarked</w:t>
      </w:r>
      <w:r w:rsidR="000233C4">
        <w:t xml:space="preserve"> the surcharge against comparable market offerings in the broader economy. </w:t>
      </w:r>
      <w:r w:rsidR="00BF54D7">
        <w:t>This</w:t>
      </w:r>
      <w:r w:rsidR="000233C4">
        <w:t xml:space="preserve"> shows that non</w:t>
      </w:r>
      <w:r w:rsidR="00E02673">
        <w:noBreakHyphen/>
      </w:r>
      <w:r w:rsidR="000233C4">
        <w:t xml:space="preserve">cash payment transactions can be processed at </w:t>
      </w:r>
      <w:r w:rsidR="00131BDC">
        <w:t xml:space="preserve">a </w:t>
      </w:r>
      <w:r w:rsidR="000233C4">
        <w:t xml:space="preserve">cost between </w:t>
      </w:r>
      <w:r w:rsidR="0093241D">
        <w:t>1.8</w:t>
      </w:r>
      <w:r w:rsidR="00E02673">
        <w:t> per </w:t>
      </w:r>
      <w:r w:rsidR="000233C4">
        <w:t>cent and 3.6</w:t>
      </w:r>
      <w:r w:rsidR="00E02673">
        <w:t> per </w:t>
      </w:r>
      <w:r w:rsidR="000233C4">
        <w:t>cent</w:t>
      </w:r>
      <w:r w:rsidR="00205361">
        <w:t xml:space="preserve">, assuming two </w:t>
      </w:r>
      <w:r w:rsidR="006C04A7">
        <w:t>payment</w:t>
      </w:r>
      <w:r w:rsidR="00205361">
        <w:t xml:space="preserve"> terminal</w:t>
      </w:r>
      <w:r w:rsidR="006C04A7">
        <w:t>s</w:t>
      </w:r>
      <w:r w:rsidR="00205361">
        <w:t xml:space="preserve"> in taxis</w:t>
      </w:r>
      <w:r w:rsidR="000233C4">
        <w:t xml:space="preserve">. </w:t>
      </w:r>
    </w:p>
    <w:p w14:paraId="26A5A211" w14:textId="4737B90B" w:rsidR="00203D16" w:rsidRDefault="000233C4" w:rsidP="00CA5542">
      <w:r>
        <w:t>Economy</w:t>
      </w:r>
      <w:r w:rsidR="00E02673">
        <w:noBreakHyphen/>
      </w:r>
      <w:r>
        <w:t xml:space="preserve">wide data </w:t>
      </w:r>
      <w:r w:rsidR="004463C3">
        <w:t xml:space="preserve">shows that </w:t>
      </w:r>
      <w:r w:rsidR="002904DE">
        <w:t xml:space="preserve">the cost of processing non-cash transactions </w:t>
      </w:r>
      <w:r w:rsidR="00F13E60">
        <w:t>ha</w:t>
      </w:r>
      <w:r w:rsidR="002904DE">
        <w:t>s declin</w:t>
      </w:r>
      <w:r w:rsidR="00F13E60">
        <w:t>ed</w:t>
      </w:r>
      <w:r w:rsidR="002904DE">
        <w:t xml:space="preserve"> o</w:t>
      </w:r>
      <w:r w:rsidR="00F13E60">
        <w:t>ver</w:t>
      </w:r>
      <w:r w:rsidR="002904DE">
        <w:t xml:space="preserve"> the long </w:t>
      </w:r>
      <w:r w:rsidR="00FB587F">
        <w:t>term but</w:t>
      </w:r>
      <w:r w:rsidR="00853EA8">
        <w:t xml:space="preserve"> stabilised since 2020.</w:t>
      </w:r>
    </w:p>
    <w:p w14:paraId="148790EB" w14:textId="41A67546" w:rsidR="000233C4" w:rsidRDefault="00203D16" w:rsidP="00CA5542">
      <w:r>
        <w:lastRenderedPageBreak/>
        <w:t>Additionally</w:t>
      </w:r>
      <w:r w:rsidR="00462292">
        <w:t>,</w:t>
      </w:r>
      <w:r w:rsidR="002904DE">
        <w:t xml:space="preserve"> </w:t>
      </w:r>
      <w:r w:rsidR="006A35E7">
        <w:t xml:space="preserve">a </w:t>
      </w:r>
      <w:r w:rsidR="002904DE">
        <w:t>comparison of the</w:t>
      </w:r>
      <w:r w:rsidR="000233C4">
        <w:t xml:space="preserve"> market offers for payment service</w:t>
      </w:r>
      <w:r w:rsidR="00E11FC6">
        <w:t>s</w:t>
      </w:r>
      <w:r w:rsidR="000233C4">
        <w:t xml:space="preserve"> </w:t>
      </w:r>
      <w:r w:rsidR="00F13E60">
        <w:t>used in our benchmarking analysis</w:t>
      </w:r>
      <w:r w:rsidR="000233C4">
        <w:t xml:space="preserve"> shows that the cost of accepting non</w:t>
      </w:r>
      <w:r w:rsidR="00E02673">
        <w:noBreakHyphen/>
      </w:r>
      <w:r w:rsidR="000233C4">
        <w:t xml:space="preserve">cash payments has </w:t>
      </w:r>
      <w:r w:rsidR="00255B7F">
        <w:t>remained relatively</w:t>
      </w:r>
      <w:r w:rsidR="00402F7A">
        <w:t xml:space="preserve"> steady </w:t>
      </w:r>
      <w:r w:rsidR="000233C4">
        <w:t xml:space="preserve">since </w:t>
      </w:r>
      <w:r w:rsidR="007068F4">
        <w:t>2019</w:t>
      </w:r>
      <w:r w:rsidR="000233C4">
        <w:t xml:space="preserve">. </w:t>
      </w:r>
    </w:p>
    <w:p w14:paraId="2FCF3BAC" w14:textId="3AB90249" w:rsidR="000233C4" w:rsidRDefault="000233C4" w:rsidP="00CA5542">
      <w:r>
        <w:t xml:space="preserve">While inflation </w:t>
      </w:r>
      <w:r w:rsidR="004221F7">
        <w:t>has likely</w:t>
      </w:r>
      <w:r>
        <w:t xml:space="preserve"> contribute</w:t>
      </w:r>
      <w:r w:rsidR="004221F7">
        <w:t>d</w:t>
      </w:r>
      <w:r>
        <w:t xml:space="preserve"> to increases in taxi payment processors</w:t>
      </w:r>
      <w:r w:rsidR="006C04A7">
        <w:t>’</w:t>
      </w:r>
      <w:r w:rsidR="006C04A7" w:rsidRPr="006C04A7">
        <w:t xml:space="preserve"> </w:t>
      </w:r>
      <w:r w:rsidR="006C04A7">
        <w:t>operational costs</w:t>
      </w:r>
      <w:r>
        <w:t xml:space="preserve">, </w:t>
      </w:r>
      <w:r w:rsidR="00EE1FE0">
        <w:t xml:space="preserve">the </w:t>
      </w:r>
      <w:r w:rsidR="00855939" w:rsidRPr="00F4789D">
        <w:t xml:space="preserve">15.8 per cent </w:t>
      </w:r>
      <w:r w:rsidRPr="00F4789D">
        <w:t xml:space="preserve">increase in fares </w:t>
      </w:r>
      <w:r w:rsidR="408371AE" w:rsidRPr="00F4789D">
        <w:t>since 2022</w:t>
      </w:r>
      <w:r w:rsidR="008B742B" w:rsidRPr="00F4789D">
        <w:t>,</w:t>
      </w:r>
      <w:r w:rsidR="408371AE" w:rsidRPr="00F4789D">
        <w:t xml:space="preserve"> </w:t>
      </w:r>
      <w:r w:rsidR="001C225A">
        <w:t>combined with</w:t>
      </w:r>
      <w:r w:rsidR="001C225A" w:rsidRPr="00F4789D">
        <w:t xml:space="preserve"> </w:t>
      </w:r>
      <w:r w:rsidR="001C49D9">
        <w:t xml:space="preserve">the </w:t>
      </w:r>
      <w:r w:rsidR="008543F0" w:rsidRPr="009110C1">
        <w:t>5.5</w:t>
      </w:r>
      <w:r w:rsidR="001C49D9" w:rsidRPr="009110C1">
        <w:t xml:space="preserve"> per cent</w:t>
      </w:r>
      <w:r w:rsidR="00855939" w:rsidRPr="00F4789D">
        <w:t xml:space="preserve"> fare increase </w:t>
      </w:r>
      <w:r w:rsidR="001C49D9">
        <w:t>set out</w:t>
      </w:r>
      <w:r w:rsidR="001C49D9" w:rsidRPr="00F4789D">
        <w:t xml:space="preserve"> </w:t>
      </w:r>
      <w:r w:rsidR="00855939" w:rsidRPr="00F4789D">
        <w:t>in</w:t>
      </w:r>
      <w:r w:rsidR="408371AE" w:rsidRPr="00F4789D">
        <w:t xml:space="preserve"> this </w:t>
      </w:r>
      <w:r w:rsidR="00CB4836" w:rsidRPr="00F4789D">
        <w:t>decision</w:t>
      </w:r>
      <w:r w:rsidR="008B742B">
        <w:t>,</w:t>
      </w:r>
      <w:r>
        <w:t xml:space="preserve"> should compensate </w:t>
      </w:r>
      <w:r w:rsidR="00671125">
        <w:t>for those increases</w:t>
      </w:r>
      <w:r>
        <w:t xml:space="preserve">. </w:t>
      </w:r>
    </w:p>
    <w:p w14:paraId="4ED6D853" w14:textId="3423F670" w:rsidR="000D4080" w:rsidRDefault="000D4080" w:rsidP="00CA5542">
      <w:r>
        <w:t xml:space="preserve">This means that the 4 per cent </w:t>
      </w:r>
      <w:r w:rsidR="00484396">
        <w:t xml:space="preserve">maximum </w:t>
      </w:r>
      <w:r>
        <w:t>surcharge enable</w:t>
      </w:r>
      <w:r w:rsidR="00484396">
        <w:t>s</w:t>
      </w:r>
      <w:r>
        <w:t xml:space="preserve"> taxi payment processors to recover the </w:t>
      </w:r>
      <w:r w:rsidR="00671125">
        <w:t xml:space="preserve">reasonable </w:t>
      </w:r>
      <w:r>
        <w:t>cost of processing non</w:t>
      </w:r>
      <w:r>
        <w:noBreakHyphen/>
        <w:t>cash payments in the taxi industry.</w:t>
      </w:r>
    </w:p>
    <w:p w14:paraId="3C310715" w14:textId="49769B31" w:rsidR="000233C4" w:rsidRDefault="000233C4" w:rsidP="00CA5542">
      <w:pPr>
        <w:pStyle w:val="Heading3"/>
      </w:pPr>
      <w:bookmarkStart w:id="160" w:name="_Toc166669805"/>
      <w:bookmarkStart w:id="161" w:name="_Toc166678870"/>
      <w:bookmarkStart w:id="162" w:name="_Toc167345825"/>
      <w:bookmarkStart w:id="163" w:name="_Toc167346519"/>
      <w:bookmarkStart w:id="164" w:name="_Toc167780314"/>
      <w:bookmarkStart w:id="165" w:name="_Toc173691394"/>
      <w:bookmarkStart w:id="166" w:name="_Toc174692674"/>
      <w:r>
        <w:t>The 6</w:t>
      </w:r>
      <w:r w:rsidR="00E02673">
        <w:t> per </w:t>
      </w:r>
      <w:r>
        <w:t xml:space="preserve">cent </w:t>
      </w:r>
      <w:r w:rsidR="00C10100">
        <w:t xml:space="preserve">maximum </w:t>
      </w:r>
      <w:r>
        <w:t>surcharge reflects higher issuing costs for the Cabcharge payment system</w:t>
      </w:r>
      <w:bookmarkEnd w:id="160"/>
      <w:bookmarkEnd w:id="161"/>
      <w:bookmarkEnd w:id="162"/>
      <w:bookmarkEnd w:id="163"/>
      <w:bookmarkEnd w:id="164"/>
      <w:bookmarkEnd w:id="165"/>
      <w:bookmarkEnd w:id="166"/>
    </w:p>
    <w:p w14:paraId="61493471" w14:textId="37439710" w:rsidR="00671125" w:rsidRDefault="00AE118F" w:rsidP="00CA5542">
      <w:r>
        <w:t>Our final decision is</w:t>
      </w:r>
      <w:r w:rsidR="00BD7B94">
        <w:t xml:space="preserve"> to </w:t>
      </w:r>
      <w:r w:rsidR="000233C4">
        <w:t>set a 6</w:t>
      </w:r>
      <w:r w:rsidR="00E02673">
        <w:t> per </w:t>
      </w:r>
      <w:r w:rsidR="000233C4">
        <w:t xml:space="preserve">cent </w:t>
      </w:r>
      <w:r w:rsidR="00BB6C19">
        <w:t xml:space="preserve">maximum </w:t>
      </w:r>
      <w:r w:rsidR="000233C4">
        <w:t>surcharge (</w:t>
      </w:r>
      <w:r w:rsidR="003A3CA1">
        <w:t>no</w:t>
      </w:r>
      <w:r w:rsidR="000233C4">
        <w:t xml:space="preserve"> GST</w:t>
      </w:r>
      <w:r w:rsidR="003A3CA1">
        <w:t xml:space="preserve"> payable</w:t>
      </w:r>
      <w:r w:rsidR="000233C4">
        <w:t>) for commercial passenger vehicle specific payment instruments. At present, A2B is the only taxi payment processor that operates a payment scheme (Cabcharge).</w:t>
      </w:r>
    </w:p>
    <w:p w14:paraId="3FE9830D" w14:textId="3AE12F0E" w:rsidR="000233C4" w:rsidRDefault="00F46235" w:rsidP="00CA5542">
      <w:r>
        <w:t>The 6 per cent</w:t>
      </w:r>
      <w:r w:rsidR="006F1278">
        <w:t xml:space="preserve"> surcharge</w:t>
      </w:r>
      <w:r w:rsidR="004D2272">
        <w:t xml:space="preserve"> will also apply to any future commercial passenger vehicle specific payment instruments</w:t>
      </w:r>
      <w:r w:rsidR="0062030B">
        <w:t xml:space="preserve"> that may be developed during the regulatory period</w:t>
      </w:r>
      <w:r w:rsidR="004D2272">
        <w:t xml:space="preserve">. </w:t>
      </w:r>
    </w:p>
    <w:p w14:paraId="7C555C11" w14:textId="1A0F5F6A" w:rsidR="000233C4" w:rsidRDefault="000233C4" w:rsidP="00CA5542">
      <w:r>
        <w:t>T</w:t>
      </w:r>
      <w:r w:rsidR="00F41090">
        <w:t>hrough t</w:t>
      </w:r>
      <w:r>
        <w:t>he Cabcharge payment instrument</w:t>
      </w:r>
      <w:r w:rsidR="00F41090">
        <w:t>, A2B</w:t>
      </w:r>
      <w:r>
        <w:t xml:space="preserve"> provides a charge card </w:t>
      </w:r>
      <w:r w:rsidR="00CF2F13">
        <w:t xml:space="preserve">type of </w:t>
      </w:r>
      <w:r>
        <w:t>service</w:t>
      </w:r>
      <w:r w:rsidR="00CF2F13">
        <w:t>,</w:t>
      </w:r>
      <w:r>
        <w:t xml:space="preserve"> similar to American Express.</w:t>
      </w:r>
      <w:r w:rsidR="009B12F3">
        <w:rPr>
          <w:rStyle w:val="FootnoteReference"/>
        </w:rPr>
        <w:footnoteReference w:id="71"/>
      </w:r>
      <w:r>
        <w:t xml:space="preserve"> </w:t>
      </w:r>
      <w:r w:rsidR="00867063">
        <w:t>Cabcharge</w:t>
      </w:r>
      <w:r>
        <w:t xml:space="preserve"> account holders </w:t>
      </w:r>
      <w:r w:rsidR="00510DFE">
        <w:t xml:space="preserve">receive </w:t>
      </w:r>
      <w:r>
        <w:t xml:space="preserve">additional services </w:t>
      </w:r>
      <w:r w:rsidR="00F15134">
        <w:t xml:space="preserve">from </w:t>
      </w:r>
      <w:r>
        <w:t xml:space="preserve">using a combination of </w:t>
      </w:r>
      <w:r w:rsidR="002C00FF">
        <w:t>diverse</w:t>
      </w:r>
      <w:r w:rsidR="002C00FF" w:rsidDel="002C00FF">
        <w:t xml:space="preserve"> </w:t>
      </w:r>
      <w:r>
        <w:t xml:space="preserve">payment instruments (single use cards, plastic cards, and digital passes) and geographical usage information. </w:t>
      </w:r>
    </w:p>
    <w:p w14:paraId="36261D12" w14:textId="2E9502A8" w:rsidR="00645870" w:rsidRDefault="002C00FF" w:rsidP="00645870">
      <w:r>
        <w:t>Some</w:t>
      </w:r>
      <w:r w:rsidR="00645870">
        <w:t xml:space="preserve"> stakeholders </w:t>
      </w:r>
      <w:r w:rsidR="6CB6D3A9">
        <w:t>suggested</w:t>
      </w:r>
      <w:r w:rsidR="00645870">
        <w:t xml:space="preserve"> that the separate surcharge for </w:t>
      </w:r>
      <w:r w:rsidR="7EE4A7F6">
        <w:t>Cabcharge</w:t>
      </w:r>
      <w:r w:rsidR="00645870">
        <w:t xml:space="preserve"> </w:t>
      </w:r>
      <w:r w:rsidR="00582ADF">
        <w:t xml:space="preserve">could be creating windfall </w:t>
      </w:r>
      <w:r w:rsidR="007B6855">
        <w:t xml:space="preserve">profits </w:t>
      </w:r>
      <w:r w:rsidR="003B15A4">
        <w:t xml:space="preserve">and </w:t>
      </w:r>
      <w:r w:rsidR="00645870">
        <w:t>should be removed.</w:t>
      </w:r>
      <w:r w:rsidR="00645870">
        <w:rPr>
          <w:rStyle w:val="FootnoteReference"/>
        </w:rPr>
        <w:footnoteReference w:id="72"/>
      </w:r>
      <w:r w:rsidR="00645870">
        <w:t xml:space="preserve"> Stakeholder submissions supported uniform surcharges amongst comparable payment instruments.</w:t>
      </w:r>
      <w:r w:rsidR="00645870">
        <w:rPr>
          <w:rStyle w:val="FootnoteReference"/>
        </w:rPr>
        <w:footnoteReference w:id="73"/>
      </w:r>
    </w:p>
    <w:p w14:paraId="1C596326" w14:textId="5F8F9B1D" w:rsidR="00747FA8" w:rsidRDefault="00743F97" w:rsidP="00CA5542">
      <w:r>
        <w:t>We previously</w:t>
      </w:r>
      <w:r w:rsidR="00885CE9">
        <w:t xml:space="preserve"> found</w:t>
      </w:r>
      <w:r w:rsidR="000233C4">
        <w:t xml:space="preserve"> that a </w:t>
      </w:r>
      <w:r w:rsidR="00B36A99">
        <w:t>6 </w:t>
      </w:r>
      <w:r w:rsidR="00E02673">
        <w:t>per </w:t>
      </w:r>
      <w:r w:rsidR="000233C4">
        <w:t xml:space="preserve">cent </w:t>
      </w:r>
      <w:r w:rsidR="00E57E9C">
        <w:t>ma</w:t>
      </w:r>
      <w:r w:rsidR="00CE3F8C">
        <w:t>ximum</w:t>
      </w:r>
      <w:r w:rsidR="000233C4">
        <w:t xml:space="preserve"> surcharge recovered the reasonable costs of facilitating non</w:t>
      </w:r>
      <w:r w:rsidR="00E02673">
        <w:noBreakHyphen/>
      </w:r>
      <w:r w:rsidR="000233C4">
        <w:t xml:space="preserve">cash payments made using </w:t>
      </w:r>
      <w:r w:rsidR="4B59F66E">
        <w:t xml:space="preserve">the </w:t>
      </w:r>
      <w:r w:rsidR="000233C4">
        <w:t xml:space="preserve">Cabcharge payment </w:t>
      </w:r>
      <w:r w:rsidR="000233C4" w:rsidRPr="00140955">
        <w:t>instrument.</w:t>
      </w:r>
    </w:p>
    <w:p w14:paraId="71B9E9EA" w14:textId="0D64D849" w:rsidR="000233C4" w:rsidRDefault="003832ED" w:rsidP="00CA5542">
      <w:r>
        <w:lastRenderedPageBreak/>
        <w:t xml:space="preserve">This </w:t>
      </w:r>
      <w:r w:rsidR="00560B24">
        <w:t>wa</w:t>
      </w:r>
      <w:r>
        <w:t xml:space="preserve">s based on the </w:t>
      </w:r>
      <w:r w:rsidR="00DC1F8E">
        <w:t xml:space="preserve">bottom-up cost assessment we conducted in </w:t>
      </w:r>
      <w:r w:rsidR="74C72FB5" w:rsidRPr="00140955">
        <w:t>previous reviews</w:t>
      </w:r>
      <w:r w:rsidR="00DC1F8E">
        <w:t>.</w:t>
      </w:r>
      <w:r w:rsidR="74C72FB5" w:rsidRPr="00140955">
        <w:t xml:space="preserve"> </w:t>
      </w:r>
      <w:r w:rsidR="00DC1F8E">
        <w:t>We found that</w:t>
      </w:r>
      <w:r w:rsidR="74C72FB5" w:rsidRPr="00140955">
        <w:t xml:space="preserve"> </w:t>
      </w:r>
      <w:r w:rsidR="00452C88">
        <w:t>processing</w:t>
      </w:r>
      <w:r w:rsidR="74C72FB5" w:rsidRPr="00140955">
        <w:t xml:space="preserve"> Cabcharge </w:t>
      </w:r>
      <w:r w:rsidR="00452C88">
        <w:t xml:space="preserve">payments </w:t>
      </w:r>
      <w:r w:rsidR="74C72FB5" w:rsidRPr="00140955">
        <w:t xml:space="preserve">had </w:t>
      </w:r>
      <w:r w:rsidR="00DC1F8E">
        <w:t>different</w:t>
      </w:r>
      <w:r w:rsidR="00DC1F8E" w:rsidRPr="00140955">
        <w:t xml:space="preserve"> </w:t>
      </w:r>
      <w:r w:rsidR="74C72FB5" w:rsidRPr="00140955">
        <w:t xml:space="preserve">costs </w:t>
      </w:r>
      <w:r w:rsidR="00593D1F">
        <w:t>which other payment processors</w:t>
      </w:r>
      <w:r w:rsidR="001F4BFD">
        <w:t xml:space="preserve"> did not incur</w:t>
      </w:r>
      <w:r w:rsidR="001A14E6">
        <w:t>. This led to</w:t>
      </w:r>
      <w:r w:rsidR="00DC1F8E">
        <w:t xml:space="preserve"> a</w:t>
      </w:r>
      <w:r w:rsidR="74C72FB5" w:rsidRPr="00140955">
        <w:t xml:space="preserve"> 6 per cent surcharge </w:t>
      </w:r>
      <w:r w:rsidR="001A14E6">
        <w:t xml:space="preserve">being </w:t>
      </w:r>
      <w:r w:rsidR="00DC1F8E">
        <w:t>required to recover these</w:t>
      </w:r>
      <w:r w:rsidR="74C72FB5" w:rsidRPr="00140955">
        <w:t xml:space="preserve"> costs.</w:t>
      </w:r>
      <w:r w:rsidR="000233C4" w:rsidRPr="00140955">
        <w:rPr>
          <w:rStyle w:val="FootnoteReference"/>
        </w:rPr>
        <w:footnoteReference w:id="74"/>
      </w:r>
    </w:p>
    <w:p w14:paraId="3AA14A08" w14:textId="5B476631" w:rsidR="00780354" w:rsidRDefault="00300938" w:rsidP="00780354">
      <w:r>
        <w:t>W</w:t>
      </w:r>
      <w:r w:rsidR="00780354">
        <w:t xml:space="preserve">e have not </w:t>
      </w:r>
      <w:r w:rsidR="007C2911">
        <w:t xml:space="preserve">identified any </w:t>
      </w:r>
      <w:r w:rsidR="00780354">
        <w:t xml:space="preserve">substantive new information </w:t>
      </w:r>
      <w:r w:rsidR="0070454F">
        <w:t xml:space="preserve">during this review </w:t>
      </w:r>
      <w:r w:rsidR="00780354">
        <w:t xml:space="preserve">that suggests </w:t>
      </w:r>
      <w:r w:rsidR="008367A8">
        <w:t xml:space="preserve">the </w:t>
      </w:r>
      <w:r w:rsidR="004D7436">
        <w:t xml:space="preserve">additional </w:t>
      </w:r>
      <w:r w:rsidR="008367A8">
        <w:t xml:space="preserve">costs </w:t>
      </w:r>
      <w:r w:rsidR="00DA4F69">
        <w:t xml:space="preserve">associated with </w:t>
      </w:r>
      <w:r w:rsidR="00B12B03">
        <w:t>commercial passenger veh</w:t>
      </w:r>
      <w:r w:rsidR="00866C9B">
        <w:t xml:space="preserve">icle specific </w:t>
      </w:r>
      <w:r w:rsidR="00653AFB">
        <w:t xml:space="preserve">payment </w:t>
      </w:r>
      <w:r w:rsidR="00AF2753">
        <w:t>instruments</w:t>
      </w:r>
      <w:r w:rsidR="00780354">
        <w:t xml:space="preserve"> have changed</w:t>
      </w:r>
      <w:r w:rsidR="00A36723">
        <w:t xml:space="preserve"> since we undertook our cost build-up analysis in 2019</w:t>
      </w:r>
      <w:r w:rsidR="1D80AB89">
        <w:t xml:space="preserve"> and 2022</w:t>
      </w:r>
      <w:r w:rsidR="00780354">
        <w:t xml:space="preserve">. </w:t>
      </w:r>
      <w:r w:rsidR="00DC28A8">
        <w:t>W</w:t>
      </w:r>
      <w:r w:rsidR="00C53C50">
        <w:t xml:space="preserve">e </w:t>
      </w:r>
      <w:r w:rsidR="00B42AA5">
        <w:t>consider</w:t>
      </w:r>
      <w:r w:rsidR="009F3671">
        <w:t xml:space="preserve"> </w:t>
      </w:r>
      <w:r w:rsidR="005B1D05">
        <w:t>the cost build-up analysis remains valid</w:t>
      </w:r>
      <w:r w:rsidR="001A4AAE">
        <w:t xml:space="preserve"> and that</w:t>
      </w:r>
      <w:r w:rsidR="00E70C55">
        <w:t xml:space="preserve"> </w:t>
      </w:r>
      <w:r w:rsidR="00136C82">
        <w:t xml:space="preserve">a </w:t>
      </w:r>
      <w:r w:rsidR="00780354">
        <w:t>6 per cent</w:t>
      </w:r>
      <w:r w:rsidR="00866C9B">
        <w:t xml:space="preserve"> (no GST payable)</w:t>
      </w:r>
      <w:r w:rsidR="00780354">
        <w:t xml:space="preserve"> </w:t>
      </w:r>
      <w:r w:rsidR="007C616C">
        <w:t xml:space="preserve">surcharge </w:t>
      </w:r>
      <w:r w:rsidR="00511878">
        <w:t>will</w:t>
      </w:r>
      <w:r w:rsidR="00780354">
        <w:t xml:space="preserve"> recover the reasonable costs of the</w:t>
      </w:r>
      <w:r w:rsidR="00EC7037">
        <w:t>se types of</w:t>
      </w:r>
      <w:r w:rsidR="00B72C48">
        <w:t xml:space="preserve"> </w:t>
      </w:r>
      <w:r w:rsidR="00780354">
        <w:t xml:space="preserve">payment </w:t>
      </w:r>
      <w:r w:rsidR="00F07764">
        <w:t>instruments.</w:t>
      </w:r>
      <w:r w:rsidR="00780354">
        <w:t xml:space="preserve"> </w:t>
      </w:r>
    </w:p>
    <w:p w14:paraId="4352D6FF" w14:textId="7DB74084" w:rsidR="00CA0A12" w:rsidRDefault="000233C4" w:rsidP="005C281C">
      <w:r>
        <w:t xml:space="preserve">We note that </w:t>
      </w:r>
      <w:r w:rsidR="00730AB7">
        <w:t xml:space="preserve">the </w:t>
      </w:r>
      <w:r w:rsidR="003673C6">
        <w:t xml:space="preserve">6 per cent </w:t>
      </w:r>
      <w:r w:rsidR="00730AB7">
        <w:t>surcharge is a maximum</w:t>
      </w:r>
      <w:r w:rsidR="00EA5267">
        <w:t xml:space="preserve">. </w:t>
      </w:r>
      <w:r>
        <w:t xml:space="preserve">A2B </w:t>
      </w:r>
      <w:r w:rsidR="00C821DB">
        <w:t>has chosen</w:t>
      </w:r>
      <w:r>
        <w:t xml:space="preserve"> to charge a </w:t>
      </w:r>
      <w:r w:rsidR="00C821DB">
        <w:t>lesser</w:t>
      </w:r>
      <w:r>
        <w:t xml:space="preserve"> 5</w:t>
      </w:r>
      <w:r w:rsidR="00E02673">
        <w:t> per </w:t>
      </w:r>
      <w:r>
        <w:t xml:space="preserve">cent surcharge </w:t>
      </w:r>
      <w:r w:rsidR="008A752D">
        <w:t>for Cabcharge users</w:t>
      </w:r>
      <w:r>
        <w:t xml:space="preserve">, </w:t>
      </w:r>
      <w:r w:rsidR="00CC41D2">
        <w:t xml:space="preserve">consistent with the maximum surcharge that applies in each of the other Australian states and </w:t>
      </w:r>
      <w:r w:rsidR="00F77107">
        <w:t>territories</w:t>
      </w:r>
      <w:r w:rsidR="00A63DA1">
        <w:t>.</w:t>
      </w:r>
      <w:r w:rsidR="00653BB6">
        <w:rPr>
          <w:rStyle w:val="FootnoteReference"/>
        </w:rPr>
        <w:footnoteReference w:id="75"/>
      </w:r>
      <w:r w:rsidR="00A10DC4">
        <w:t xml:space="preserve"> </w:t>
      </w:r>
    </w:p>
    <w:p w14:paraId="20852A66" w14:textId="6BA557B7" w:rsidR="00AB6B5F" w:rsidRDefault="00AB6B5F" w:rsidP="005C281C">
      <w:pPr>
        <w:sectPr w:rsidR="00AB6B5F" w:rsidSect="0053218D">
          <w:footerReference w:type="default" r:id="rId26"/>
          <w:pgSz w:w="11906" w:h="16838" w:code="9"/>
          <w:pgMar w:top="1134" w:right="1134" w:bottom="1134" w:left="1134" w:header="709" w:footer="692" w:gutter="0"/>
          <w:cols w:space="708"/>
          <w:docGrid w:linePitch="360"/>
        </w:sectPr>
      </w:pPr>
      <w:r>
        <w:t>From the perspective of taxi passengers, we note that Cabcharge payment instruments are generally used by employees of corporations</w:t>
      </w:r>
      <w:r w:rsidRPr="00E13F4E">
        <w:t>.</w:t>
      </w:r>
      <w:r>
        <w:t xml:space="preserve"> These users are opting in to the Cabcharge system. Passengers that do not use the Cabcharge payment instrument are not affected by the higher surcharge.</w:t>
      </w:r>
    </w:p>
    <w:p w14:paraId="2557ED74" w14:textId="294CF970" w:rsidR="008764D4" w:rsidRDefault="008764D4" w:rsidP="001A6E98">
      <w:pPr>
        <w:tabs>
          <w:tab w:val="left" w:pos="1708"/>
        </w:tabs>
        <w:rPr>
          <w:rStyle w:val="Heading1Char"/>
        </w:rPr>
      </w:pPr>
      <w:bookmarkStart w:id="167" w:name="_Toc174692675"/>
      <w:r w:rsidRPr="005C5209">
        <w:rPr>
          <w:rStyle w:val="Heading1Char"/>
        </w:rPr>
        <w:lastRenderedPageBreak/>
        <w:t xml:space="preserve">Appendix </w:t>
      </w:r>
      <w:r>
        <w:rPr>
          <w:rStyle w:val="Heading1Char"/>
        </w:rPr>
        <w:t>A</w:t>
      </w:r>
      <w:r w:rsidRPr="005C5209">
        <w:rPr>
          <w:rStyle w:val="Heading1Char"/>
        </w:rPr>
        <w:t xml:space="preserve">: </w:t>
      </w:r>
      <w:r>
        <w:rPr>
          <w:rStyle w:val="Heading1Char"/>
        </w:rPr>
        <w:t>M</w:t>
      </w:r>
      <w:r w:rsidRPr="00BD28DB">
        <w:rPr>
          <w:rStyle w:val="Heading1Char"/>
        </w:rPr>
        <w:t>aximum unbooked taxi fares</w:t>
      </w:r>
      <w:r>
        <w:rPr>
          <w:rStyle w:val="Heading1Char"/>
        </w:rPr>
        <w:t xml:space="preserve"> (from </w:t>
      </w:r>
      <w:r w:rsidR="001A6E98">
        <w:rPr>
          <w:rStyle w:val="Heading1Char"/>
        </w:rPr>
        <w:t>23</w:t>
      </w:r>
      <w:r w:rsidR="00637F09">
        <w:rPr>
          <w:rStyle w:val="Heading1Char"/>
        </w:rPr>
        <w:t> </w:t>
      </w:r>
      <w:r w:rsidR="001A6E98">
        <w:rPr>
          <w:rStyle w:val="Heading1Char"/>
        </w:rPr>
        <w:t>September 2024</w:t>
      </w:r>
      <w:r>
        <w:rPr>
          <w:rStyle w:val="Heading1Char"/>
        </w:rPr>
        <w:t>)</w:t>
      </w:r>
      <w:bookmarkEnd w:id="167"/>
    </w:p>
    <w:p w14:paraId="2EE7D4F7" w14:textId="37F37B4C" w:rsidR="000C2D63" w:rsidRDefault="008764D4" w:rsidP="00A65652">
      <w:r w:rsidRPr="0062030B">
        <w:t xml:space="preserve">This appendix </w:t>
      </w:r>
      <w:r w:rsidR="00293B5A">
        <w:t>summarises the</w:t>
      </w:r>
      <w:r w:rsidRPr="0062030B">
        <w:t xml:space="preserve"> maximum unbooked taxi fares </w:t>
      </w:r>
      <w:r w:rsidR="00293B5A">
        <w:t xml:space="preserve">that are set out in our </w:t>
      </w:r>
      <w:r w:rsidR="00A4761A">
        <w:t xml:space="preserve">new </w:t>
      </w:r>
      <w:r w:rsidR="00293B5A">
        <w:t>determination</w:t>
      </w:r>
      <w:r w:rsidRPr="0062030B">
        <w:t>.</w:t>
      </w:r>
      <w:r w:rsidR="00293B5A">
        <w:t xml:space="preserve"> </w:t>
      </w:r>
      <w:r w:rsidR="001A6E98">
        <w:t xml:space="preserve">These maximum fares will take effect on 23 September 2024. </w:t>
      </w:r>
      <w:r w:rsidR="0049426D">
        <w:t>There are two fare schedules</w:t>
      </w:r>
      <w:r w:rsidR="00907BCC">
        <w:t>:</w:t>
      </w:r>
    </w:p>
    <w:p w14:paraId="7CC07155" w14:textId="18CDE3A2" w:rsidR="00907BCC" w:rsidRDefault="00907BCC" w:rsidP="004F5CB8">
      <w:pPr>
        <w:pStyle w:val="ListBullet"/>
      </w:pPr>
      <w:r>
        <w:t xml:space="preserve">Schedule 1 sets out the maximum fares that apply in </w:t>
      </w:r>
      <w:r w:rsidR="00393D0A">
        <w:t xml:space="preserve">the </w:t>
      </w:r>
      <w:r>
        <w:t>Melbourne</w:t>
      </w:r>
      <w:r w:rsidR="001A6E98">
        <w:t xml:space="preserve"> </w:t>
      </w:r>
      <w:r w:rsidR="00E74EF8">
        <w:t xml:space="preserve">Metropolitan </w:t>
      </w:r>
      <w:r w:rsidR="001A6E98">
        <w:t xml:space="preserve">Zone and the </w:t>
      </w:r>
      <w:r w:rsidR="00393D0A">
        <w:t>U</w:t>
      </w:r>
      <w:r w:rsidR="001A6E98">
        <w:t>rban area of the Urban and Large Regional Zone (which includes</w:t>
      </w:r>
      <w:r>
        <w:t xml:space="preserve"> Dandenong, Frankston and the </w:t>
      </w:r>
      <w:r w:rsidR="001A6E98">
        <w:t>Mornington</w:t>
      </w:r>
      <w:r>
        <w:t xml:space="preserve"> Peninsula</w:t>
      </w:r>
      <w:r w:rsidR="001A6E98">
        <w:t>)</w:t>
      </w:r>
      <w:r w:rsidR="00585428">
        <w:t>.</w:t>
      </w:r>
      <w:r>
        <w:t xml:space="preserve"> </w:t>
      </w:r>
    </w:p>
    <w:p w14:paraId="7D5E0E74" w14:textId="3995FEFC" w:rsidR="001A6E98" w:rsidRDefault="001A6E98" w:rsidP="001A6E98">
      <w:pPr>
        <w:pStyle w:val="ListBullet"/>
      </w:pPr>
      <w:r>
        <w:t xml:space="preserve">Schedule 2 sets out the maximum fares that apply in the </w:t>
      </w:r>
      <w:r w:rsidR="003D0AC5">
        <w:t>L</w:t>
      </w:r>
      <w:r>
        <w:t xml:space="preserve">arge </w:t>
      </w:r>
      <w:r w:rsidR="003D0AC5">
        <w:t>R</w:t>
      </w:r>
      <w:r>
        <w:t>egional areas of the Urban and Large Regional zone (which includes Geelong, Ballarat and Bendigo).</w:t>
      </w:r>
    </w:p>
    <w:p w14:paraId="2153CF2E" w14:textId="6DEFDA8E" w:rsidR="008764D4" w:rsidRPr="0062030B" w:rsidRDefault="001A6E98" w:rsidP="00A65652">
      <w:r>
        <w:t xml:space="preserve">The regulated taxi zones are shown in the map in Figure </w:t>
      </w:r>
      <w:r w:rsidR="00F613ED">
        <w:t>A.</w:t>
      </w:r>
      <w:r>
        <w:t xml:space="preserve">1. </w:t>
      </w:r>
    </w:p>
    <w:tbl>
      <w:tblPr>
        <w:tblStyle w:val="TwoColumnImage"/>
        <w:tblW w:w="0" w:type="auto"/>
        <w:tblLook w:val="04A0" w:firstRow="1" w:lastRow="0" w:firstColumn="1" w:lastColumn="0" w:noHBand="0" w:noVBand="1"/>
      </w:tblPr>
      <w:tblGrid>
        <w:gridCol w:w="9638"/>
      </w:tblGrid>
      <w:tr w:rsidR="00DB1B04" w14:paraId="5BCCA1DD" w14:textId="77777777">
        <w:tc>
          <w:tcPr>
            <w:tcW w:w="9638" w:type="dxa"/>
          </w:tcPr>
          <w:p w14:paraId="06D95CE0" w14:textId="5AE90038" w:rsidR="00DB1B04" w:rsidRPr="0022251E" w:rsidRDefault="00DB1B04">
            <w:pPr>
              <w:pStyle w:val="Figure-Table-BoxHeading"/>
            </w:pPr>
            <w:r>
              <w:t xml:space="preserve">Figure </w:t>
            </w:r>
            <w:r w:rsidR="0049426D">
              <w:t>A</w:t>
            </w:r>
            <w:r>
              <w:t>.1</w:t>
            </w:r>
            <w:r>
              <w:tab/>
              <w:t xml:space="preserve">Map of taxi zones </w:t>
            </w:r>
          </w:p>
        </w:tc>
      </w:tr>
      <w:tr w:rsidR="00DB1B04" w14:paraId="15BF9FE8" w14:textId="77777777">
        <w:tc>
          <w:tcPr>
            <w:tcW w:w="9638" w:type="dxa"/>
          </w:tcPr>
          <w:p w14:paraId="546A86BB" w14:textId="0E53A828" w:rsidR="00DB1B04" w:rsidRDefault="00FB6FEA">
            <w:r w:rsidRPr="00FB6FEA">
              <w:rPr>
                <w:noProof/>
              </w:rPr>
              <w:drawing>
                <wp:anchor distT="0" distB="0" distL="114300" distR="114300" simplePos="0" relativeHeight="251658240" behindDoc="0" locked="0" layoutInCell="1" allowOverlap="1" wp14:anchorId="590908B4" wp14:editId="0F35A7B6">
                  <wp:simplePos x="0" y="0"/>
                  <wp:positionH relativeFrom="column">
                    <wp:posOffset>2515089</wp:posOffset>
                  </wp:positionH>
                  <wp:positionV relativeFrom="paragraph">
                    <wp:posOffset>131201</wp:posOffset>
                  </wp:positionV>
                  <wp:extent cx="2568733" cy="1048043"/>
                  <wp:effectExtent l="0" t="0" r="3175" b="0"/>
                  <wp:wrapNone/>
                  <wp:docPr id="1076306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06939" name=""/>
                          <pic:cNvPicPr/>
                        </pic:nvPicPr>
                        <pic:blipFill>
                          <a:blip r:embed="rId27">
                            <a:extLst>
                              <a:ext uri="{28A0092B-C50C-407E-A947-70E740481C1C}">
                                <a14:useLocalDpi xmlns:a14="http://schemas.microsoft.com/office/drawing/2010/main" val="0"/>
                              </a:ext>
                            </a:extLst>
                          </a:blip>
                          <a:stretch>
                            <a:fillRect/>
                          </a:stretch>
                        </pic:blipFill>
                        <pic:spPr>
                          <a:xfrm>
                            <a:off x="0" y="0"/>
                            <a:ext cx="2568733" cy="1048043"/>
                          </a:xfrm>
                          <a:prstGeom prst="rect">
                            <a:avLst/>
                          </a:prstGeom>
                        </pic:spPr>
                      </pic:pic>
                    </a:graphicData>
                  </a:graphic>
                  <wp14:sizeRelH relativeFrom="page">
                    <wp14:pctWidth>0</wp14:pctWidth>
                  </wp14:sizeRelH>
                  <wp14:sizeRelV relativeFrom="page">
                    <wp14:pctHeight>0</wp14:pctHeight>
                  </wp14:sizeRelV>
                </wp:anchor>
              </w:drawing>
            </w:r>
            <w:r w:rsidR="00DB1B04" w:rsidRPr="005F181F">
              <w:rPr>
                <w:noProof/>
              </w:rPr>
              <w:drawing>
                <wp:inline distT="0" distB="0" distL="0" distR="0" wp14:anchorId="2A03819D" wp14:editId="55C6F42D">
                  <wp:extent cx="5188688" cy="3480943"/>
                  <wp:effectExtent l="0" t="0" r="0" b="5715"/>
                  <wp:docPr id="1376453290" name="Picture 1" descr="A map of australia with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53290" name="Picture 1" descr="A map of australia with different colored areas&#10;&#10;Description automatically generated"/>
                          <pic:cNvPicPr/>
                        </pic:nvPicPr>
                        <pic:blipFill>
                          <a:blip r:embed="rId28"/>
                          <a:stretch>
                            <a:fillRect/>
                          </a:stretch>
                        </pic:blipFill>
                        <pic:spPr>
                          <a:xfrm>
                            <a:off x="0" y="0"/>
                            <a:ext cx="5211529" cy="3496266"/>
                          </a:xfrm>
                          <a:prstGeom prst="rect">
                            <a:avLst/>
                          </a:prstGeom>
                        </pic:spPr>
                      </pic:pic>
                    </a:graphicData>
                  </a:graphic>
                </wp:inline>
              </w:drawing>
            </w:r>
          </w:p>
        </w:tc>
      </w:tr>
    </w:tbl>
    <w:p w14:paraId="273FCD5D" w14:textId="351817C3" w:rsidR="008764D4" w:rsidRDefault="008764D4" w:rsidP="008764D4">
      <w:pPr>
        <w:spacing w:before="0" w:line="259" w:lineRule="auto"/>
        <w:rPr>
          <w:rFonts w:ascii="Tahoma" w:eastAsiaTheme="majorEastAsia" w:hAnsi="Tahoma" w:cstheme="majorBidi"/>
          <w:b/>
          <w:sz w:val="26"/>
          <w:szCs w:val="26"/>
        </w:rPr>
      </w:pPr>
      <w:r>
        <w:br w:type="page"/>
      </w:r>
    </w:p>
    <w:p w14:paraId="55B61E5C" w14:textId="09F4E770" w:rsidR="008764D4" w:rsidRPr="00AC6879" w:rsidRDefault="008764D4" w:rsidP="008764D4">
      <w:pPr>
        <w:pStyle w:val="Heading2"/>
      </w:pPr>
      <w:bookmarkStart w:id="168" w:name="_Fare_schedule_1"/>
      <w:bookmarkStart w:id="169" w:name="_Toc174692676"/>
      <w:bookmarkEnd w:id="168"/>
      <w:r>
        <w:lastRenderedPageBreak/>
        <w:t xml:space="preserve">Fare schedule 1 – </w:t>
      </w:r>
      <w:r w:rsidRPr="00AC6879">
        <w:t>Metropolitan Melbourne</w:t>
      </w:r>
      <w:r>
        <w:t>, Dandenong, Frankston</w:t>
      </w:r>
      <w:r w:rsidRPr="00AC6879">
        <w:t xml:space="preserve"> and </w:t>
      </w:r>
      <w:r>
        <w:t>the Mornington Peninsula</w:t>
      </w:r>
      <w:bookmarkEnd w:id="169"/>
    </w:p>
    <w:p w14:paraId="46B78464" w14:textId="7DBA4246" w:rsidR="008764D4" w:rsidRPr="006B4A9B" w:rsidRDefault="008764D4" w:rsidP="0F3B4C48">
      <w:pPr>
        <w:pStyle w:val="Figure-Table-BoxHeading"/>
        <w:ind w:left="1276" w:hanging="1276"/>
        <w:rPr>
          <w:b w:val="0"/>
          <w:lang w:val="en-AU"/>
        </w:rPr>
      </w:pPr>
      <w:r w:rsidRPr="0F3B4C48">
        <w:rPr>
          <w:lang w:val="en-AU"/>
        </w:rPr>
        <w:t>Table A.1</w:t>
      </w:r>
      <w:r>
        <w:tab/>
      </w:r>
      <w:r w:rsidRPr="0F3B4C48">
        <w:rPr>
          <w:lang w:val="en-AU"/>
        </w:rPr>
        <w:t xml:space="preserve">Maximum fares for unbooked taxi services that begin in the Melbourne Metropolitan Zone or the </w:t>
      </w:r>
      <w:r w:rsidR="0055551B">
        <w:rPr>
          <w:lang w:val="en-AU"/>
        </w:rPr>
        <w:t>U</w:t>
      </w:r>
      <w:r w:rsidRPr="0F3B4C48">
        <w:rPr>
          <w:lang w:val="en-AU"/>
        </w:rPr>
        <w:t>rban area (Dandenong, Frankston and the Mornington Peninsula) of the Urban and Large Regional Zone – ‘time or distance’ tariffs</w:t>
      </w:r>
    </w:p>
    <w:tbl>
      <w:tblPr>
        <w:tblStyle w:val="TableGrid"/>
        <w:tblW w:w="0" w:type="auto"/>
        <w:tblLook w:val="04A0" w:firstRow="1" w:lastRow="0" w:firstColumn="1" w:lastColumn="0" w:noHBand="0" w:noVBand="1"/>
      </w:tblPr>
      <w:tblGrid>
        <w:gridCol w:w="3162"/>
        <w:gridCol w:w="1800"/>
        <w:gridCol w:w="2437"/>
        <w:gridCol w:w="1961"/>
      </w:tblGrid>
      <w:tr w:rsidR="008764D4" w14:paraId="0AA63F1E" w14:textId="77777777" w:rsidTr="0F3B4C48">
        <w:trPr>
          <w:cnfStyle w:val="100000000000" w:firstRow="1" w:lastRow="0" w:firstColumn="0" w:lastColumn="0" w:oddVBand="0" w:evenVBand="0" w:oddHBand="0" w:evenHBand="0" w:firstRowFirstColumn="0" w:firstRowLastColumn="0" w:lastRowFirstColumn="0" w:lastRowLastColumn="0"/>
        </w:trPr>
        <w:tc>
          <w:tcPr>
            <w:tcW w:w="3162" w:type="dxa"/>
          </w:tcPr>
          <w:p w14:paraId="095EC96C" w14:textId="77777777" w:rsidR="008764D4" w:rsidRDefault="008764D4">
            <w:pPr>
              <w:pStyle w:val="TableHeading"/>
            </w:pPr>
          </w:p>
        </w:tc>
        <w:tc>
          <w:tcPr>
            <w:tcW w:w="1800" w:type="dxa"/>
          </w:tcPr>
          <w:p w14:paraId="1461E697" w14:textId="77777777" w:rsidR="008764D4" w:rsidRDefault="008764D4">
            <w:pPr>
              <w:pStyle w:val="TableHeading"/>
              <w:ind w:right="113"/>
              <w:jc w:val="right"/>
            </w:pPr>
            <w:r w:rsidRPr="00426E44">
              <w:t>Tariff 1</w:t>
            </w:r>
            <w:r>
              <w:rPr>
                <w:b w:val="0"/>
                <w:bCs/>
              </w:rPr>
              <w:br/>
            </w:r>
            <w:r w:rsidRPr="00426E44">
              <w:t>‘Day’</w:t>
            </w:r>
            <w:r>
              <w:rPr>
                <w:bCs/>
              </w:rPr>
              <w:br/>
            </w:r>
            <w:r w:rsidRPr="002842BD">
              <w:t>(9am–5pm)</w:t>
            </w:r>
          </w:p>
        </w:tc>
        <w:tc>
          <w:tcPr>
            <w:tcW w:w="2437" w:type="dxa"/>
          </w:tcPr>
          <w:p w14:paraId="0AD7E4BC" w14:textId="77777777" w:rsidR="008764D4" w:rsidRDefault="008764D4">
            <w:pPr>
              <w:pStyle w:val="TableHeading"/>
              <w:ind w:right="113"/>
              <w:jc w:val="right"/>
            </w:pPr>
            <w:r w:rsidRPr="00426E44">
              <w:t>Tariff 2</w:t>
            </w:r>
            <w:r>
              <w:rPr>
                <w:b w:val="0"/>
                <w:bCs/>
              </w:rPr>
              <w:br/>
            </w:r>
            <w:r w:rsidRPr="00426E44">
              <w:t>‘Overnight’</w:t>
            </w:r>
            <w:r>
              <w:rPr>
                <w:bCs/>
              </w:rPr>
              <w:br/>
            </w:r>
            <w:r w:rsidRPr="002842BD">
              <w:t>(5pm–9am, excluding peak)</w:t>
            </w:r>
          </w:p>
        </w:tc>
        <w:tc>
          <w:tcPr>
            <w:tcW w:w="1961" w:type="dxa"/>
          </w:tcPr>
          <w:p w14:paraId="176EA46A" w14:textId="77777777" w:rsidR="008764D4" w:rsidRDefault="008764D4">
            <w:pPr>
              <w:pStyle w:val="TableHeading"/>
              <w:ind w:right="113"/>
              <w:jc w:val="right"/>
            </w:pPr>
            <w:r w:rsidRPr="00426E44">
              <w:t>Tariff 3</w:t>
            </w:r>
            <w:r>
              <w:rPr>
                <w:b w:val="0"/>
                <w:bCs/>
              </w:rPr>
              <w:br/>
            </w:r>
            <w:r w:rsidRPr="00426E44">
              <w:t>‘Peak’</w:t>
            </w:r>
            <w:r>
              <w:rPr>
                <w:b w:val="0"/>
                <w:bCs/>
              </w:rPr>
              <w:br/>
            </w:r>
            <w:r w:rsidRPr="002842BD">
              <w:t>(Fri &amp; Sat nights 10pm–4am)</w:t>
            </w:r>
          </w:p>
        </w:tc>
      </w:tr>
      <w:tr w:rsidR="008764D4" w14:paraId="68FD46B3" w14:textId="77777777" w:rsidTr="0F3B4C48">
        <w:trPr>
          <w:cnfStyle w:val="000000100000" w:firstRow="0" w:lastRow="0" w:firstColumn="0" w:lastColumn="0" w:oddVBand="0" w:evenVBand="0" w:oddHBand="1" w:evenHBand="0" w:firstRowFirstColumn="0" w:firstRowLastColumn="0" w:lastRowFirstColumn="0" w:lastRowLastColumn="0"/>
        </w:trPr>
        <w:tc>
          <w:tcPr>
            <w:tcW w:w="3162" w:type="dxa"/>
          </w:tcPr>
          <w:p w14:paraId="26D015C0" w14:textId="77777777" w:rsidR="008764D4" w:rsidRPr="003053B7" w:rsidRDefault="008764D4">
            <w:pPr>
              <w:pStyle w:val="TableBody"/>
              <w:rPr>
                <w:b/>
                <w:bCs/>
              </w:rPr>
            </w:pPr>
            <w:r w:rsidRPr="003053B7">
              <w:rPr>
                <w:b/>
                <w:bCs/>
              </w:rPr>
              <w:t>Standard fare components</w:t>
            </w:r>
          </w:p>
        </w:tc>
        <w:tc>
          <w:tcPr>
            <w:tcW w:w="6198" w:type="dxa"/>
            <w:gridSpan w:val="3"/>
            <w:vAlign w:val="center"/>
          </w:tcPr>
          <w:p w14:paraId="17DF34E7" w14:textId="77777777" w:rsidR="008764D4" w:rsidRPr="003053B7" w:rsidRDefault="008764D4">
            <w:pPr>
              <w:pStyle w:val="TableBody"/>
              <w:jc w:val="center"/>
              <w:rPr>
                <w:b/>
                <w:bCs/>
              </w:rPr>
            </w:pPr>
            <w:r w:rsidRPr="003053B7">
              <w:rPr>
                <w:b/>
                <w:bCs/>
              </w:rPr>
              <w:t>Maximum charge up to</w:t>
            </w:r>
          </w:p>
        </w:tc>
      </w:tr>
      <w:tr w:rsidR="008764D4" w14:paraId="46E8EF0C" w14:textId="77777777" w:rsidTr="0F3B4C48">
        <w:trPr>
          <w:cnfStyle w:val="000000010000" w:firstRow="0" w:lastRow="0" w:firstColumn="0" w:lastColumn="0" w:oddVBand="0" w:evenVBand="0" w:oddHBand="0" w:evenHBand="1" w:firstRowFirstColumn="0" w:firstRowLastColumn="0" w:lastRowFirstColumn="0" w:lastRowLastColumn="0"/>
        </w:trPr>
        <w:tc>
          <w:tcPr>
            <w:tcW w:w="3162" w:type="dxa"/>
          </w:tcPr>
          <w:p w14:paraId="578E377D" w14:textId="77777777" w:rsidR="008764D4" w:rsidRDefault="008764D4">
            <w:pPr>
              <w:pStyle w:val="TableBody"/>
            </w:pPr>
            <w:r w:rsidRPr="0F3B4C48">
              <w:rPr>
                <w:lang w:val="en-AU"/>
              </w:rPr>
              <w:t>Flagfall ($)</w:t>
            </w:r>
          </w:p>
        </w:tc>
        <w:tc>
          <w:tcPr>
            <w:tcW w:w="1800" w:type="dxa"/>
            <w:vAlign w:val="center"/>
          </w:tcPr>
          <w:p w14:paraId="05F396EC" w14:textId="77777777" w:rsidR="008764D4" w:rsidRDefault="008764D4">
            <w:pPr>
              <w:pStyle w:val="TableBody"/>
              <w:ind w:right="113"/>
              <w:jc w:val="right"/>
            </w:pPr>
            <w:r w:rsidRPr="00FD2B84">
              <w:t>$</w:t>
            </w:r>
            <w:r>
              <w:t>5</w:t>
            </w:r>
            <w:r w:rsidRPr="00FD2B84">
              <w:t>.</w:t>
            </w:r>
            <w:r>
              <w:t>10</w:t>
            </w:r>
          </w:p>
        </w:tc>
        <w:tc>
          <w:tcPr>
            <w:tcW w:w="2437" w:type="dxa"/>
            <w:vAlign w:val="center"/>
          </w:tcPr>
          <w:p w14:paraId="6CF18D69" w14:textId="44459608" w:rsidR="008764D4" w:rsidRDefault="008764D4">
            <w:pPr>
              <w:pStyle w:val="TableBody"/>
              <w:ind w:right="113"/>
              <w:jc w:val="right"/>
            </w:pPr>
            <w:r w:rsidRPr="00FD2B84">
              <w:t>$6.</w:t>
            </w:r>
            <w:r w:rsidR="00D01F2D">
              <w:t>35</w:t>
            </w:r>
          </w:p>
        </w:tc>
        <w:tc>
          <w:tcPr>
            <w:tcW w:w="1961" w:type="dxa"/>
            <w:vAlign w:val="center"/>
          </w:tcPr>
          <w:p w14:paraId="09CADF66" w14:textId="77777777" w:rsidR="008764D4" w:rsidRDefault="008764D4">
            <w:pPr>
              <w:pStyle w:val="TableBody"/>
              <w:ind w:right="113"/>
              <w:jc w:val="right"/>
            </w:pPr>
            <w:r w:rsidRPr="00FD2B84">
              <w:t>$7.</w:t>
            </w:r>
            <w:r>
              <w:t>6</w:t>
            </w:r>
            <w:r w:rsidRPr="00FD2B84">
              <w:t>0</w:t>
            </w:r>
          </w:p>
        </w:tc>
      </w:tr>
      <w:tr w:rsidR="008764D4" w14:paraId="0B8D5063" w14:textId="77777777" w:rsidTr="0F3B4C48">
        <w:trPr>
          <w:cnfStyle w:val="000000100000" w:firstRow="0" w:lastRow="0" w:firstColumn="0" w:lastColumn="0" w:oddVBand="0" w:evenVBand="0" w:oddHBand="1" w:evenHBand="0" w:firstRowFirstColumn="0" w:firstRowLastColumn="0" w:lastRowFirstColumn="0" w:lastRowLastColumn="0"/>
        </w:trPr>
        <w:tc>
          <w:tcPr>
            <w:tcW w:w="3162" w:type="dxa"/>
          </w:tcPr>
          <w:p w14:paraId="71277287" w14:textId="77777777" w:rsidR="008764D4" w:rsidRDefault="008764D4">
            <w:pPr>
              <w:pStyle w:val="TableBody"/>
            </w:pPr>
            <w:r>
              <w:t>Distance rate ($/km)</w:t>
            </w:r>
            <w:r>
              <w:br/>
              <w:t>(when speed is above 21 km/hr)</w:t>
            </w:r>
          </w:p>
        </w:tc>
        <w:tc>
          <w:tcPr>
            <w:tcW w:w="1800" w:type="dxa"/>
            <w:vAlign w:val="center"/>
          </w:tcPr>
          <w:p w14:paraId="116196B6" w14:textId="05EB57F9" w:rsidR="008764D4" w:rsidRDefault="008764D4">
            <w:pPr>
              <w:pStyle w:val="TableBody"/>
              <w:ind w:right="113"/>
              <w:jc w:val="right"/>
            </w:pPr>
            <w:r w:rsidRPr="00FD2B84">
              <w:t>$1.</w:t>
            </w:r>
            <w:r w:rsidR="00633DD1">
              <w:t>982</w:t>
            </w:r>
          </w:p>
        </w:tc>
        <w:tc>
          <w:tcPr>
            <w:tcW w:w="2437" w:type="dxa"/>
            <w:vAlign w:val="center"/>
          </w:tcPr>
          <w:p w14:paraId="67DF8CB8" w14:textId="5A211419" w:rsidR="008764D4" w:rsidRDefault="008764D4">
            <w:pPr>
              <w:pStyle w:val="TableBody"/>
              <w:ind w:right="113"/>
              <w:jc w:val="right"/>
            </w:pPr>
            <w:r w:rsidRPr="00FD2B84">
              <w:t>$2.</w:t>
            </w:r>
            <w:r w:rsidR="00633DD1">
              <w:t>204</w:t>
            </w:r>
          </w:p>
        </w:tc>
        <w:tc>
          <w:tcPr>
            <w:tcW w:w="1961" w:type="dxa"/>
            <w:vAlign w:val="center"/>
          </w:tcPr>
          <w:p w14:paraId="06266F6D" w14:textId="2408BA3E" w:rsidR="008764D4" w:rsidRDefault="008764D4">
            <w:pPr>
              <w:pStyle w:val="TableBody"/>
              <w:ind w:right="113"/>
              <w:jc w:val="right"/>
            </w:pPr>
            <w:r w:rsidRPr="00FD2B84">
              <w:t>$2.</w:t>
            </w:r>
            <w:r w:rsidR="000E624B">
              <w:t>426</w:t>
            </w:r>
          </w:p>
        </w:tc>
      </w:tr>
      <w:tr w:rsidR="008764D4" w14:paraId="20AA5E02" w14:textId="77777777" w:rsidTr="0F3B4C48">
        <w:trPr>
          <w:cnfStyle w:val="000000010000" w:firstRow="0" w:lastRow="0" w:firstColumn="0" w:lastColumn="0" w:oddVBand="0" w:evenVBand="0" w:oddHBand="0" w:evenHBand="1" w:firstRowFirstColumn="0" w:firstRowLastColumn="0" w:lastRowFirstColumn="0" w:lastRowLastColumn="0"/>
        </w:trPr>
        <w:tc>
          <w:tcPr>
            <w:tcW w:w="3162" w:type="dxa"/>
          </w:tcPr>
          <w:p w14:paraId="4751AAC0" w14:textId="77777777" w:rsidR="008764D4" w:rsidRDefault="008764D4">
            <w:pPr>
              <w:pStyle w:val="TableBody"/>
            </w:pPr>
            <w:r>
              <w:t>Detention rate ($/min)</w:t>
            </w:r>
          </w:p>
          <w:p w14:paraId="231057DA" w14:textId="77777777" w:rsidR="008764D4" w:rsidRDefault="008764D4">
            <w:pPr>
              <w:pStyle w:val="TableBody"/>
            </w:pPr>
            <w:r>
              <w:t>(when speed is below 21 km/hr)</w:t>
            </w:r>
          </w:p>
        </w:tc>
        <w:tc>
          <w:tcPr>
            <w:tcW w:w="1800" w:type="dxa"/>
            <w:vAlign w:val="center"/>
          </w:tcPr>
          <w:p w14:paraId="45070057" w14:textId="736EF533" w:rsidR="008764D4" w:rsidRDefault="008764D4">
            <w:pPr>
              <w:pStyle w:val="TableBody"/>
              <w:ind w:right="113"/>
              <w:jc w:val="right"/>
            </w:pPr>
            <w:r w:rsidRPr="00FD2B84">
              <w:t>$0.</w:t>
            </w:r>
            <w:r w:rsidR="00D01F2D" w:rsidRPr="00FD2B84">
              <w:t>6</w:t>
            </w:r>
            <w:r w:rsidR="00D01F2D">
              <w:t>94</w:t>
            </w:r>
          </w:p>
        </w:tc>
        <w:tc>
          <w:tcPr>
            <w:tcW w:w="2437" w:type="dxa"/>
            <w:vAlign w:val="center"/>
          </w:tcPr>
          <w:p w14:paraId="38A4E1A6" w14:textId="4FD2273E" w:rsidR="008764D4" w:rsidRDefault="008764D4">
            <w:pPr>
              <w:pStyle w:val="TableBody"/>
              <w:ind w:right="113"/>
              <w:jc w:val="right"/>
            </w:pPr>
            <w:r w:rsidRPr="00FD2B84">
              <w:t>$0.7</w:t>
            </w:r>
            <w:r>
              <w:t>7</w:t>
            </w:r>
            <w:r w:rsidR="00D01F2D">
              <w:t>1</w:t>
            </w:r>
          </w:p>
        </w:tc>
        <w:tc>
          <w:tcPr>
            <w:tcW w:w="1961" w:type="dxa"/>
            <w:vAlign w:val="center"/>
          </w:tcPr>
          <w:p w14:paraId="28716131" w14:textId="0B7840B8" w:rsidR="008764D4" w:rsidRDefault="008764D4">
            <w:pPr>
              <w:pStyle w:val="TableBody"/>
              <w:ind w:right="113"/>
              <w:jc w:val="right"/>
            </w:pPr>
            <w:r w:rsidRPr="00FD2B84">
              <w:t>$0.</w:t>
            </w:r>
            <w:r w:rsidR="00D01F2D">
              <w:t>849</w:t>
            </w:r>
          </w:p>
        </w:tc>
      </w:tr>
      <w:tr w:rsidR="008764D4" w14:paraId="24EFF7CB" w14:textId="77777777" w:rsidTr="0F3B4C48">
        <w:trPr>
          <w:cnfStyle w:val="000000100000" w:firstRow="0" w:lastRow="0" w:firstColumn="0" w:lastColumn="0" w:oddVBand="0" w:evenVBand="0" w:oddHBand="1" w:evenHBand="0" w:firstRowFirstColumn="0" w:firstRowLastColumn="0" w:lastRowFirstColumn="0" w:lastRowLastColumn="0"/>
        </w:trPr>
        <w:tc>
          <w:tcPr>
            <w:tcW w:w="7399" w:type="dxa"/>
            <w:gridSpan w:val="3"/>
            <w:vAlign w:val="center"/>
          </w:tcPr>
          <w:p w14:paraId="42E537F6" w14:textId="77777777" w:rsidR="008764D4" w:rsidRPr="00443EAE" w:rsidRDefault="008764D4">
            <w:pPr>
              <w:pStyle w:val="TableBody"/>
              <w:rPr>
                <w:b/>
                <w:bCs/>
              </w:rPr>
            </w:pPr>
            <w:r w:rsidRPr="00585D97">
              <w:rPr>
                <w:b/>
              </w:rPr>
              <w:t>Other fare components (applicable to tariffs 1, 2 and 3)</w:t>
            </w:r>
          </w:p>
        </w:tc>
        <w:tc>
          <w:tcPr>
            <w:tcW w:w="1961" w:type="dxa"/>
          </w:tcPr>
          <w:p w14:paraId="6EA0ABE9" w14:textId="77777777" w:rsidR="008764D4" w:rsidRPr="00443EAE" w:rsidRDefault="008764D4">
            <w:pPr>
              <w:pStyle w:val="TableBody"/>
              <w:jc w:val="right"/>
              <w:rPr>
                <w:b/>
                <w:bCs/>
              </w:rPr>
            </w:pPr>
            <w:r w:rsidRPr="00585D97">
              <w:rPr>
                <w:b/>
              </w:rPr>
              <w:t>Maximum</w:t>
            </w:r>
            <w:r>
              <w:rPr>
                <w:b/>
                <w:bCs/>
              </w:rPr>
              <w:br/>
            </w:r>
            <w:r w:rsidRPr="00443EAE">
              <w:rPr>
                <w:b/>
                <w:bCs/>
              </w:rPr>
              <w:t>charge up to</w:t>
            </w:r>
          </w:p>
        </w:tc>
      </w:tr>
      <w:tr w:rsidR="008764D4" w14:paraId="25108856" w14:textId="77777777" w:rsidTr="0F3B4C48">
        <w:trPr>
          <w:cnfStyle w:val="000000010000" w:firstRow="0" w:lastRow="0" w:firstColumn="0" w:lastColumn="0" w:oddVBand="0" w:evenVBand="0" w:oddHBand="0" w:evenHBand="1" w:firstRowFirstColumn="0" w:firstRowLastColumn="0" w:lastRowFirstColumn="0" w:lastRowLastColumn="0"/>
        </w:trPr>
        <w:tc>
          <w:tcPr>
            <w:tcW w:w="3162" w:type="dxa"/>
          </w:tcPr>
          <w:p w14:paraId="2501DAD3" w14:textId="77777777" w:rsidR="008764D4" w:rsidRDefault="008764D4" w:rsidP="0F3B4C48">
            <w:pPr>
              <w:pStyle w:val="TableBody"/>
              <w:rPr>
                <w:b/>
                <w:bCs/>
                <w:vertAlign w:val="superscript"/>
                <w:lang w:val="en-AU"/>
              </w:rPr>
            </w:pPr>
            <w:r w:rsidRPr="0F3B4C48">
              <w:rPr>
                <w:lang w:val="en-AU"/>
              </w:rPr>
              <w:t>High occupancy fee</w:t>
            </w:r>
            <w:r w:rsidRPr="0F3B4C48">
              <w:rPr>
                <w:b/>
                <w:bCs/>
                <w:vertAlign w:val="superscript"/>
                <w:lang w:val="en-AU"/>
              </w:rPr>
              <w:t>a</w:t>
            </w:r>
          </w:p>
        </w:tc>
        <w:tc>
          <w:tcPr>
            <w:tcW w:w="4237" w:type="dxa"/>
            <w:gridSpan w:val="2"/>
          </w:tcPr>
          <w:p w14:paraId="53348D58" w14:textId="77777777" w:rsidR="008764D4" w:rsidRDefault="008764D4">
            <w:pPr>
              <w:pStyle w:val="TableBody"/>
            </w:pPr>
          </w:p>
        </w:tc>
        <w:tc>
          <w:tcPr>
            <w:tcW w:w="1961" w:type="dxa"/>
            <w:vAlign w:val="center"/>
          </w:tcPr>
          <w:p w14:paraId="221F47C1" w14:textId="45EFD0D8" w:rsidR="008764D4" w:rsidRDefault="008764D4">
            <w:pPr>
              <w:pStyle w:val="TableBody"/>
              <w:ind w:right="113"/>
              <w:jc w:val="right"/>
            </w:pPr>
            <w:r w:rsidRPr="00732DE7">
              <w:t>$1</w:t>
            </w:r>
            <w:r>
              <w:t>7</w:t>
            </w:r>
            <w:r w:rsidRPr="00732DE7">
              <w:t>.</w:t>
            </w:r>
            <w:r w:rsidR="00D01F2D">
              <w:t>35</w:t>
            </w:r>
          </w:p>
        </w:tc>
      </w:tr>
      <w:tr w:rsidR="008764D4" w14:paraId="0B6C1278" w14:textId="77777777" w:rsidTr="0F3B4C48">
        <w:trPr>
          <w:cnfStyle w:val="000000100000" w:firstRow="0" w:lastRow="0" w:firstColumn="0" w:lastColumn="0" w:oddVBand="0" w:evenVBand="0" w:oddHBand="1" w:evenHBand="0" w:firstRowFirstColumn="0" w:firstRowLastColumn="0" w:lastRowFirstColumn="0" w:lastRowLastColumn="0"/>
        </w:trPr>
        <w:tc>
          <w:tcPr>
            <w:tcW w:w="3162" w:type="dxa"/>
          </w:tcPr>
          <w:p w14:paraId="064B2130" w14:textId="77777777" w:rsidR="008764D4" w:rsidRDefault="008764D4" w:rsidP="0F3B4C48">
            <w:pPr>
              <w:pStyle w:val="TableBody"/>
              <w:rPr>
                <w:b/>
                <w:bCs/>
                <w:vertAlign w:val="superscript"/>
                <w:lang w:val="en-AU"/>
              </w:rPr>
            </w:pPr>
            <w:r w:rsidRPr="0F3B4C48">
              <w:rPr>
                <w:lang w:val="en-AU"/>
              </w:rPr>
              <w:t>Airport taxi rank fee</w:t>
            </w:r>
            <w:r w:rsidRPr="0F3B4C48">
              <w:rPr>
                <w:b/>
                <w:bCs/>
                <w:vertAlign w:val="superscript"/>
                <w:lang w:val="en-AU"/>
              </w:rPr>
              <w:t>b</w:t>
            </w:r>
          </w:p>
        </w:tc>
        <w:tc>
          <w:tcPr>
            <w:tcW w:w="4237" w:type="dxa"/>
            <w:gridSpan w:val="2"/>
          </w:tcPr>
          <w:p w14:paraId="0B44EF07" w14:textId="77777777" w:rsidR="008764D4" w:rsidRDefault="008764D4">
            <w:pPr>
              <w:pStyle w:val="TableBody"/>
            </w:pPr>
            <w:r w:rsidRPr="00732DE7">
              <w:t>For trips from the airport rank</w:t>
            </w:r>
          </w:p>
        </w:tc>
        <w:tc>
          <w:tcPr>
            <w:tcW w:w="1961" w:type="dxa"/>
            <w:vAlign w:val="center"/>
          </w:tcPr>
          <w:p w14:paraId="6E92A90C" w14:textId="77777777" w:rsidR="008764D4" w:rsidRDefault="008764D4">
            <w:pPr>
              <w:pStyle w:val="TableBody"/>
              <w:ind w:right="113"/>
              <w:jc w:val="right"/>
            </w:pPr>
            <w:r w:rsidRPr="00732DE7">
              <w:t>Pass-through</w:t>
            </w:r>
          </w:p>
        </w:tc>
      </w:tr>
      <w:tr w:rsidR="008764D4" w14:paraId="36DC9321" w14:textId="77777777" w:rsidTr="0F3B4C48">
        <w:trPr>
          <w:cnfStyle w:val="000000010000" w:firstRow="0" w:lastRow="0" w:firstColumn="0" w:lastColumn="0" w:oddVBand="0" w:evenVBand="0" w:oddHBand="0" w:evenHBand="1" w:firstRowFirstColumn="0" w:firstRowLastColumn="0" w:lastRowFirstColumn="0" w:lastRowLastColumn="0"/>
        </w:trPr>
        <w:tc>
          <w:tcPr>
            <w:tcW w:w="3162" w:type="dxa"/>
          </w:tcPr>
          <w:p w14:paraId="4C0D48A7" w14:textId="77777777" w:rsidR="008764D4" w:rsidRDefault="008764D4" w:rsidP="0F3B4C48">
            <w:pPr>
              <w:pStyle w:val="TableBody"/>
              <w:rPr>
                <w:b/>
                <w:bCs/>
                <w:vertAlign w:val="superscript"/>
                <w:lang w:val="en-AU"/>
              </w:rPr>
            </w:pPr>
            <w:r w:rsidRPr="0F3B4C48">
              <w:rPr>
                <w:lang w:val="en-AU"/>
              </w:rPr>
              <w:t>Holiday rate</w:t>
            </w:r>
            <w:r w:rsidRPr="0F3B4C48">
              <w:rPr>
                <w:b/>
                <w:bCs/>
                <w:vertAlign w:val="superscript"/>
                <w:lang w:val="en-AU"/>
              </w:rPr>
              <w:t>c</w:t>
            </w:r>
          </w:p>
        </w:tc>
        <w:tc>
          <w:tcPr>
            <w:tcW w:w="4237" w:type="dxa"/>
            <w:gridSpan w:val="2"/>
          </w:tcPr>
          <w:p w14:paraId="34A91E50" w14:textId="77777777" w:rsidR="008764D4" w:rsidRDefault="008764D4">
            <w:pPr>
              <w:pStyle w:val="TableBody"/>
            </w:pPr>
          </w:p>
        </w:tc>
        <w:tc>
          <w:tcPr>
            <w:tcW w:w="1961" w:type="dxa"/>
            <w:vAlign w:val="center"/>
          </w:tcPr>
          <w:p w14:paraId="56FCAF43" w14:textId="77777777" w:rsidR="008764D4" w:rsidRDefault="008764D4">
            <w:pPr>
              <w:pStyle w:val="TableBody"/>
              <w:ind w:right="113"/>
              <w:jc w:val="right"/>
            </w:pPr>
            <w:r w:rsidRPr="00732DE7">
              <w:t>Tariff 3 rates</w:t>
            </w:r>
          </w:p>
        </w:tc>
      </w:tr>
      <w:tr w:rsidR="008764D4" w14:paraId="135EE9E4" w14:textId="77777777" w:rsidTr="0F3B4C48">
        <w:trPr>
          <w:cnfStyle w:val="000000100000" w:firstRow="0" w:lastRow="0" w:firstColumn="0" w:lastColumn="0" w:oddVBand="0" w:evenVBand="0" w:oddHBand="1" w:evenHBand="0" w:firstRowFirstColumn="0" w:firstRowLastColumn="0" w:lastRowFirstColumn="0" w:lastRowLastColumn="0"/>
        </w:trPr>
        <w:tc>
          <w:tcPr>
            <w:tcW w:w="3162" w:type="dxa"/>
          </w:tcPr>
          <w:p w14:paraId="47052125" w14:textId="77777777" w:rsidR="008764D4" w:rsidRDefault="008764D4">
            <w:pPr>
              <w:pStyle w:val="TableBody"/>
            </w:pPr>
            <w:r w:rsidRPr="00732DE7">
              <w:t>CPV levy recovery fee</w:t>
            </w:r>
          </w:p>
        </w:tc>
        <w:tc>
          <w:tcPr>
            <w:tcW w:w="4237" w:type="dxa"/>
            <w:gridSpan w:val="2"/>
          </w:tcPr>
          <w:p w14:paraId="2AD55F36" w14:textId="77777777" w:rsidR="008764D4" w:rsidRDefault="008764D4">
            <w:pPr>
              <w:pStyle w:val="TableBody"/>
            </w:pPr>
          </w:p>
        </w:tc>
        <w:tc>
          <w:tcPr>
            <w:tcW w:w="1961" w:type="dxa"/>
            <w:vAlign w:val="center"/>
          </w:tcPr>
          <w:p w14:paraId="56B25B21" w14:textId="77777777" w:rsidR="008764D4" w:rsidRDefault="008764D4">
            <w:pPr>
              <w:pStyle w:val="TableBody"/>
              <w:ind w:right="113"/>
              <w:jc w:val="right"/>
            </w:pPr>
            <w:r w:rsidRPr="00732DE7">
              <w:t>Pass-through</w:t>
            </w:r>
          </w:p>
        </w:tc>
      </w:tr>
      <w:tr w:rsidR="008764D4" w14:paraId="73995AF1" w14:textId="77777777" w:rsidTr="0F3B4C48">
        <w:trPr>
          <w:cnfStyle w:val="000000010000" w:firstRow="0" w:lastRow="0" w:firstColumn="0" w:lastColumn="0" w:oddVBand="0" w:evenVBand="0" w:oddHBand="0" w:evenHBand="1" w:firstRowFirstColumn="0" w:firstRowLastColumn="0" w:lastRowFirstColumn="0" w:lastRowLastColumn="0"/>
        </w:trPr>
        <w:tc>
          <w:tcPr>
            <w:tcW w:w="3162" w:type="dxa"/>
          </w:tcPr>
          <w:p w14:paraId="3B3F8EB2" w14:textId="77777777" w:rsidR="008764D4" w:rsidRDefault="008764D4" w:rsidP="0F3B4C48">
            <w:pPr>
              <w:pStyle w:val="TableBody"/>
              <w:rPr>
                <w:b/>
                <w:bCs/>
                <w:vertAlign w:val="superscript"/>
                <w:lang w:val="en-AU"/>
              </w:rPr>
            </w:pPr>
            <w:r w:rsidRPr="0F3B4C48">
              <w:rPr>
                <w:lang w:val="en-AU"/>
              </w:rPr>
              <w:t>CityLink and EastLink tolls</w:t>
            </w:r>
            <w:r w:rsidRPr="0F3B4C48">
              <w:rPr>
                <w:b/>
                <w:bCs/>
                <w:vertAlign w:val="superscript"/>
                <w:lang w:val="en-AU"/>
              </w:rPr>
              <w:t>d</w:t>
            </w:r>
          </w:p>
        </w:tc>
        <w:tc>
          <w:tcPr>
            <w:tcW w:w="4237" w:type="dxa"/>
            <w:gridSpan w:val="2"/>
          </w:tcPr>
          <w:p w14:paraId="1052055A" w14:textId="77777777" w:rsidR="008764D4" w:rsidRDefault="008764D4">
            <w:pPr>
              <w:pStyle w:val="TableBody"/>
            </w:pPr>
          </w:p>
        </w:tc>
        <w:tc>
          <w:tcPr>
            <w:tcW w:w="1961" w:type="dxa"/>
            <w:vAlign w:val="center"/>
          </w:tcPr>
          <w:p w14:paraId="35A41A7F" w14:textId="77777777" w:rsidR="008764D4" w:rsidRDefault="008764D4">
            <w:pPr>
              <w:pStyle w:val="TableBody"/>
              <w:ind w:right="113"/>
              <w:jc w:val="right"/>
            </w:pPr>
            <w:r w:rsidRPr="00732DE7">
              <w:t>Pass-through</w:t>
            </w:r>
          </w:p>
        </w:tc>
      </w:tr>
      <w:tr w:rsidR="008764D4" w14:paraId="03913237" w14:textId="77777777" w:rsidTr="0F3B4C48">
        <w:trPr>
          <w:cnfStyle w:val="000000100000" w:firstRow="0" w:lastRow="0" w:firstColumn="0" w:lastColumn="0" w:oddVBand="0" w:evenVBand="0" w:oddHBand="1" w:evenHBand="0" w:firstRowFirstColumn="0" w:firstRowLastColumn="0" w:lastRowFirstColumn="0" w:lastRowLastColumn="0"/>
        </w:trPr>
        <w:tc>
          <w:tcPr>
            <w:tcW w:w="3162" w:type="dxa"/>
          </w:tcPr>
          <w:p w14:paraId="5D42C377" w14:textId="77777777" w:rsidR="008764D4" w:rsidRDefault="008764D4">
            <w:pPr>
              <w:pStyle w:val="TableBody"/>
            </w:pPr>
            <w:r w:rsidRPr="00732DE7">
              <w:t>Cleaning fee</w:t>
            </w:r>
          </w:p>
        </w:tc>
        <w:tc>
          <w:tcPr>
            <w:tcW w:w="6198" w:type="dxa"/>
            <w:gridSpan w:val="3"/>
            <w:vAlign w:val="center"/>
          </w:tcPr>
          <w:p w14:paraId="65518611" w14:textId="77777777" w:rsidR="008764D4" w:rsidRDefault="008764D4">
            <w:pPr>
              <w:pStyle w:val="TableBody"/>
              <w:jc w:val="right"/>
            </w:pPr>
            <w:r w:rsidRPr="00732DE7">
              <w:t>Up to a maximum of $120</w:t>
            </w:r>
          </w:p>
        </w:tc>
      </w:tr>
    </w:tbl>
    <w:p w14:paraId="74401B01" w14:textId="6D04E68B" w:rsidR="008764D4" w:rsidRPr="00AC6879" w:rsidRDefault="008764D4" w:rsidP="008764D4">
      <w:pPr>
        <w:pStyle w:val="Source"/>
        <w:spacing w:after="120" w:line="288" w:lineRule="auto"/>
        <w:jc w:val="left"/>
        <w:rPr>
          <w:rFonts w:ascii="Arial" w:eastAsia="Times New Roman" w:hAnsi="Arial" w:cs="Arial"/>
          <w:iCs w:val="0"/>
          <w:color w:val="4986A0"/>
        </w:rPr>
      </w:pPr>
      <w:r w:rsidRPr="00AC6879">
        <w:rPr>
          <w:vertAlign w:val="superscript"/>
        </w:rPr>
        <w:t>a</w:t>
      </w:r>
      <w:r w:rsidRPr="00AC6879">
        <w:rPr>
          <w:rFonts w:ascii="Arial" w:eastAsia="Times New Roman" w:hAnsi="Arial" w:cs="Arial"/>
          <w:iCs w:val="0"/>
          <w:color w:val="4986A0"/>
        </w:rPr>
        <w:t xml:space="preserve"> For taxis carrying </w:t>
      </w:r>
      <w:r>
        <w:rPr>
          <w:rFonts w:ascii="Arial" w:eastAsia="Times New Roman" w:hAnsi="Arial" w:cs="Arial"/>
          <w:iCs w:val="0"/>
          <w:color w:val="4986A0"/>
        </w:rPr>
        <w:t>five or more</w:t>
      </w:r>
      <w:r w:rsidRPr="00AC6879">
        <w:rPr>
          <w:rFonts w:ascii="Arial" w:eastAsia="Times New Roman" w:hAnsi="Arial" w:cs="Arial"/>
          <w:iCs w:val="0"/>
          <w:color w:val="4986A0"/>
        </w:rPr>
        <w:t xml:space="preserve"> passengers (excluding children under 5)</w:t>
      </w:r>
      <w:r>
        <w:rPr>
          <w:rFonts w:ascii="Arial" w:eastAsia="Times New Roman" w:hAnsi="Arial" w:cs="Arial"/>
          <w:iCs w:val="0"/>
          <w:color w:val="4986A0"/>
        </w:rPr>
        <w:t xml:space="preserve"> or where </w:t>
      </w:r>
      <w:r w:rsidRPr="005073B8">
        <w:rPr>
          <w:rFonts w:ascii="Arial" w:eastAsia="Times New Roman" w:hAnsi="Arial" w:cs="Arial"/>
          <w:iCs w:val="0"/>
          <w:color w:val="4986A0"/>
        </w:rPr>
        <w:t xml:space="preserve">a </w:t>
      </w:r>
      <w:r w:rsidR="001707A0">
        <w:rPr>
          <w:rFonts w:ascii="Arial" w:eastAsia="Times New Roman" w:hAnsi="Arial" w:cs="Arial"/>
          <w:iCs w:val="0"/>
          <w:color w:val="4986A0"/>
        </w:rPr>
        <w:t xml:space="preserve">vehicle </w:t>
      </w:r>
      <w:r w:rsidRPr="005073B8">
        <w:rPr>
          <w:rFonts w:ascii="Arial" w:eastAsia="Times New Roman" w:hAnsi="Arial" w:cs="Arial"/>
          <w:iCs w:val="0"/>
          <w:color w:val="4986A0"/>
        </w:rPr>
        <w:t xml:space="preserve">larger than </w:t>
      </w:r>
      <w:r w:rsidR="001707A0">
        <w:rPr>
          <w:rFonts w:ascii="Arial" w:eastAsia="Times New Roman" w:hAnsi="Arial" w:cs="Arial"/>
          <w:iCs w:val="0"/>
          <w:color w:val="4986A0"/>
        </w:rPr>
        <w:t>a</w:t>
      </w:r>
      <w:r w:rsidRPr="005073B8">
        <w:rPr>
          <w:rFonts w:ascii="Arial" w:eastAsia="Times New Roman" w:hAnsi="Arial" w:cs="Arial"/>
          <w:iCs w:val="0"/>
          <w:color w:val="4986A0"/>
        </w:rPr>
        <w:t xml:space="preserve"> standard </w:t>
      </w:r>
      <w:r w:rsidR="00802DC4">
        <w:rPr>
          <w:rFonts w:ascii="Arial" w:eastAsia="Times New Roman" w:hAnsi="Arial" w:cs="Arial"/>
          <w:iCs w:val="0"/>
          <w:color w:val="4986A0"/>
        </w:rPr>
        <w:t>taxi</w:t>
      </w:r>
      <w:r w:rsidRPr="005073B8">
        <w:rPr>
          <w:rFonts w:ascii="Arial" w:eastAsia="Times New Roman" w:hAnsi="Arial" w:cs="Arial"/>
          <w:iCs w:val="0"/>
          <w:color w:val="4986A0"/>
        </w:rPr>
        <w:t xml:space="preserve"> </w:t>
      </w:r>
      <w:r w:rsidR="009F025C">
        <w:rPr>
          <w:rFonts w:ascii="Arial" w:eastAsia="Times New Roman" w:hAnsi="Arial" w:cs="Arial"/>
          <w:iCs w:val="0"/>
          <w:color w:val="4986A0"/>
        </w:rPr>
        <w:t>is require</w:t>
      </w:r>
      <w:r w:rsidR="00727F42">
        <w:rPr>
          <w:rFonts w:ascii="Arial" w:eastAsia="Times New Roman" w:hAnsi="Arial" w:cs="Arial"/>
          <w:iCs w:val="0"/>
          <w:color w:val="4986A0"/>
        </w:rPr>
        <w:t>d</w:t>
      </w:r>
      <w:r w:rsidRPr="005073B8">
        <w:rPr>
          <w:rFonts w:ascii="Arial" w:eastAsia="Times New Roman" w:hAnsi="Arial" w:cs="Arial"/>
          <w:iCs w:val="0"/>
          <w:color w:val="4986A0"/>
        </w:rPr>
        <w:t xml:space="preserve"> regardless of the number of passengers (except where the </w:t>
      </w:r>
      <w:r w:rsidR="00CE17FE">
        <w:rPr>
          <w:rFonts w:ascii="Arial" w:eastAsia="Times New Roman" w:hAnsi="Arial" w:cs="Arial"/>
          <w:iCs w:val="0"/>
          <w:color w:val="4986A0"/>
        </w:rPr>
        <w:t>vehicle</w:t>
      </w:r>
      <w:r w:rsidRPr="005073B8">
        <w:rPr>
          <w:rFonts w:ascii="Arial" w:eastAsia="Times New Roman" w:hAnsi="Arial" w:cs="Arial"/>
          <w:iCs w:val="0"/>
          <w:color w:val="4986A0"/>
        </w:rPr>
        <w:t xml:space="preserve"> </w:t>
      </w:r>
      <w:r w:rsidR="00886E3E">
        <w:rPr>
          <w:rFonts w:ascii="Arial" w:eastAsia="Times New Roman" w:hAnsi="Arial" w:cs="Arial"/>
          <w:iCs w:val="0"/>
          <w:color w:val="4986A0"/>
        </w:rPr>
        <w:t>has been hired</w:t>
      </w:r>
      <w:r w:rsidRPr="005073B8">
        <w:rPr>
          <w:rFonts w:ascii="Arial" w:eastAsia="Times New Roman" w:hAnsi="Arial" w:cs="Arial"/>
          <w:iCs w:val="0"/>
          <w:color w:val="4986A0"/>
        </w:rPr>
        <w:t xml:space="preserve"> for </w:t>
      </w:r>
      <w:r w:rsidR="00CB0EB6">
        <w:rPr>
          <w:rFonts w:ascii="Arial" w:eastAsia="Times New Roman" w:hAnsi="Arial" w:cs="Arial"/>
          <w:iCs w:val="0"/>
          <w:color w:val="4986A0"/>
        </w:rPr>
        <w:t>the carriage of</w:t>
      </w:r>
      <w:r w:rsidRPr="005073B8">
        <w:rPr>
          <w:rFonts w:ascii="Arial" w:eastAsia="Times New Roman" w:hAnsi="Arial" w:cs="Arial"/>
          <w:iCs w:val="0"/>
          <w:color w:val="4986A0"/>
        </w:rPr>
        <w:t xml:space="preserve"> one or more persons who use a wheelchair or other mobility aid)</w:t>
      </w:r>
      <w:r w:rsidRPr="00AC6879">
        <w:rPr>
          <w:rFonts w:ascii="Arial" w:eastAsia="Times New Roman" w:hAnsi="Arial" w:cs="Arial"/>
          <w:iCs w:val="0"/>
          <w:color w:val="4986A0"/>
        </w:rPr>
        <w:t xml:space="preserve">. </w:t>
      </w:r>
      <w:r w:rsidRPr="00AC6879">
        <w:rPr>
          <w:rFonts w:ascii="Arial" w:eastAsia="Times New Roman" w:hAnsi="Arial" w:cs="Arial"/>
          <w:iCs w:val="0"/>
          <w:color w:val="4986A0"/>
          <w:vertAlign w:val="superscript"/>
        </w:rPr>
        <w:t>b</w:t>
      </w:r>
      <w:r w:rsidRPr="00AC6879">
        <w:rPr>
          <w:rFonts w:ascii="Arial" w:eastAsia="Times New Roman" w:hAnsi="Arial" w:cs="Arial"/>
          <w:iCs w:val="0"/>
          <w:color w:val="4986A0"/>
        </w:rPr>
        <w:t xml:space="preserve"> As published by that airport in a daily newspaper generally circulating in Victoria </w:t>
      </w:r>
      <w:r w:rsidR="00904583">
        <w:rPr>
          <w:rFonts w:ascii="Arial" w:eastAsia="Times New Roman" w:hAnsi="Arial" w:cs="Arial"/>
          <w:iCs w:val="0"/>
          <w:color w:val="4986A0"/>
        </w:rPr>
        <w:t>or</w:t>
      </w:r>
      <w:r w:rsidR="00904583" w:rsidRPr="00AC6879">
        <w:rPr>
          <w:rFonts w:ascii="Arial" w:eastAsia="Times New Roman" w:hAnsi="Arial" w:cs="Arial"/>
          <w:iCs w:val="0"/>
          <w:color w:val="4986A0"/>
        </w:rPr>
        <w:t xml:space="preserve"> </w:t>
      </w:r>
      <w:r w:rsidRPr="00AC6879">
        <w:rPr>
          <w:rFonts w:ascii="Arial" w:eastAsia="Times New Roman" w:hAnsi="Arial" w:cs="Arial"/>
          <w:iCs w:val="0"/>
          <w:color w:val="4986A0"/>
        </w:rPr>
        <w:t xml:space="preserve">on that airport’s website. </w:t>
      </w:r>
      <w:r w:rsidRPr="00AC6879">
        <w:rPr>
          <w:rFonts w:ascii="Arial" w:eastAsia="Times New Roman" w:hAnsi="Arial" w:cs="Arial"/>
          <w:iCs w:val="0"/>
          <w:color w:val="4986A0"/>
          <w:vertAlign w:val="superscript"/>
        </w:rPr>
        <w:t>c</w:t>
      </w:r>
      <w:r w:rsidRPr="00AC6879">
        <w:rPr>
          <w:rFonts w:ascii="Arial" w:eastAsia="Times New Roman" w:hAnsi="Arial" w:cs="Arial"/>
          <w:iCs w:val="0"/>
          <w:color w:val="4986A0"/>
        </w:rPr>
        <w:t xml:space="preserve"> For trips commencing on Christmas Day, Boxing Day, New Year’s Day and from 6pm on New Year’s Eve. </w:t>
      </w:r>
      <w:r w:rsidRPr="00AC6879">
        <w:rPr>
          <w:rFonts w:ascii="Arial" w:eastAsia="Times New Roman" w:hAnsi="Arial" w:cs="Arial"/>
          <w:iCs w:val="0"/>
          <w:color w:val="4986A0"/>
          <w:vertAlign w:val="superscript"/>
        </w:rPr>
        <w:t>d</w:t>
      </w:r>
      <w:r w:rsidRPr="00AC6879">
        <w:rPr>
          <w:rFonts w:ascii="Arial" w:eastAsia="Times New Roman" w:hAnsi="Arial" w:cs="Arial"/>
          <w:iCs w:val="0"/>
          <w:color w:val="4986A0"/>
        </w:rPr>
        <w:t xml:space="preserve"> As published from time to time in the </w:t>
      </w:r>
      <w:r w:rsidRPr="00AC6879">
        <w:rPr>
          <w:rFonts w:ascii="Arial" w:eastAsia="Times New Roman" w:hAnsi="Arial" w:cs="Arial"/>
          <w:i/>
          <w:color w:val="4986A0"/>
        </w:rPr>
        <w:t>Victorian Government Gazette</w:t>
      </w:r>
      <w:r w:rsidRPr="00AC6879">
        <w:rPr>
          <w:rFonts w:ascii="Arial" w:eastAsia="Times New Roman" w:hAnsi="Arial" w:cs="Arial"/>
          <w:iCs w:val="0"/>
          <w:color w:val="4986A0"/>
        </w:rPr>
        <w:t xml:space="preserve"> in accordance with the </w:t>
      </w:r>
      <w:r w:rsidRPr="00AC6879">
        <w:rPr>
          <w:rFonts w:ascii="Arial" w:eastAsia="Times New Roman" w:hAnsi="Arial" w:cs="Arial"/>
          <w:i/>
          <w:color w:val="4986A0"/>
        </w:rPr>
        <w:t>Melbourne City Link Act 1995</w:t>
      </w:r>
      <w:r w:rsidRPr="00AC6879">
        <w:rPr>
          <w:rFonts w:ascii="Arial" w:eastAsia="Times New Roman" w:hAnsi="Arial" w:cs="Arial"/>
          <w:iCs w:val="0"/>
          <w:color w:val="4986A0"/>
        </w:rPr>
        <w:t xml:space="preserve"> or the </w:t>
      </w:r>
      <w:r w:rsidRPr="00AC6879">
        <w:rPr>
          <w:rFonts w:ascii="Arial" w:eastAsia="Times New Roman" w:hAnsi="Arial" w:cs="Arial"/>
          <w:i/>
          <w:color w:val="4986A0"/>
        </w:rPr>
        <w:t>EastLink Project Act 2004</w:t>
      </w:r>
      <w:r w:rsidRPr="00AC6879">
        <w:rPr>
          <w:rFonts w:ascii="Arial" w:eastAsia="Times New Roman" w:hAnsi="Arial" w:cs="Arial"/>
          <w:iCs w:val="0"/>
          <w:color w:val="4986A0"/>
        </w:rPr>
        <w:t xml:space="preserve"> as applicable.</w:t>
      </w:r>
    </w:p>
    <w:p w14:paraId="5A58E9F3" w14:textId="77777777" w:rsidR="008764D4" w:rsidRDefault="008764D4" w:rsidP="008764D4">
      <w:pPr>
        <w:spacing w:before="0" w:line="259" w:lineRule="auto"/>
        <w:rPr>
          <w:rFonts w:asciiTheme="majorHAnsi" w:eastAsiaTheme="majorEastAsia" w:hAnsiTheme="majorHAnsi" w:cstheme="majorBidi"/>
          <w:b/>
          <w:color w:val="4986A0" w:themeColor="text2"/>
          <w:szCs w:val="24"/>
          <w:lang w:val="en-US"/>
        </w:rPr>
      </w:pPr>
      <w:r>
        <w:br w:type="page"/>
      </w:r>
    </w:p>
    <w:p w14:paraId="20140165" w14:textId="06FE4CCA" w:rsidR="008764D4" w:rsidRDefault="008764D4" w:rsidP="008764D4">
      <w:pPr>
        <w:pStyle w:val="Figure-Table-BoxHeading"/>
        <w:ind w:left="1276" w:hanging="1276"/>
      </w:pPr>
      <w:r w:rsidRPr="0F3B4C48">
        <w:rPr>
          <w:lang w:val="en-AU"/>
        </w:rPr>
        <w:lastRenderedPageBreak/>
        <w:t xml:space="preserve">Table A.2 </w:t>
      </w:r>
      <w:r>
        <w:tab/>
      </w:r>
      <w:r w:rsidRPr="0F3B4C48">
        <w:rPr>
          <w:lang w:val="en-AU"/>
        </w:rPr>
        <w:t xml:space="preserve">Maximum fares for unbooked taxi services that begin in the Melbourne Metropolitan </w:t>
      </w:r>
      <w:r w:rsidR="000543E8">
        <w:rPr>
          <w:lang w:val="en-AU"/>
        </w:rPr>
        <w:t xml:space="preserve">Zone </w:t>
      </w:r>
      <w:r w:rsidRPr="0F3B4C48">
        <w:rPr>
          <w:lang w:val="en-AU"/>
        </w:rPr>
        <w:t xml:space="preserve">or the </w:t>
      </w:r>
      <w:r w:rsidR="00751820">
        <w:rPr>
          <w:lang w:val="en-AU"/>
        </w:rPr>
        <w:t>U</w:t>
      </w:r>
      <w:r w:rsidRPr="0F3B4C48">
        <w:rPr>
          <w:lang w:val="en-AU"/>
        </w:rPr>
        <w:t xml:space="preserve">rban area (Dandenong, Frankston and the Mornington Peninsula) of the Urban and Large Regional Zone – ‘time </w:t>
      </w:r>
      <w:r w:rsidRPr="0F3B4C48">
        <w:rPr>
          <w:u w:val="single"/>
          <w:lang w:val="en-AU"/>
        </w:rPr>
        <w:t>and</w:t>
      </w:r>
      <w:r w:rsidRPr="0F3B4C48">
        <w:rPr>
          <w:lang w:val="en-AU"/>
        </w:rPr>
        <w:t xml:space="preserve"> distance’ tariffs </w:t>
      </w:r>
    </w:p>
    <w:tbl>
      <w:tblPr>
        <w:tblStyle w:val="TableGrid"/>
        <w:tblW w:w="0" w:type="auto"/>
        <w:tblLook w:val="04A0" w:firstRow="1" w:lastRow="0" w:firstColumn="1" w:lastColumn="0" w:noHBand="0" w:noVBand="1"/>
      </w:tblPr>
      <w:tblGrid>
        <w:gridCol w:w="3523"/>
        <w:gridCol w:w="1945"/>
        <w:gridCol w:w="1946"/>
        <w:gridCol w:w="1946"/>
      </w:tblGrid>
      <w:tr w:rsidR="008764D4" w14:paraId="5FA5335F" w14:textId="77777777" w:rsidTr="0F3B4C48">
        <w:trPr>
          <w:cnfStyle w:val="100000000000" w:firstRow="1" w:lastRow="0" w:firstColumn="0" w:lastColumn="0" w:oddVBand="0" w:evenVBand="0" w:oddHBand="0" w:evenHBand="0" w:firstRowFirstColumn="0" w:firstRowLastColumn="0" w:lastRowFirstColumn="0" w:lastRowLastColumn="0"/>
        </w:trPr>
        <w:tc>
          <w:tcPr>
            <w:tcW w:w="3523" w:type="dxa"/>
          </w:tcPr>
          <w:p w14:paraId="3A864BAB" w14:textId="77777777" w:rsidR="008764D4" w:rsidRDefault="008764D4">
            <w:pPr>
              <w:pStyle w:val="TableHeading"/>
            </w:pPr>
          </w:p>
        </w:tc>
        <w:tc>
          <w:tcPr>
            <w:tcW w:w="1945" w:type="dxa"/>
          </w:tcPr>
          <w:p w14:paraId="4D11C001" w14:textId="77777777" w:rsidR="008764D4" w:rsidRPr="002842BD" w:rsidRDefault="008764D4">
            <w:pPr>
              <w:pStyle w:val="TableHeading"/>
              <w:ind w:right="113"/>
              <w:jc w:val="right"/>
            </w:pPr>
            <w:r w:rsidRPr="002842BD">
              <w:t>Tariff 1</w:t>
            </w:r>
          </w:p>
          <w:p w14:paraId="3CFFBAE2" w14:textId="77777777" w:rsidR="008764D4" w:rsidRPr="002842BD" w:rsidRDefault="008764D4">
            <w:pPr>
              <w:pStyle w:val="TableHeading"/>
              <w:ind w:right="113"/>
              <w:jc w:val="right"/>
            </w:pPr>
            <w:r w:rsidRPr="002842BD">
              <w:t>‘Day’</w:t>
            </w:r>
          </w:p>
          <w:p w14:paraId="39B145BF" w14:textId="77777777" w:rsidR="008764D4" w:rsidRDefault="008764D4">
            <w:pPr>
              <w:pStyle w:val="TableHeading"/>
              <w:ind w:right="113"/>
              <w:jc w:val="right"/>
            </w:pPr>
            <w:r w:rsidRPr="002842BD">
              <w:t>(9am–5pm)</w:t>
            </w:r>
          </w:p>
        </w:tc>
        <w:tc>
          <w:tcPr>
            <w:tcW w:w="1946" w:type="dxa"/>
          </w:tcPr>
          <w:p w14:paraId="60CD7B77" w14:textId="77777777" w:rsidR="008764D4" w:rsidRPr="002842BD" w:rsidRDefault="008764D4">
            <w:pPr>
              <w:pStyle w:val="TableHeading"/>
              <w:ind w:right="113"/>
              <w:jc w:val="right"/>
            </w:pPr>
            <w:r w:rsidRPr="002842BD">
              <w:t>Tariff 2</w:t>
            </w:r>
          </w:p>
          <w:p w14:paraId="46065E38" w14:textId="77777777" w:rsidR="008764D4" w:rsidRPr="002842BD" w:rsidRDefault="008764D4">
            <w:pPr>
              <w:pStyle w:val="TableHeading"/>
              <w:ind w:right="113"/>
              <w:jc w:val="right"/>
            </w:pPr>
            <w:r w:rsidRPr="002842BD">
              <w:t>‘Overnight’</w:t>
            </w:r>
          </w:p>
          <w:p w14:paraId="7D5969F3" w14:textId="77777777" w:rsidR="008764D4" w:rsidRDefault="008764D4">
            <w:pPr>
              <w:pStyle w:val="TableHeading"/>
              <w:ind w:right="113"/>
              <w:jc w:val="right"/>
            </w:pPr>
            <w:r w:rsidRPr="002842BD">
              <w:t>(5pm–9am, excluding peak)</w:t>
            </w:r>
          </w:p>
        </w:tc>
        <w:tc>
          <w:tcPr>
            <w:tcW w:w="1946" w:type="dxa"/>
          </w:tcPr>
          <w:p w14:paraId="6A4286C9" w14:textId="77777777" w:rsidR="008764D4" w:rsidRPr="002842BD" w:rsidRDefault="008764D4">
            <w:pPr>
              <w:pStyle w:val="TableHeading"/>
              <w:ind w:right="113"/>
              <w:jc w:val="right"/>
            </w:pPr>
            <w:r w:rsidRPr="002842BD">
              <w:t>Tariff 3</w:t>
            </w:r>
          </w:p>
          <w:p w14:paraId="1539C26F" w14:textId="77777777" w:rsidR="008764D4" w:rsidRPr="002842BD" w:rsidRDefault="008764D4">
            <w:pPr>
              <w:pStyle w:val="TableHeading"/>
              <w:ind w:right="113"/>
              <w:jc w:val="right"/>
            </w:pPr>
            <w:r w:rsidRPr="002842BD">
              <w:t>‘Peak’</w:t>
            </w:r>
          </w:p>
          <w:p w14:paraId="63E4E800" w14:textId="77777777" w:rsidR="008764D4" w:rsidRDefault="008764D4">
            <w:pPr>
              <w:pStyle w:val="TableHeading"/>
              <w:ind w:right="113"/>
              <w:jc w:val="right"/>
            </w:pPr>
            <w:r w:rsidRPr="002842BD">
              <w:t>(Fri &amp; Sat nights 10pm–4am)</w:t>
            </w:r>
          </w:p>
        </w:tc>
      </w:tr>
      <w:tr w:rsidR="008764D4" w14:paraId="32CD2C3F" w14:textId="77777777" w:rsidTr="0F3B4C48">
        <w:trPr>
          <w:cnfStyle w:val="000000100000" w:firstRow="0" w:lastRow="0" w:firstColumn="0" w:lastColumn="0" w:oddVBand="0" w:evenVBand="0" w:oddHBand="1" w:evenHBand="0" w:firstRowFirstColumn="0" w:firstRowLastColumn="0" w:lastRowFirstColumn="0" w:lastRowLastColumn="0"/>
        </w:trPr>
        <w:tc>
          <w:tcPr>
            <w:tcW w:w="3523" w:type="dxa"/>
          </w:tcPr>
          <w:p w14:paraId="5FB0A883" w14:textId="77777777" w:rsidR="008764D4" w:rsidRPr="00585D97" w:rsidRDefault="008764D4">
            <w:pPr>
              <w:pStyle w:val="TableBody"/>
              <w:rPr>
                <w:b/>
              </w:rPr>
            </w:pPr>
            <w:r w:rsidRPr="00585D97">
              <w:rPr>
                <w:b/>
              </w:rPr>
              <w:t>Standard fare components</w:t>
            </w:r>
          </w:p>
        </w:tc>
        <w:tc>
          <w:tcPr>
            <w:tcW w:w="5837" w:type="dxa"/>
            <w:gridSpan w:val="3"/>
            <w:vAlign w:val="center"/>
          </w:tcPr>
          <w:p w14:paraId="173DA41A" w14:textId="77777777" w:rsidR="008764D4" w:rsidRPr="00585D97" w:rsidRDefault="008764D4">
            <w:pPr>
              <w:pStyle w:val="TableBody"/>
              <w:jc w:val="center"/>
              <w:rPr>
                <w:b/>
              </w:rPr>
            </w:pPr>
            <w:r w:rsidRPr="00585D97">
              <w:rPr>
                <w:b/>
              </w:rPr>
              <w:t>Maximum charge up to</w:t>
            </w:r>
          </w:p>
        </w:tc>
      </w:tr>
      <w:tr w:rsidR="008764D4" w14:paraId="7B1E6133" w14:textId="77777777" w:rsidTr="0F3B4C48">
        <w:trPr>
          <w:cnfStyle w:val="000000010000" w:firstRow="0" w:lastRow="0" w:firstColumn="0" w:lastColumn="0" w:oddVBand="0" w:evenVBand="0" w:oddHBand="0" w:evenHBand="1" w:firstRowFirstColumn="0" w:firstRowLastColumn="0" w:lastRowFirstColumn="0" w:lastRowLastColumn="0"/>
        </w:trPr>
        <w:tc>
          <w:tcPr>
            <w:tcW w:w="3523" w:type="dxa"/>
          </w:tcPr>
          <w:p w14:paraId="04274C93" w14:textId="77777777" w:rsidR="008764D4" w:rsidRDefault="008764D4">
            <w:pPr>
              <w:pStyle w:val="TableBody"/>
            </w:pPr>
            <w:r w:rsidRPr="0F3B4C48">
              <w:rPr>
                <w:lang w:val="en-AU"/>
              </w:rPr>
              <w:t>Flagfall ($)</w:t>
            </w:r>
          </w:p>
        </w:tc>
        <w:tc>
          <w:tcPr>
            <w:tcW w:w="1945" w:type="dxa"/>
            <w:vAlign w:val="center"/>
          </w:tcPr>
          <w:p w14:paraId="72B15527" w14:textId="77777777" w:rsidR="008764D4" w:rsidRDefault="008764D4">
            <w:pPr>
              <w:pStyle w:val="TableBody"/>
              <w:ind w:right="113"/>
              <w:jc w:val="right"/>
            </w:pPr>
            <w:r w:rsidRPr="00C436D7">
              <w:t>$</w:t>
            </w:r>
            <w:r>
              <w:t>5</w:t>
            </w:r>
            <w:r w:rsidRPr="00C436D7">
              <w:t>.</w:t>
            </w:r>
            <w:r>
              <w:t>10</w:t>
            </w:r>
          </w:p>
        </w:tc>
        <w:tc>
          <w:tcPr>
            <w:tcW w:w="1946" w:type="dxa"/>
            <w:vAlign w:val="center"/>
          </w:tcPr>
          <w:p w14:paraId="181CAA63" w14:textId="6E01B8E9" w:rsidR="008764D4" w:rsidRDefault="008764D4">
            <w:pPr>
              <w:pStyle w:val="TableBody"/>
              <w:ind w:right="113"/>
              <w:jc w:val="right"/>
            </w:pPr>
            <w:r w:rsidRPr="00C436D7">
              <w:t>$6.</w:t>
            </w:r>
            <w:r w:rsidR="00FC7386">
              <w:t>35</w:t>
            </w:r>
          </w:p>
        </w:tc>
        <w:tc>
          <w:tcPr>
            <w:tcW w:w="1946" w:type="dxa"/>
            <w:vAlign w:val="center"/>
          </w:tcPr>
          <w:p w14:paraId="1EC15D20" w14:textId="77777777" w:rsidR="008764D4" w:rsidRDefault="008764D4">
            <w:pPr>
              <w:pStyle w:val="TableBody"/>
              <w:ind w:right="113"/>
              <w:jc w:val="right"/>
            </w:pPr>
            <w:r w:rsidRPr="00C436D7">
              <w:t>$7.</w:t>
            </w:r>
            <w:r>
              <w:t>6</w:t>
            </w:r>
            <w:r w:rsidRPr="00C436D7">
              <w:t>0</w:t>
            </w:r>
          </w:p>
        </w:tc>
      </w:tr>
      <w:tr w:rsidR="008764D4" w14:paraId="7221AAEF" w14:textId="77777777" w:rsidTr="0F3B4C48">
        <w:trPr>
          <w:cnfStyle w:val="000000100000" w:firstRow="0" w:lastRow="0" w:firstColumn="0" w:lastColumn="0" w:oddVBand="0" w:evenVBand="0" w:oddHBand="1" w:evenHBand="0" w:firstRowFirstColumn="0" w:firstRowLastColumn="0" w:lastRowFirstColumn="0" w:lastRowLastColumn="0"/>
        </w:trPr>
        <w:tc>
          <w:tcPr>
            <w:tcW w:w="3523" w:type="dxa"/>
          </w:tcPr>
          <w:p w14:paraId="5783D3CB" w14:textId="77777777" w:rsidR="008764D4" w:rsidRDefault="008764D4">
            <w:pPr>
              <w:pStyle w:val="TableBody"/>
            </w:pPr>
            <w:r w:rsidRPr="0F3B4C48">
              <w:rPr>
                <w:lang w:val="en-AU"/>
              </w:rPr>
              <w:t>Distance rate ($/km) (at all times)</w:t>
            </w:r>
          </w:p>
        </w:tc>
        <w:tc>
          <w:tcPr>
            <w:tcW w:w="1945" w:type="dxa"/>
            <w:vAlign w:val="center"/>
          </w:tcPr>
          <w:p w14:paraId="7760ECBB" w14:textId="7D58946A" w:rsidR="008764D4" w:rsidRDefault="008764D4">
            <w:pPr>
              <w:pStyle w:val="TableBody"/>
              <w:ind w:right="113"/>
              <w:jc w:val="right"/>
            </w:pPr>
            <w:r w:rsidRPr="00C436D7">
              <w:t>$1.</w:t>
            </w:r>
            <w:r w:rsidR="00C00790">
              <w:t>639</w:t>
            </w:r>
          </w:p>
        </w:tc>
        <w:tc>
          <w:tcPr>
            <w:tcW w:w="1946" w:type="dxa"/>
            <w:vAlign w:val="center"/>
          </w:tcPr>
          <w:p w14:paraId="5C66C7E7" w14:textId="1C3852FD" w:rsidR="008764D4" w:rsidRDefault="008764D4">
            <w:pPr>
              <w:pStyle w:val="TableBody"/>
              <w:ind w:right="113"/>
              <w:jc w:val="right"/>
            </w:pPr>
            <w:r w:rsidRPr="00C436D7">
              <w:t>$1.</w:t>
            </w:r>
            <w:r>
              <w:t>82</w:t>
            </w:r>
            <w:r w:rsidR="009E005E">
              <w:t>0</w:t>
            </w:r>
          </w:p>
        </w:tc>
        <w:tc>
          <w:tcPr>
            <w:tcW w:w="1946" w:type="dxa"/>
            <w:vAlign w:val="center"/>
          </w:tcPr>
          <w:p w14:paraId="6E0FE06D" w14:textId="124C567C" w:rsidR="008764D4" w:rsidRDefault="008764D4">
            <w:pPr>
              <w:pStyle w:val="TableBody"/>
              <w:ind w:right="113"/>
              <w:jc w:val="right"/>
            </w:pPr>
            <w:r w:rsidRPr="00C436D7">
              <w:t>$</w:t>
            </w:r>
            <w:r>
              <w:t>2</w:t>
            </w:r>
            <w:r w:rsidRPr="00C436D7">
              <w:t>.</w:t>
            </w:r>
            <w:r w:rsidR="00C00790">
              <w:t>014</w:t>
            </w:r>
          </w:p>
        </w:tc>
      </w:tr>
      <w:tr w:rsidR="008764D4" w14:paraId="750BE94B" w14:textId="77777777" w:rsidTr="0F3B4C48">
        <w:trPr>
          <w:cnfStyle w:val="000000010000" w:firstRow="0" w:lastRow="0" w:firstColumn="0" w:lastColumn="0" w:oddVBand="0" w:evenVBand="0" w:oddHBand="0" w:evenHBand="1" w:firstRowFirstColumn="0" w:firstRowLastColumn="0" w:lastRowFirstColumn="0" w:lastRowLastColumn="0"/>
        </w:trPr>
        <w:tc>
          <w:tcPr>
            <w:tcW w:w="3523" w:type="dxa"/>
          </w:tcPr>
          <w:p w14:paraId="10A77E0D" w14:textId="77777777" w:rsidR="008764D4" w:rsidRDefault="008764D4">
            <w:pPr>
              <w:pStyle w:val="TableBody"/>
            </w:pPr>
            <w:r w:rsidRPr="0F3B4C48">
              <w:rPr>
                <w:lang w:val="en-AU"/>
              </w:rPr>
              <w:t>Duration rate ($/min) (at all times)</w:t>
            </w:r>
          </w:p>
        </w:tc>
        <w:tc>
          <w:tcPr>
            <w:tcW w:w="1945" w:type="dxa"/>
            <w:vAlign w:val="center"/>
          </w:tcPr>
          <w:p w14:paraId="049B6981" w14:textId="77777777" w:rsidR="008764D4" w:rsidRDefault="008764D4">
            <w:pPr>
              <w:pStyle w:val="TableBody"/>
              <w:ind w:right="113"/>
              <w:jc w:val="right"/>
            </w:pPr>
            <w:r w:rsidRPr="00C436D7">
              <w:t>$0.</w:t>
            </w:r>
            <w:r>
              <w:t>421</w:t>
            </w:r>
          </w:p>
        </w:tc>
        <w:tc>
          <w:tcPr>
            <w:tcW w:w="1946" w:type="dxa"/>
            <w:vAlign w:val="center"/>
          </w:tcPr>
          <w:p w14:paraId="592B36DB" w14:textId="5D7F63D3" w:rsidR="008764D4" w:rsidRDefault="008764D4">
            <w:pPr>
              <w:pStyle w:val="TableBody"/>
              <w:ind w:right="113"/>
              <w:jc w:val="right"/>
            </w:pPr>
            <w:r w:rsidRPr="00C436D7">
              <w:t>$0.</w:t>
            </w:r>
            <w:r w:rsidR="0098414F">
              <w:t>462</w:t>
            </w:r>
          </w:p>
        </w:tc>
        <w:tc>
          <w:tcPr>
            <w:tcW w:w="1946" w:type="dxa"/>
            <w:vAlign w:val="center"/>
          </w:tcPr>
          <w:p w14:paraId="69E443DA" w14:textId="77777777" w:rsidR="008764D4" w:rsidRDefault="008764D4">
            <w:pPr>
              <w:pStyle w:val="TableBody"/>
              <w:ind w:right="113"/>
              <w:jc w:val="right"/>
            </w:pPr>
            <w:r w:rsidRPr="00C436D7">
              <w:t>$0.4</w:t>
            </w:r>
            <w:r>
              <w:t>99</w:t>
            </w:r>
          </w:p>
        </w:tc>
      </w:tr>
      <w:tr w:rsidR="008764D4" w14:paraId="7280E389" w14:textId="77777777" w:rsidTr="0F3B4C48">
        <w:trPr>
          <w:cnfStyle w:val="000000100000" w:firstRow="0" w:lastRow="0" w:firstColumn="0" w:lastColumn="0" w:oddVBand="0" w:evenVBand="0" w:oddHBand="1" w:evenHBand="0" w:firstRowFirstColumn="0" w:firstRowLastColumn="0" w:lastRowFirstColumn="0" w:lastRowLastColumn="0"/>
        </w:trPr>
        <w:tc>
          <w:tcPr>
            <w:tcW w:w="7414" w:type="dxa"/>
            <w:gridSpan w:val="3"/>
            <w:vAlign w:val="center"/>
          </w:tcPr>
          <w:p w14:paraId="6501E00C" w14:textId="77777777" w:rsidR="008764D4" w:rsidRPr="00585D97" w:rsidRDefault="008764D4">
            <w:pPr>
              <w:pStyle w:val="TableBody"/>
              <w:rPr>
                <w:b/>
              </w:rPr>
            </w:pPr>
            <w:r w:rsidRPr="00585D97">
              <w:rPr>
                <w:b/>
              </w:rPr>
              <w:t>Other fare components (applicable to tariffs 1, 2 and 3)</w:t>
            </w:r>
          </w:p>
        </w:tc>
        <w:tc>
          <w:tcPr>
            <w:tcW w:w="1946" w:type="dxa"/>
            <w:vAlign w:val="center"/>
          </w:tcPr>
          <w:p w14:paraId="13FD2BAA" w14:textId="77777777" w:rsidR="008764D4" w:rsidRPr="00585D97" w:rsidRDefault="008764D4">
            <w:pPr>
              <w:pStyle w:val="TableBody"/>
              <w:jc w:val="right"/>
              <w:rPr>
                <w:b/>
              </w:rPr>
            </w:pPr>
            <w:r w:rsidRPr="00585D97">
              <w:rPr>
                <w:b/>
              </w:rPr>
              <w:t>Maximum</w:t>
            </w:r>
            <w:r>
              <w:rPr>
                <w:b/>
                <w:bCs/>
              </w:rPr>
              <w:br/>
              <w:t>charge up to</w:t>
            </w:r>
            <w:r w:rsidRPr="00585D97">
              <w:rPr>
                <w:b/>
              </w:rPr>
              <w:t xml:space="preserve"> </w:t>
            </w:r>
          </w:p>
        </w:tc>
      </w:tr>
      <w:tr w:rsidR="008764D4" w14:paraId="2ED33D55" w14:textId="77777777" w:rsidTr="0F3B4C48">
        <w:trPr>
          <w:cnfStyle w:val="000000010000" w:firstRow="0" w:lastRow="0" w:firstColumn="0" w:lastColumn="0" w:oddVBand="0" w:evenVBand="0" w:oddHBand="0" w:evenHBand="1" w:firstRowFirstColumn="0" w:firstRowLastColumn="0" w:lastRowFirstColumn="0" w:lastRowLastColumn="0"/>
        </w:trPr>
        <w:tc>
          <w:tcPr>
            <w:tcW w:w="3523" w:type="dxa"/>
          </w:tcPr>
          <w:p w14:paraId="55A5E33F" w14:textId="77777777" w:rsidR="008764D4" w:rsidRDefault="008764D4" w:rsidP="0F3B4C48">
            <w:pPr>
              <w:pStyle w:val="TableBody"/>
              <w:rPr>
                <w:b/>
                <w:bCs/>
                <w:vertAlign w:val="superscript"/>
                <w:lang w:val="en-AU"/>
              </w:rPr>
            </w:pPr>
            <w:r w:rsidRPr="0F3B4C48">
              <w:rPr>
                <w:lang w:val="en-AU"/>
              </w:rPr>
              <w:t>High occupancy fee</w:t>
            </w:r>
            <w:r w:rsidRPr="0F3B4C48">
              <w:rPr>
                <w:b/>
                <w:bCs/>
                <w:vertAlign w:val="superscript"/>
                <w:lang w:val="en-AU"/>
              </w:rPr>
              <w:t>a</w:t>
            </w:r>
          </w:p>
        </w:tc>
        <w:tc>
          <w:tcPr>
            <w:tcW w:w="3891" w:type="dxa"/>
            <w:gridSpan w:val="2"/>
          </w:tcPr>
          <w:p w14:paraId="580BD80E" w14:textId="77777777" w:rsidR="008764D4" w:rsidRDefault="008764D4">
            <w:pPr>
              <w:pStyle w:val="TableBody"/>
            </w:pPr>
          </w:p>
        </w:tc>
        <w:tc>
          <w:tcPr>
            <w:tcW w:w="1946" w:type="dxa"/>
            <w:vAlign w:val="center"/>
          </w:tcPr>
          <w:p w14:paraId="596C67B4" w14:textId="47AF28D2" w:rsidR="008764D4" w:rsidRDefault="008764D4">
            <w:pPr>
              <w:pStyle w:val="TableBody"/>
              <w:ind w:right="113"/>
              <w:jc w:val="right"/>
            </w:pPr>
            <w:r w:rsidRPr="00732DE7">
              <w:t>$1</w:t>
            </w:r>
            <w:r>
              <w:t>7</w:t>
            </w:r>
            <w:r w:rsidRPr="00732DE7">
              <w:t>.</w:t>
            </w:r>
            <w:r w:rsidR="0098414F">
              <w:t>35</w:t>
            </w:r>
          </w:p>
        </w:tc>
      </w:tr>
      <w:tr w:rsidR="008764D4" w14:paraId="762CA161" w14:textId="77777777" w:rsidTr="0F3B4C48">
        <w:trPr>
          <w:cnfStyle w:val="000000100000" w:firstRow="0" w:lastRow="0" w:firstColumn="0" w:lastColumn="0" w:oddVBand="0" w:evenVBand="0" w:oddHBand="1" w:evenHBand="0" w:firstRowFirstColumn="0" w:firstRowLastColumn="0" w:lastRowFirstColumn="0" w:lastRowLastColumn="0"/>
        </w:trPr>
        <w:tc>
          <w:tcPr>
            <w:tcW w:w="3523" w:type="dxa"/>
          </w:tcPr>
          <w:p w14:paraId="78E4B0A7" w14:textId="77777777" w:rsidR="008764D4" w:rsidRDefault="008764D4" w:rsidP="0F3B4C48">
            <w:pPr>
              <w:pStyle w:val="TableBody"/>
              <w:rPr>
                <w:b/>
                <w:bCs/>
                <w:vertAlign w:val="superscript"/>
                <w:lang w:val="en-AU"/>
              </w:rPr>
            </w:pPr>
            <w:r w:rsidRPr="0F3B4C48">
              <w:rPr>
                <w:lang w:val="en-AU"/>
              </w:rPr>
              <w:t>Airport taxi rank fee</w:t>
            </w:r>
            <w:r w:rsidRPr="0F3B4C48">
              <w:rPr>
                <w:b/>
                <w:bCs/>
                <w:vertAlign w:val="superscript"/>
                <w:lang w:val="en-AU"/>
              </w:rPr>
              <w:t>b</w:t>
            </w:r>
          </w:p>
        </w:tc>
        <w:tc>
          <w:tcPr>
            <w:tcW w:w="3891" w:type="dxa"/>
            <w:gridSpan w:val="2"/>
          </w:tcPr>
          <w:p w14:paraId="785A0182" w14:textId="77777777" w:rsidR="008764D4" w:rsidRDefault="008764D4">
            <w:pPr>
              <w:pStyle w:val="TableBody"/>
            </w:pPr>
            <w:r w:rsidRPr="00732DE7">
              <w:t>For trips from the airport rank</w:t>
            </w:r>
          </w:p>
        </w:tc>
        <w:tc>
          <w:tcPr>
            <w:tcW w:w="1946" w:type="dxa"/>
            <w:vAlign w:val="center"/>
          </w:tcPr>
          <w:p w14:paraId="2FF8C865" w14:textId="77777777" w:rsidR="008764D4" w:rsidRDefault="008764D4">
            <w:pPr>
              <w:pStyle w:val="TableBody"/>
              <w:ind w:right="113"/>
              <w:jc w:val="right"/>
            </w:pPr>
            <w:r w:rsidRPr="00732DE7">
              <w:t>Pass-through</w:t>
            </w:r>
          </w:p>
        </w:tc>
      </w:tr>
      <w:tr w:rsidR="008764D4" w14:paraId="0F96043C" w14:textId="77777777" w:rsidTr="0F3B4C48">
        <w:trPr>
          <w:cnfStyle w:val="000000010000" w:firstRow="0" w:lastRow="0" w:firstColumn="0" w:lastColumn="0" w:oddVBand="0" w:evenVBand="0" w:oddHBand="0" w:evenHBand="1" w:firstRowFirstColumn="0" w:firstRowLastColumn="0" w:lastRowFirstColumn="0" w:lastRowLastColumn="0"/>
        </w:trPr>
        <w:tc>
          <w:tcPr>
            <w:tcW w:w="3523" w:type="dxa"/>
          </w:tcPr>
          <w:p w14:paraId="29380C83" w14:textId="77777777" w:rsidR="008764D4" w:rsidRDefault="008764D4" w:rsidP="0F3B4C48">
            <w:pPr>
              <w:pStyle w:val="TableBody"/>
              <w:rPr>
                <w:b/>
                <w:bCs/>
                <w:vertAlign w:val="superscript"/>
                <w:lang w:val="en-AU"/>
              </w:rPr>
            </w:pPr>
            <w:r w:rsidRPr="0F3B4C48">
              <w:rPr>
                <w:lang w:val="en-AU"/>
              </w:rPr>
              <w:t>Holiday rate</w:t>
            </w:r>
            <w:r w:rsidRPr="0F3B4C48">
              <w:rPr>
                <w:b/>
                <w:bCs/>
                <w:vertAlign w:val="superscript"/>
                <w:lang w:val="en-AU"/>
              </w:rPr>
              <w:t>c</w:t>
            </w:r>
          </w:p>
        </w:tc>
        <w:tc>
          <w:tcPr>
            <w:tcW w:w="3891" w:type="dxa"/>
            <w:gridSpan w:val="2"/>
          </w:tcPr>
          <w:p w14:paraId="6644C43F" w14:textId="77777777" w:rsidR="008764D4" w:rsidRDefault="008764D4">
            <w:pPr>
              <w:pStyle w:val="TableBody"/>
            </w:pPr>
          </w:p>
        </w:tc>
        <w:tc>
          <w:tcPr>
            <w:tcW w:w="1946" w:type="dxa"/>
            <w:vAlign w:val="center"/>
          </w:tcPr>
          <w:p w14:paraId="772989BD" w14:textId="77777777" w:rsidR="008764D4" w:rsidRDefault="008764D4">
            <w:pPr>
              <w:pStyle w:val="TableBody"/>
              <w:ind w:right="113"/>
              <w:jc w:val="right"/>
            </w:pPr>
            <w:r w:rsidRPr="00732DE7">
              <w:t>Tariff 3 rates</w:t>
            </w:r>
          </w:p>
        </w:tc>
      </w:tr>
      <w:tr w:rsidR="008764D4" w14:paraId="1A479AA7" w14:textId="77777777" w:rsidTr="0F3B4C48">
        <w:trPr>
          <w:cnfStyle w:val="000000100000" w:firstRow="0" w:lastRow="0" w:firstColumn="0" w:lastColumn="0" w:oddVBand="0" w:evenVBand="0" w:oddHBand="1" w:evenHBand="0" w:firstRowFirstColumn="0" w:firstRowLastColumn="0" w:lastRowFirstColumn="0" w:lastRowLastColumn="0"/>
        </w:trPr>
        <w:tc>
          <w:tcPr>
            <w:tcW w:w="3523" w:type="dxa"/>
          </w:tcPr>
          <w:p w14:paraId="092D2CEB" w14:textId="77777777" w:rsidR="008764D4" w:rsidRDefault="008764D4">
            <w:pPr>
              <w:pStyle w:val="TableBody"/>
            </w:pPr>
            <w:r w:rsidRPr="00732DE7">
              <w:t>CPV levy recovery fee</w:t>
            </w:r>
          </w:p>
        </w:tc>
        <w:tc>
          <w:tcPr>
            <w:tcW w:w="3891" w:type="dxa"/>
            <w:gridSpan w:val="2"/>
          </w:tcPr>
          <w:p w14:paraId="2520F2EA" w14:textId="77777777" w:rsidR="008764D4" w:rsidRDefault="008764D4">
            <w:pPr>
              <w:pStyle w:val="TableBody"/>
            </w:pPr>
          </w:p>
        </w:tc>
        <w:tc>
          <w:tcPr>
            <w:tcW w:w="1946" w:type="dxa"/>
            <w:vAlign w:val="center"/>
          </w:tcPr>
          <w:p w14:paraId="7C13AFAE" w14:textId="77777777" w:rsidR="008764D4" w:rsidRDefault="008764D4">
            <w:pPr>
              <w:pStyle w:val="TableBody"/>
              <w:ind w:right="113"/>
              <w:jc w:val="right"/>
            </w:pPr>
            <w:r w:rsidRPr="00732DE7">
              <w:t>Pass-through</w:t>
            </w:r>
          </w:p>
        </w:tc>
      </w:tr>
      <w:tr w:rsidR="008764D4" w14:paraId="50FC5CC9" w14:textId="77777777" w:rsidTr="0F3B4C48">
        <w:trPr>
          <w:cnfStyle w:val="000000010000" w:firstRow="0" w:lastRow="0" w:firstColumn="0" w:lastColumn="0" w:oddVBand="0" w:evenVBand="0" w:oddHBand="0" w:evenHBand="1" w:firstRowFirstColumn="0" w:firstRowLastColumn="0" w:lastRowFirstColumn="0" w:lastRowLastColumn="0"/>
        </w:trPr>
        <w:tc>
          <w:tcPr>
            <w:tcW w:w="3523" w:type="dxa"/>
          </w:tcPr>
          <w:p w14:paraId="4804B6A2" w14:textId="77777777" w:rsidR="008764D4" w:rsidRDefault="008764D4" w:rsidP="0F3B4C48">
            <w:pPr>
              <w:pStyle w:val="TableBody"/>
              <w:rPr>
                <w:b/>
                <w:bCs/>
                <w:vertAlign w:val="superscript"/>
                <w:lang w:val="en-AU"/>
              </w:rPr>
            </w:pPr>
            <w:r w:rsidRPr="0F3B4C48">
              <w:rPr>
                <w:lang w:val="en-AU"/>
              </w:rPr>
              <w:t>CityLink and EastLink tolls</w:t>
            </w:r>
            <w:r w:rsidRPr="0F3B4C48">
              <w:rPr>
                <w:b/>
                <w:bCs/>
                <w:vertAlign w:val="superscript"/>
                <w:lang w:val="en-AU"/>
              </w:rPr>
              <w:t>d</w:t>
            </w:r>
          </w:p>
        </w:tc>
        <w:tc>
          <w:tcPr>
            <w:tcW w:w="3891" w:type="dxa"/>
            <w:gridSpan w:val="2"/>
          </w:tcPr>
          <w:p w14:paraId="77DF4701" w14:textId="77777777" w:rsidR="008764D4" w:rsidRDefault="008764D4">
            <w:pPr>
              <w:pStyle w:val="TableBody"/>
            </w:pPr>
          </w:p>
        </w:tc>
        <w:tc>
          <w:tcPr>
            <w:tcW w:w="1946" w:type="dxa"/>
            <w:vAlign w:val="center"/>
          </w:tcPr>
          <w:p w14:paraId="4BB3EF9E" w14:textId="77777777" w:rsidR="008764D4" w:rsidRDefault="008764D4">
            <w:pPr>
              <w:pStyle w:val="TableBody"/>
              <w:ind w:right="113"/>
              <w:jc w:val="right"/>
            </w:pPr>
            <w:r w:rsidRPr="00732DE7">
              <w:t>Pass-through</w:t>
            </w:r>
          </w:p>
        </w:tc>
      </w:tr>
      <w:tr w:rsidR="008764D4" w14:paraId="3E044DC3" w14:textId="77777777" w:rsidTr="0F3B4C48">
        <w:trPr>
          <w:cnfStyle w:val="000000100000" w:firstRow="0" w:lastRow="0" w:firstColumn="0" w:lastColumn="0" w:oddVBand="0" w:evenVBand="0" w:oddHBand="1" w:evenHBand="0" w:firstRowFirstColumn="0" w:firstRowLastColumn="0" w:lastRowFirstColumn="0" w:lastRowLastColumn="0"/>
        </w:trPr>
        <w:tc>
          <w:tcPr>
            <w:tcW w:w="3523" w:type="dxa"/>
          </w:tcPr>
          <w:p w14:paraId="7C80636E" w14:textId="77777777" w:rsidR="008764D4" w:rsidRDefault="008764D4">
            <w:pPr>
              <w:pStyle w:val="TableBody"/>
            </w:pPr>
            <w:r w:rsidRPr="00732DE7">
              <w:t>Cleaning fee</w:t>
            </w:r>
          </w:p>
        </w:tc>
        <w:tc>
          <w:tcPr>
            <w:tcW w:w="5837" w:type="dxa"/>
            <w:gridSpan w:val="3"/>
            <w:vAlign w:val="center"/>
          </w:tcPr>
          <w:p w14:paraId="6473800D" w14:textId="77777777" w:rsidR="008764D4" w:rsidRDefault="008764D4">
            <w:pPr>
              <w:pStyle w:val="TableBody"/>
              <w:jc w:val="right"/>
            </w:pPr>
            <w:r w:rsidRPr="00732DE7">
              <w:t>Up to a maximum of $120</w:t>
            </w:r>
          </w:p>
        </w:tc>
      </w:tr>
    </w:tbl>
    <w:p w14:paraId="4627FFEA" w14:textId="1881C053" w:rsidR="008764D4" w:rsidRPr="00AC6879" w:rsidRDefault="008764D4" w:rsidP="008764D4">
      <w:pPr>
        <w:pStyle w:val="Source"/>
        <w:spacing w:after="0"/>
        <w:jc w:val="left"/>
        <w:rPr>
          <w:rFonts w:ascii="Arial" w:eastAsia="Times New Roman" w:hAnsi="Arial" w:cs="Arial"/>
          <w:iCs w:val="0"/>
          <w:color w:val="4986A0"/>
          <w:szCs w:val="20"/>
        </w:rPr>
      </w:pPr>
      <w:r w:rsidRPr="00AC6879">
        <w:rPr>
          <w:vertAlign w:val="superscript"/>
        </w:rPr>
        <w:t>a</w:t>
      </w:r>
      <w:r w:rsidRPr="00AC6879">
        <w:rPr>
          <w:rFonts w:ascii="Arial" w:eastAsia="Times New Roman" w:hAnsi="Arial" w:cs="Arial"/>
          <w:iCs w:val="0"/>
          <w:color w:val="4986A0"/>
        </w:rPr>
        <w:t xml:space="preserve"> For taxis carrying </w:t>
      </w:r>
      <w:r w:rsidRPr="005073B8">
        <w:rPr>
          <w:rFonts w:ascii="Arial" w:eastAsia="Times New Roman" w:hAnsi="Arial" w:cs="Arial"/>
          <w:iCs w:val="0"/>
          <w:color w:val="4986A0"/>
        </w:rPr>
        <w:t xml:space="preserve">five or more passengers (excluding children under 5) or where a </w:t>
      </w:r>
      <w:r w:rsidR="00BC4A71">
        <w:rPr>
          <w:rFonts w:ascii="Arial" w:eastAsia="Times New Roman" w:hAnsi="Arial" w:cs="Arial"/>
          <w:iCs w:val="0"/>
          <w:color w:val="4986A0"/>
        </w:rPr>
        <w:t xml:space="preserve">vehicle </w:t>
      </w:r>
      <w:r w:rsidRPr="005073B8">
        <w:rPr>
          <w:rFonts w:ascii="Arial" w:eastAsia="Times New Roman" w:hAnsi="Arial" w:cs="Arial"/>
          <w:iCs w:val="0"/>
          <w:color w:val="4986A0"/>
        </w:rPr>
        <w:t xml:space="preserve">larger than </w:t>
      </w:r>
      <w:r w:rsidR="00BC4A71">
        <w:rPr>
          <w:rFonts w:ascii="Arial" w:eastAsia="Times New Roman" w:hAnsi="Arial" w:cs="Arial"/>
          <w:iCs w:val="0"/>
          <w:color w:val="4986A0"/>
        </w:rPr>
        <w:t xml:space="preserve">a </w:t>
      </w:r>
      <w:r w:rsidRPr="005073B8">
        <w:rPr>
          <w:rFonts w:ascii="Arial" w:eastAsia="Times New Roman" w:hAnsi="Arial" w:cs="Arial"/>
          <w:iCs w:val="0"/>
          <w:color w:val="4986A0"/>
        </w:rPr>
        <w:t xml:space="preserve">standard </w:t>
      </w:r>
      <w:r w:rsidR="00BC4A71">
        <w:rPr>
          <w:rFonts w:ascii="Arial" w:eastAsia="Times New Roman" w:hAnsi="Arial" w:cs="Arial"/>
          <w:iCs w:val="0"/>
          <w:color w:val="4986A0"/>
        </w:rPr>
        <w:t>tax</w:t>
      </w:r>
      <w:r w:rsidR="004145FD">
        <w:rPr>
          <w:rFonts w:ascii="Arial" w:eastAsia="Times New Roman" w:hAnsi="Arial" w:cs="Arial"/>
          <w:iCs w:val="0"/>
          <w:color w:val="4986A0"/>
        </w:rPr>
        <w:t>i is required</w:t>
      </w:r>
      <w:r w:rsidRPr="005073B8">
        <w:rPr>
          <w:rFonts w:ascii="Arial" w:eastAsia="Times New Roman" w:hAnsi="Arial" w:cs="Arial"/>
          <w:iCs w:val="0"/>
          <w:color w:val="4986A0"/>
        </w:rPr>
        <w:t xml:space="preserve"> regardless of the number of passengers (except where the </w:t>
      </w:r>
      <w:r w:rsidR="005E36A1">
        <w:rPr>
          <w:rFonts w:ascii="Arial" w:eastAsia="Times New Roman" w:hAnsi="Arial" w:cs="Arial"/>
          <w:iCs w:val="0"/>
          <w:color w:val="4986A0"/>
        </w:rPr>
        <w:t>vehicle is hired</w:t>
      </w:r>
      <w:r w:rsidRPr="005073B8">
        <w:rPr>
          <w:rFonts w:ascii="Arial" w:eastAsia="Times New Roman" w:hAnsi="Arial" w:cs="Arial"/>
          <w:iCs w:val="0"/>
          <w:color w:val="4986A0"/>
        </w:rPr>
        <w:t xml:space="preserve"> for </w:t>
      </w:r>
      <w:r w:rsidR="00CB0EB6">
        <w:rPr>
          <w:rFonts w:ascii="Arial" w:eastAsia="Times New Roman" w:hAnsi="Arial" w:cs="Arial"/>
          <w:iCs w:val="0"/>
          <w:color w:val="4986A0"/>
        </w:rPr>
        <w:t xml:space="preserve">the carriage of </w:t>
      </w:r>
      <w:r w:rsidRPr="005073B8">
        <w:rPr>
          <w:rFonts w:ascii="Arial" w:eastAsia="Times New Roman" w:hAnsi="Arial" w:cs="Arial"/>
          <w:iCs w:val="0"/>
          <w:color w:val="4986A0"/>
        </w:rPr>
        <w:t>one or more persons who use a wheelchair or other mobility aid</w:t>
      </w:r>
      <w:r>
        <w:rPr>
          <w:rFonts w:ascii="Arial" w:eastAsia="Times New Roman" w:hAnsi="Arial" w:cs="Arial"/>
          <w:iCs w:val="0"/>
          <w:color w:val="4986A0"/>
        </w:rPr>
        <w:t>)</w:t>
      </w:r>
      <w:r w:rsidRPr="00AC6879">
        <w:rPr>
          <w:rFonts w:ascii="Arial" w:eastAsia="Times New Roman" w:hAnsi="Arial" w:cs="Arial"/>
          <w:iCs w:val="0"/>
          <w:color w:val="4986A0"/>
        </w:rPr>
        <w:t xml:space="preserve">. </w:t>
      </w:r>
      <w:r w:rsidRPr="00AC6879">
        <w:rPr>
          <w:rFonts w:ascii="Arial" w:eastAsia="Times New Roman" w:hAnsi="Arial" w:cs="Arial"/>
          <w:iCs w:val="0"/>
          <w:color w:val="4986A0"/>
          <w:vertAlign w:val="superscript"/>
        </w:rPr>
        <w:t>b</w:t>
      </w:r>
      <w:r w:rsidRPr="00AC6879">
        <w:rPr>
          <w:rFonts w:ascii="Arial" w:eastAsia="Times New Roman" w:hAnsi="Arial" w:cs="Arial"/>
          <w:iCs w:val="0"/>
          <w:color w:val="4986A0"/>
        </w:rPr>
        <w:t xml:space="preserve"> As published by that airport in a daily newspaper generally circulating in Victoria </w:t>
      </w:r>
      <w:r w:rsidR="00233ECB">
        <w:rPr>
          <w:rFonts w:ascii="Arial" w:eastAsia="Times New Roman" w:hAnsi="Arial" w:cs="Arial"/>
          <w:iCs w:val="0"/>
          <w:color w:val="4986A0"/>
        </w:rPr>
        <w:t>or</w:t>
      </w:r>
      <w:r w:rsidRPr="00AC6879">
        <w:rPr>
          <w:rFonts w:ascii="Arial" w:eastAsia="Times New Roman" w:hAnsi="Arial" w:cs="Arial"/>
          <w:iCs w:val="0"/>
          <w:color w:val="4986A0"/>
        </w:rPr>
        <w:t xml:space="preserve"> on that airport’s website. </w:t>
      </w:r>
      <w:r w:rsidRPr="00AC6879">
        <w:rPr>
          <w:rFonts w:ascii="Arial" w:eastAsia="Times New Roman" w:hAnsi="Arial" w:cs="Arial"/>
          <w:iCs w:val="0"/>
          <w:color w:val="4986A0"/>
          <w:vertAlign w:val="superscript"/>
        </w:rPr>
        <w:t>c</w:t>
      </w:r>
      <w:r w:rsidRPr="00AC6879">
        <w:rPr>
          <w:rFonts w:ascii="Arial" w:eastAsia="Times New Roman" w:hAnsi="Arial" w:cs="Arial"/>
          <w:iCs w:val="0"/>
          <w:color w:val="4986A0"/>
        </w:rPr>
        <w:t xml:space="preserve"> For trips commencing on Christmas Day, Boxing Day, New Year’s Day and from 6pm on New Year’s Eve. </w:t>
      </w:r>
      <w:r w:rsidRPr="00AC6879">
        <w:rPr>
          <w:rFonts w:ascii="Arial" w:eastAsia="Times New Roman" w:hAnsi="Arial" w:cs="Arial"/>
          <w:iCs w:val="0"/>
          <w:color w:val="4986A0"/>
          <w:szCs w:val="20"/>
          <w:vertAlign w:val="superscript"/>
        </w:rPr>
        <w:t>d</w:t>
      </w:r>
      <w:r w:rsidRPr="00AC6879">
        <w:rPr>
          <w:rFonts w:ascii="Arial" w:eastAsia="Times New Roman" w:hAnsi="Arial" w:cs="Arial"/>
          <w:iCs w:val="0"/>
          <w:color w:val="4986A0"/>
          <w:szCs w:val="20"/>
        </w:rPr>
        <w:t xml:space="preserve"> As published from time to time in the </w:t>
      </w:r>
      <w:r w:rsidRPr="00AC6879">
        <w:rPr>
          <w:rFonts w:ascii="Arial" w:eastAsia="Times New Roman" w:hAnsi="Arial" w:cs="Arial"/>
          <w:i/>
          <w:color w:val="4986A0"/>
          <w:szCs w:val="20"/>
        </w:rPr>
        <w:t>Victorian Government Gazette</w:t>
      </w:r>
      <w:r w:rsidRPr="00AC6879">
        <w:rPr>
          <w:rFonts w:ascii="Arial" w:eastAsia="Times New Roman" w:hAnsi="Arial" w:cs="Arial"/>
          <w:iCs w:val="0"/>
          <w:color w:val="4986A0"/>
          <w:szCs w:val="20"/>
        </w:rPr>
        <w:t xml:space="preserve"> in accordance with the </w:t>
      </w:r>
      <w:r w:rsidRPr="00AC6879">
        <w:rPr>
          <w:rFonts w:ascii="Arial" w:eastAsia="Times New Roman" w:hAnsi="Arial" w:cs="Arial"/>
          <w:i/>
          <w:color w:val="4986A0"/>
          <w:szCs w:val="20"/>
        </w:rPr>
        <w:t>Melbourne City Link Act 1995</w:t>
      </w:r>
      <w:r w:rsidRPr="00AC6879">
        <w:rPr>
          <w:rFonts w:ascii="Arial" w:eastAsia="Times New Roman" w:hAnsi="Arial" w:cs="Arial"/>
          <w:iCs w:val="0"/>
          <w:color w:val="4986A0"/>
          <w:szCs w:val="20"/>
        </w:rPr>
        <w:t xml:space="preserve"> or the </w:t>
      </w:r>
      <w:r w:rsidRPr="00AC6879">
        <w:rPr>
          <w:rFonts w:ascii="Arial" w:eastAsia="Times New Roman" w:hAnsi="Arial" w:cs="Arial"/>
          <w:i/>
          <w:color w:val="4986A0"/>
          <w:szCs w:val="20"/>
        </w:rPr>
        <w:t>EastLink Project Act 2004</w:t>
      </w:r>
      <w:r w:rsidRPr="00AC6879">
        <w:rPr>
          <w:rFonts w:ascii="Arial" w:eastAsia="Times New Roman" w:hAnsi="Arial" w:cs="Arial"/>
          <w:iCs w:val="0"/>
          <w:color w:val="4986A0"/>
          <w:szCs w:val="20"/>
        </w:rPr>
        <w:t xml:space="preserve"> as applicable.</w:t>
      </w:r>
    </w:p>
    <w:p w14:paraId="07919831" w14:textId="77777777" w:rsidR="008764D4" w:rsidRPr="00AC6879" w:rsidRDefault="008764D4" w:rsidP="008764D4">
      <w:pPr>
        <w:spacing w:before="0" w:line="259" w:lineRule="auto"/>
        <w:rPr>
          <w:rFonts w:ascii="Tahoma" w:eastAsia="SimHei" w:hAnsi="Tahoma" w:cs="Arial"/>
          <w:b/>
          <w:sz w:val="26"/>
          <w:szCs w:val="26"/>
        </w:rPr>
      </w:pPr>
      <w:r w:rsidRPr="00AC6879">
        <w:rPr>
          <w:rFonts w:ascii="Tahoma" w:eastAsia="SimHei" w:hAnsi="Tahoma" w:cs="Arial"/>
          <w:b/>
          <w:sz w:val="26"/>
          <w:szCs w:val="26"/>
        </w:rPr>
        <w:br w:type="page"/>
      </w:r>
    </w:p>
    <w:p w14:paraId="77883DA7" w14:textId="77777777" w:rsidR="008764D4" w:rsidRPr="00AC6879" w:rsidRDefault="008764D4" w:rsidP="008764D4">
      <w:pPr>
        <w:pStyle w:val="Heading2"/>
      </w:pPr>
      <w:bookmarkStart w:id="170" w:name="_Toc174692677"/>
      <w:r>
        <w:lastRenderedPageBreak/>
        <w:t>Fare schedule 2 – Geelong, Ballarat and Bendigo</w:t>
      </w:r>
      <w:bookmarkEnd w:id="170"/>
      <w:r w:rsidRPr="00AC6879">
        <w:t xml:space="preserve">  </w:t>
      </w:r>
    </w:p>
    <w:p w14:paraId="40B2362A" w14:textId="681B49F1" w:rsidR="008764D4" w:rsidRPr="006F418C" w:rsidRDefault="008764D4" w:rsidP="0F3B4C48">
      <w:pPr>
        <w:pStyle w:val="Figure-Table-BoxHeading"/>
        <w:spacing w:line="288" w:lineRule="auto"/>
        <w:ind w:left="1276" w:hanging="1276"/>
        <w:rPr>
          <w:rFonts w:ascii="Arial" w:eastAsia="SimHei" w:hAnsi="Arial" w:cs="Arial"/>
          <w:color w:val="4986A0"/>
          <w:lang w:val="en-AU"/>
        </w:rPr>
      </w:pPr>
      <w:r w:rsidRPr="0F3B4C48">
        <w:rPr>
          <w:lang w:val="en-AU"/>
        </w:rPr>
        <w:t>Table A.3</w:t>
      </w:r>
      <w:r>
        <w:tab/>
      </w:r>
      <w:r w:rsidRPr="0F3B4C48">
        <w:rPr>
          <w:rFonts w:ascii="Arial" w:eastAsia="SimHei" w:hAnsi="Arial" w:cs="Arial"/>
          <w:color w:val="4986A0" w:themeColor="accent3"/>
          <w:lang w:val="en-AU"/>
        </w:rPr>
        <w:t xml:space="preserve">Maximum fares for unbooked taxi services that begin in the </w:t>
      </w:r>
      <w:r w:rsidR="000401F6">
        <w:rPr>
          <w:rFonts w:ascii="Arial" w:eastAsia="SimHei" w:hAnsi="Arial" w:cs="Arial"/>
          <w:color w:val="4986A0" w:themeColor="accent3"/>
          <w:lang w:val="en-AU"/>
        </w:rPr>
        <w:t>L</w:t>
      </w:r>
      <w:r w:rsidRPr="0F3B4C48">
        <w:rPr>
          <w:rFonts w:ascii="Arial" w:eastAsia="SimHei" w:hAnsi="Arial" w:cs="Arial"/>
          <w:color w:val="4986A0" w:themeColor="accent3"/>
          <w:lang w:val="en-AU"/>
        </w:rPr>
        <w:t xml:space="preserve">arge </w:t>
      </w:r>
      <w:r w:rsidR="000401F6">
        <w:rPr>
          <w:rFonts w:ascii="Arial" w:eastAsia="SimHei" w:hAnsi="Arial" w:cs="Arial"/>
          <w:color w:val="4986A0" w:themeColor="accent3"/>
          <w:lang w:val="en-AU"/>
        </w:rPr>
        <w:t>R</w:t>
      </w:r>
      <w:r w:rsidRPr="0F3B4C48">
        <w:rPr>
          <w:rFonts w:ascii="Arial" w:eastAsia="SimHei" w:hAnsi="Arial" w:cs="Arial"/>
          <w:color w:val="4986A0" w:themeColor="accent3"/>
          <w:lang w:val="en-AU"/>
        </w:rPr>
        <w:t>egional area</w:t>
      </w:r>
      <w:r w:rsidR="004048AA">
        <w:rPr>
          <w:rFonts w:ascii="Arial" w:eastAsia="SimHei" w:hAnsi="Arial" w:cs="Arial"/>
          <w:color w:val="4986A0" w:themeColor="accent3"/>
          <w:lang w:val="en-AU"/>
        </w:rPr>
        <w:t>s</w:t>
      </w:r>
      <w:r w:rsidRPr="0F3B4C48">
        <w:rPr>
          <w:rFonts w:ascii="Arial" w:eastAsia="SimHei" w:hAnsi="Arial" w:cs="Arial"/>
          <w:color w:val="4986A0" w:themeColor="accent3"/>
          <w:lang w:val="en-AU"/>
        </w:rPr>
        <w:t xml:space="preserve"> of the Urban and Large Regional Zone, including Geelong, Ballarat and Bendigo – ‘time </w:t>
      </w:r>
      <w:r w:rsidRPr="0F3B4C48">
        <w:rPr>
          <w:rFonts w:ascii="Arial" w:eastAsia="SimHei" w:hAnsi="Arial" w:cs="Arial"/>
          <w:color w:val="4986A0" w:themeColor="accent3"/>
          <w:u w:val="single"/>
          <w:lang w:val="en-AU"/>
        </w:rPr>
        <w:t>or</w:t>
      </w:r>
      <w:r w:rsidRPr="0F3B4C48">
        <w:rPr>
          <w:rFonts w:ascii="Arial" w:eastAsia="SimHei" w:hAnsi="Arial" w:cs="Arial"/>
          <w:color w:val="4986A0" w:themeColor="accent3"/>
          <w:lang w:val="en-AU"/>
        </w:rPr>
        <w:t xml:space="preserve"> distance’ tariffs</w:t>
      </w:r>
    </w:p>
    <w:tbl>
      <w:tblPr>
        <w:tblStyle w:val="TableGrid"/>
        <w:tblW w:w="0" w:type="auto"/>
        <w:tblLook w:val="04A0" w:firstRow="1" w:lastRow="0" w:firstColumn="1" w:lastColumn="0" w:noHBand="0" w:noVBand="1"/>
      </w:tblPr>
      <w:tblGrid>
        <w:gridCol w:w="2694"/>
        <w:gridCol w:w="5103"/>
        <w:gridCol w:w="1563"/>
      </w:tblGrid>
      <w:tr w:rsidR="008764D4" w14:paraId="3B2C1DE1" w14:textId="77777777" w:rsidTr="0F3B4C48">
        <w:trPr>
          <w:cnfStyle w:val="100000000000" w:firstRow="1" w:lastRow="0" w:firstColumn="0" w:lastColumn="0" w:oddVBand="0" w:evenVBand="0" w:oddHBand="0" w:evenHBand="0" w:firstRowFirstColumn="0" w:firstRowLastColumn="0" w:lastRowFirstColumn="0" w:lastRowLastColumn="0"/>
        </w:trPr>
        <w:tc>
          <w:tcPr>
            <w:tcW w:w="7797" w:type="dxa"/>
            <w:gridSpan w:val="2"/>
          </w:tcPr>
          <w:p w14:paraId="0FD4C4E6" w14:textId="77777777" w:rsidR="008764D4" w:rsidRPr="00C8609F" w:rsidRDefault="008764D4">
            <w:pPr>
              <w:pStyle w:val="TableHeading"/>
            </w:pPr>
            <w:r w:rsidRPr="0F3B4C48">
              <w:rPr>
                <w:lang w:val="en-AU"/>
              </w:rPr>
              <w:t>Fare component</w:t>
            </w:r>
          </w:p>
        </w:tc>
        <w:tc>
          <w:tcPr>
            <w:tcW w:w="1563" w:type="dxa"/>
            <w:vAlign w:val="center"/>
          </w:tcPr>
          <w:p w14:paraId="709264A6" w14:textId="77777777" w:rsidR="008764D4" w:rsidRPr="00C8609F" w:rsidRDefault="008764D4">
            <w:pPr>
              <w:pStyle w:val="TableHeading"/>
              <w:ind w:right="113"/>
              <w:jc w:val="right"/>
            </w:pPr>
            <w:r w:rsidRPr="00C8609F">
              <w:t>Maximum charge</w:t>
            </w:r>
          </w:p>
        </w:tc>
      </w:tr>
      <w:tr w:rsidR="008764D4" w14:paraId="70759ECB" w14:textId="77777777" w:rsidTr="0F3B4C48">
        <w:trPr>
          <w:cnfStyle w:val="000000100000" w:firstRow="0" w:lastRow="0" w:firstColumn="0" w:lastColumn="0" w:oddVBand="0" w:evenVBand="0" w:oddHBand="1" w:evenHBand="0" w:firstRowFirstColumn="0" w:firstRowLastColumn="0" w:lastRowFirstColumn="0" w:lastRowLastColumn="0"/>
        </w:trPr>
        <w:tc>
          <w:tcPr>
            <w:tcW w:w="7797" w:type="dxa"/>
            <w:gridSpan w:val="2"/>
          </w:tcPr>
          <w:p w14:paraId="26831808" w14:textId="77777777" w:rsidR="008764D4" w:rsidRPr="00585D97" w:rsidRDefault="008764D4">
            <w:pPr>
              <w:pStyle w:val="TableBody"/>
              <w:rPr>
                <w:b/>
                <w:sz w:val="20"/>
                <w:szCs w:val="20"/>
              </w:rPr>
            </w:pPr>
            <w:r w:rsidRPr="00585D97">
              <w:rPr>
                <w:b/>
                <w:sz w:val="20"/>
                <w:szCs w:val="20"/>
              </w:rPr>
              <w:t>Standard fare components</w:t>
            </w:r>
          </w:p>
        </w:tc>
        <w:tc>
          <w:tcPr>
            <w:tcW w:w="1563" w:type="dxa"/>
          </w:tcPr>
          <w:p w14:paraId="0E3DB5D7" w14:textId="77777777" w:rsidR="008764D4" w:rsidRPr="00585D97" w:rsidRDefault="008764D4">
            <w:pPr>
              <w:pStyle w:val="TableBody"/>
              <w:rPr>
                <w:b/>
                <w:sz w:val="20"/>
                <w:szCs w:val="20"/>
              </w:rPr>
            </w:pPr>
          </w:p>
        </w:tc>
      </w:tr>
      <w:tr w:rsidR="008764D4" w14:paraId="53491D04" w14:textId="77777777" w:rsidTr="0F3B4C48">
        <w:trPr>
          <w:cnfStyle w:val="000000010000" w:firstRow="0" w:lastRow="0" w:firstColumn="0" w:lastColumn="0" w:oddVBand="0" w:evenVBand="0" w:oddHBand="0" w:evenHBand="1" w:firstRowFirstColumn="0" w:firstRowLastColumn="0" w:lastRowFirstColumn="0" w:lastRowLastColumn="0"/>
        </w:trPr>
        <w:tc>
          <w:tcPr>
            <w:tcW w:w="7797" w:type="dxa"/>
            <w:gridSpan w:val="2"/>
          </w:tcPr>
          <w:p w14:paraId="6B59B998" w14:textId="77777777" w:rsidR="008764D4" w:rsidRPr="00585D97" w:rsidRDefault="008764D4" w:rsidP="0F3B4C48">
            <w:pPr>
              <w:pStyle w:val="TableBody"/>
              <w:rPr>
                <w:sz w:val="20"/>
                <w:szCs w:val="20"/>
                <w:lang w:val="en-AU"/>
              </w:rPr>
            </w:pPr>
            <w:r w:rsidRPr="0F3B4C48">
              <w:rPr>
                <w:sz w:val="20"/>
                <w:szCs w:val="20"/>
                <w:lang w:val="en-AU"/>
              </w:rPr>
              <w:t>Flagfall ($)</w:t>
            </w:r>
          </w:p>
        </w:tc>
        <w:tc>
          <w:tcPr>
            <w:tcW w:w="1563" w:type="dxa"/>
            <w:vAlign w:val="center"/>
          </w:tcPr>
          <w:p w14:paraId="6C31F321" w14:textId="77777777" w:rsidR="008764D4" w:rsidRPr="00585D97" w:rsidRDefault="008764D4">
            <w:pPr>
              <w:pStyle w:val="TableBody"/>
              <w:ind w:right="113"/>
              <w:jc w:val="right"/>
              <w:rPr>
                <w:sz w:val="20"/>
                <w:szCs w:val="20"/>
              </w:rPr>
            </w:pPr>
            <w:r w:rsidRPr="00585D97">
              <w:rPr>
                <w:sz w:val="20"/>
                <w:szCs w:val="20"/>
              </w:rPr>
              <w:t>$4.</w:t>
            </w:r>
            <w:r>
              <w:rPr>
                <w:sz w:val="20"/>
                <w:szCs w:val="20"/>
              </w:rPr>
              <w:t>40</w:t>
            </w:r>
          </w:p>
        </w:tc>
      </w:tr>
      <w:tr w:rsidR="008764D4" w14:paraId="30DD3F35" w14:textId="77777777" w:rsidTr="0F3B4C48">
        <w:trPr>
          <w:cnfStyle w:val="000000100000" w:firstRow="0" w:lastRow="0" w:firstColumn="0" w:lastColumn="0" w:oddVBand="0" w:evenVBand="0" w:oddHBand="1" w:evenHBand="0" w:firstRowFirstColumn="0" w:firstRowLastColumn="0" w:lastRowFirstColumn="0" w:lastRowLastColumn="0"/>
        </w:trPr>
        <w:tc>
          <w:tcPr>
            <w:tcW w:w="7797" w:type="dxa"/>
            <w:gridSpan w:val="2"/>
          </w:tcPr>
          <w:p w14:paraId="36EB0F2D" w14:textId="77777777" w:rsidR="008764D4" w:rsidRPr="00585D97" w:rsidRDefault="008764D4">
            <w:pPr>
              <w:pStyle w:val="TableBody"/>
              <w:rPr>
                <w:sz w:val="20"/>
                <w:szCs w:val="20"/>
              </w:rPr>
            </w:pPr>
            <w:r w:rsidRPr="00585D97">
              <w:rPr>
                <w:sz w:val="20"/>
                <w:szCs w:val="20"/>
              </w:rPr>
              <w:t>Distance rate ($/km) (applies when speed is above 21 km/hr)</w:t>
            </w:r>
          </w:p>
        </w:tc>
        <w:tc>
          <w:tcPr>
            <w:tcW w:w="1563" w:type="dxa"/>
            <w:vAlign w:val="center"/>
          </w:tcPr>
          <w:p w14:paraId="72B1FA53" w14:textId="437D6333" w:rsidR="008764D4" w:rsidRPr="00585D97" w:rsidRDefault="008764D4">
            <w:pPr>
              <w:pStyle w:val="TableBody"/>
              <w:ind w:right="113"/>
              <w:jc w:val="right"/>
              <w:rPr>
                <w:sz w:val="20"/>
                <w:szCs w:val="20"/>
              </w:rPr>
            </w:pPr>
            <w:r w:rsidRPr="00585D97">
              <w:rPr>
                <w:sz w:val="20"/>
                <w:szCs w:val="20"/>
              </w:rPr>
              <w:t>$2.</w:t>
            </w:r>
            <w:r w:rsidR="00E11C9F">
              <w:rPr>
                <w:sz w:val="20"/>
                <w:szCs w:val="20"/>
              </w:rPr>
              <w:t>245</w:t>
            </w:r>
          </w:p>
        </w:tc>
      </w:tr>
      <w:tr w:rsidR="008764D4" w14:paraId="7F18E0C0" w14:textId="77777777" w:rsidTr="0F3B4C48">
        <w:trPr>
          <w:cnfStyle w:val="000000010000" w:firstRow="0" w:lastRow="0" w:firstColumn="0" w:lastColumn="0" w:oddVBand="0" w:evenVBand="0" w:oddHBand="0" w:evenHBand="1" w:firstRowFirstColumn="0" w:firstRowLastColumn="0" w:lastRowFirstColumn="0" w:lastRowLastColumn="0"/>
        </w:trPr>
        <w:tc>
          <w:tcPr>
            <w:tcW w:w="7797" w:type="dxa"/>
            <w:gridSpan w:val="2"/>
          </w:tcPr>
          <w:p w14:paraId="32CEB43D" w14:textId="77777777" w:rsidR="008764D4" w:rsidRPr="00585D97" w:rsidRDefault="008764D4">
            <w:pPr>
              <w:pStyle w:val="TableBody"/>
              <w:rPr>
                <w:sz w:val="20"/>
                <w:szCs w:val="20"/>
              </w:rPr>
            </w:pPr>
            <w:r w:rsidRPr="00585D97">
              <w:rPr>
                <w:sz w:val="20"/>
                <w:szCs w:val="20"/>
              </w:rPr>
              <w:t>Detention rate ($/min) (applies when speed is below 21 km/hr)</w:t>
            </w:r>
          </w:p>
        </w:tc>
        <w:tc>
          <w:tcPr>
            <w:tcW w:w="1563" w:type="dxa"/>
            <w:vAlign w:val="center"/>
          </w:tcPr>
          <w:p w14:paraId="3EE555C9" w14:textId="55D1DF32" w:rsidR="008764D4" w:rsidRPr="00585D97" w:rsidRDefault="008764D4">
            <w:pPr>
              <w:pStyle w:val="TableBody"/>
              <w:ind w:right="113"/>
              <w:jc w:val="right"/>
              <w:rPr>
                <w:sz w:val="20"/>
                <w:szCs w:val="20"/>
              </w:rPr>
            </w:pPr>
            <w:r w:rsidRPr="00585D97">
              <w:rPr>
                <w:sz w:val="20"/>
                <w:szCs w:val="20"/>
              </w:rPr>
              <w:t>$0.</w:t>
            </w:r>
            <w:r w:rsidR="00E11C9F" w:rsidRPr="00585D97">
              <w:rPr>
                <w:sz w:val="20"/>
                <w:szCs w:val="20"/>
              </w:rPr>
              <w:t>7</w:t>
            </w:r>
            <w:r w:rsidR="00E11C9F">
              <w:rPr>
                <w:sz w:val="20"/>
                <w:szCs w:val="20"/>
              </w:rPr>
              <w:t>85</w:t>
            </w:r>
          </w:p>
        </w:tc>
      </w:tr>
      <w:tr w:rsidR="008764D4" w14:paraId="4BA3EF5E" w14:textId="77777777" w:rsidTr="0F3B4C48">
        <w:trPr>
          <w:cnfStyle w:val="000000100000" w:firstRow="0" w:lastRow="0" w:firstColumn="0" w:lastColumn="0" w:oddVBand="0" w:evenVBand="0" w:oddHBand="1" w:evenHBand="0" w:firstRowFirstColumn="0" w:firstRowLastColumn="0" w:lastRowFirstColumn="0" w:lastRowLastColumn="0"/>
        </w:trPr>
        <w:tc>
          <w:tcPr>
            <w:tcW w:w="7797" w:type="dxa"/>
            <w:gridSpan w:val="2"/>
          </w:tcPr>
          <w:p w14:paraId="787312B1" w14:textId="77777777" w:rsidR="008764D4" w:rsidRPr="00585D97" w:rsidRDefault="008764D4">
            <w:pPr>
              <w:pStyle w:val="TableBody"/>
              <w:rPr>
                <w:b/>
                <w:sz w:val="20"/>
                <w:szCs w:val="20"/>
              </w:rPr>
            </w:pPr>
            <w:r w:rsidRPr="00585D97">
              <w:rPr>
                <w:b/>
                <w:sz w:val="20"/>
                <w:szCs w:val="20"/>
              </w:rPr>
              <w:t>High occupancy trips</w:t>
            </w:r>
          </w:p>
        </w:tc>
        <w:tc>
          <w:tcPr>
            <w:tcW w:w="1563" w:type="dxa"/>
          </w:tcPr>
          <w:p w14:paraId="71A114B2" w14:textId="77777777" w:rsidR="008764D4" w:rsidRPr="00585D97" w:rsidRDefault="008764D4">
            <w:pPr>
              <w:pStyle w:val="TableBody"/>
              <w:rPr>
                <w:b/>
                <w:sz w:val="20"/>
                <w:szCs w:val="20"/>
              </w:rPr>
            </w:pPr>
          </w:p>
        </w:tc>
      </w:tr>
      <w:tr w:rsidR="008764D4" w14:paraId="30852B3D" w14:textId="77777777" w:rsidTr="0F3B4C48">
        <w:trPr>
          <w:cnfStyle w:val="000000010000" w:firstRow="0" w:lastRow="0" w:firstColumn="0" w:lastColumn="0" w:oddVBand="0" w:evenVBand="0" w:oddHBand="0" w:evenHBand="1" w:firstRowFirstColumn="0" w:firstRowLastColumn="0" w:lastRowFirstColumn="0" w:lastRowLastColumn="0"/>
        </w:trPr>
        <w:tc>
          <w:tcPr>
            <w:tcW w:w="9360" w:type="dxa"/>
            <w:gridSpan w:val="3"/>
          </w:tcPr>
          <w:p w14:paraId="6B22C8FB" w14:textId="39DACB2A" w:rsidR="008764D4" w:rsidRPr="00585D97" w:rsidRDefault="008764D4">
            <w:pPr>
              <w:pStyle w:val="TableBody"/>
              <w:rPr>
                <w:sz w:val="20"/>
                <w:szCs w:val="20"/>
              </w:rPr>
            </w:pPr>
            <w:r w:rsidRPr="00585D97">
              <w:rPr>
                <w:sz w:val="20"/>
                <w:szCs w:val="20"/>
              </w:rPr>
              <w:t xml:space="preserve">For trips with </w:t>
            </w:r>
            <w:r w:rsidRPr="005073B8">
              <w:rPr>
                <w:sz w:val="20"/>
                <w:szCs w:val="20"/>
              </w:rPr>
              <w:t xml:space="preserve">five or more passengers (excluding children under 5) or where </w:t>
            </w:r>
            <w:r w:rsidR="00CC05F7">
              <w:rPr>
                <w:sz w:val="20"/>
                <w:szCs w:val="20"/>
              </w:rPr>
              <w:t>a vehicle</w:t>
            </w:r>
            <w:r w:rsidRPr="005073B8">
              <w:rPr>
                <w:sz w:val="20"/>
                <w:szCs w:val="20"/>
              </w:rPr>
              <w:t xml:space="preserve"> larger than </w:t>
            </w:r>
            <w:r w:rsidR="00CC05F7">
              <w:rPr>
                <w:sz w:val="20"/>
                <w:szCs w:val="20"/>
              </w:rPr>
              <w:t xml:space="preserve">a </w:t>
            </w:r>
            <w:r w:rsidRPr="005073B8">
              <w:rPr>
                <w:sz w:val="20"/>
                <w:szCs w:val="20"/>
              </w:rPr>
              <w:t xml:space="preserve">standard </w:t>
            </w:r>
            <w:r w:rsidR="00CC05F7">
              <w:rPr>
                <w:sz w:val="20"/>
                <w:szCs w:val="20"/>
              </w:rPr>
              <w:t>taxi is</w:t>
            </w:r>
            <w:r w:rsidRPr="005073B8">
              <w:rPr>
                <w:sz w:val="20"/>
                <w:szCs w:val="20"/>
              </w:rPr>
              <w:t xml:space="preserve"> </w:t>
            </w:r>
            <w:r w:rsidR="00836076">
              <w:rPr>
                <w:sz w:val="20"/>
                <w:szCs w:val="20"/>
              </w:rPr>
              <w:t>required</w:t>
            </w:r>
            <w:r w:rsidRPr="005073B8">
              <w:rPr>
                <w:sz w:val="20"/>
                <w:szCs w:val="20"/>
              </w:rPr>
              <w:t xml:space="preserve"> regardless of the number of passengers (except where the </w:t>
            </w:r>
            <w:r w:rsidR="00A24AEC">
              <w:rPr>
                <w:sz w:val="20"/>
                <w:szCs w:val="20"/>
              </w:rPr>
              <w:t>vehicle is</w:t>
            </w:r>
            <w:r w:rsidR="00A24AEC" w:rsidRPr="005073B8">
              <w:rPr>
                <w:sz w:val="20"/>
                <w:szCs w:val="20"/>
              </w:rPr>
              <w:t xml:space="preserve"> </w:t>
            </w:r>
            <w:r w:rsidR="00535A19">
              <w:rPr>
                <w:sz w:val="20"/>
                <w:szCs w:val="20"/>
              </w:rPr>
              <w:t>hired</w:t>
            </w:r>
            <w:r w:rsidRPr="005073B8">
              <w:rPr>
                <w:sz w:val="20"/>
                <w:szCs w:val="20"/>
              </w:rPr>
              <w:t xml:space="preserve"> for </w:t>
            </w:r>
            <w:r w:rsidR="0002474C">
              <w:rPr>
                <w:sz w:val="20"/>
                <w:szCs w:val="20"/>
              </w:rPr>
              <w:t>the carriage of</w:t>
            </w:r>
            <w:r w:rsidRPr="005073B8">
              <w:rPr>
                <w:sz w:val="20"/>
                <w:szCs w:val="20"/>
              </w:rPr>
              <w:t xml:space="preserve"> one or more persons who use a wheelchair or other mobility aid)</w:t>
            </w:r>
            <w:r w:rsidRPr="00585D97">
              <w:rPr>
                <w:sz w:val="20"/>
                <w:szCs w:val="20"/>
              </w:rPr>
              <w:t>: not applicable if the commercial passenger vehicle does not have the capacity for carriage of 5 or more passengers in fixed seats. ‘Fixed seats’ does not include positions for the carriage of persons in wheelchairs.</w:t>
            </w:r>
          </w:p>
        </w:tc>
      </w:tr>
      <w:tr w:rsidR="008764D4" w14:paraId="19196BB4" w14:textId="77777777" w:rsidTr="0F3B4C48">
        <w:trPr>
          <w:cnfStyle w:val="000000100000" w:firstRow="0" w:lastRow="0" w:firstColumn="0" w:lastColumn="0" w:oddVBand="0" w:evenVBand="0" w:oddHBand="1" w:evenHBand="0" w:firstRowFirstColumn="0" w:firstRowLastColumn="0" w:lastRowFirstColumn="0" w:lastRowLastColumn="0"/>
        </w:trPr>
        <w:tc>
          <w:tcPr>
            <w:tcW w:w="7797" w:type="dxa"/>
            <w:gridSpan w:val="2"/>
          </w:tcPr>
          <w:p w14:paraId="7FD885EB" w14:textId="77777777" w:rsidR="008764D4" w:rsidRPr="00585D97" w:rsidRDefault="008764D4" w:rsidP="0F3B4C48">
            <w:pPr>
              <w:pStyle w:val="TableBody"/>
              <w:rPr>
                <w:sz w:val="20"/>
                <w:szCs w:val="20"/>
                <w:lang w:val="en-AU"/>
              </w:rPr>
            </w:pPr>
            <w:r w:rsidRPr="0F3B4C48">
              <w:rPr>
                <w:sz w:val="20"/>
                <w:szCs w:val="20"/>
                <w:lang w:val="en-AU"/>
              </w:rPr>
              <w:t>Flagfall ($)</w:t>
            </w:r>
          </w:p>
        </w:tc>
        <w:tc>
          <w:tcPr>
            <w:tcW w:w="1563" w:type="dxa"/>
            <w:vAlign w:val="center"/>
          </w:tcPr>
          <w:p w14:paraId="30968281" w14:textId="77777777" w:rsidR="008764D4" w:rsidRPr="00585D97" w:rsidRDefault="008764D4">
            <w:pPr>
              <w:pStyle w:val="TableBody"/>
              <w:ind w:right="113"/>
              <w:jc w:val="right"/>
              <w:rPr>
                <w:sz w:val="20"/>
                <w:szCs w:val="20"/>
              </w:rPr>
            </w:pPr>
            <w:r w:rsidRPr="00585D97">
              <w:rPr>
                <w:sz w:val="20"/>
                <w:szCs w:val="20"/>
              </w:rPr>
              <w:t>$4.</w:t>
            </w:r>
            <w:r>
              <w:rPr>
                <w:sz w:val="20"/>
                <w:szCs w:val="20"/>
              </w:rPr>
              <w:t>40</w:t>
            </w:r>
          </w:p>
        </w:tc>
      </w:tr>
      <w:tr w:rsidR="008764D4" w14:paraId="6DC16F4D" w14:textId="77777777" w:rsidTr="0F3B4C48">
        <w:trPr>
          <w:cnfStyle w:val="000000010000" w:firstRow="0" w:lastRow="0" w:firstColumn="0" w:lastColumn="0" w:oddVBand="0" w:evenVBand="0" w:oddHBand="0" w:evenHBand="1" w:firstRowFirstColumn="0" w:firstRowLastColumn="0" w:lastRowFirstColumn="0" w:lastRowLastColumn="0"/>
        </w:trPr>
        <w:tc>
          <w:tcPr>
            <w:tcW w:w="7797" w:type="dxa"/>
            <w:gridSpan w:val="2"/>
          </w:tcPr>
          <w:p w14:paraId="7F458DE3" w14:textId="77777777" w:rsidR="008764D4" w:rsidRPr="00585D97" w:rsidRDefault="008764D4">
            <w:pPr>
              <w:pStyle w:val="TableBody"/>
              <w:rPr>
                <w:sz w:val="20"/>
                <w:szCs w:val="20"/>
              </w:rPr>
            </w:pPr>
            <w:r w:rsidRPr="00585D97">
              <w:rPr>
                <w:sz w:val="20"/>
                <w:szCs w:val="20"/>
              </w:rPr>
              <w:t>Distance rate ($/km) (applies when speed is above 21 km/hr)</w:t>
            </w:r>
          </w:p>
        </w:tc>
        <w:tc>
          <w:tcPr>
            <w:tcW w:w="1563" w:type="dxa"/>
            <w:vAlign w:val="center"/>
          </w:tcPr>
          <w:p w14:paraId="2A6131D5" w14:textId="01157197" w:rsidR="008764D4" w:rsidRPr="00585D97" w:rsidRDefault="008764D4">
            <w:pPr>
              <w:pStyle w:val="TableBody"/>
              <w:ind w:right="113"/>
              <w:jc w:val="right"/>
              <w:rPr>
                <w:sz w:val="20"/>
                <w:szCs w:val="20"/>
              </w:rPr>
            </w:pPr>
            <w:r w:rsidRPr="00585D97">
              <w:rPr>
                <w:sz w:val="20"/>
                <w:szCs w:val="20"/>
              </w:rPr>
              <w:t>$3.</w:t>
            </w:r>
            <w:r w:rsidR="00E11C9F">
              <w:rPr>
                <w:sz w:val="20"/>
                <w:szCs w:val="20"/>
              </w:rPr>
              <w:t>421</w:t>
            </w:r>
          </w:p>
        </w:tc>
      </w:tr>
      <w:tr w:rsidR="008764D4" w14:paraId="586ED834" w14:textId="77777777" w:rsidTr="0F3B4C48">
        <w:trPr>
          <w:cnfStyle w:val="000000100000" w:firstRow="0" w:lastRow="0" w:firstColumn="0" w:lastColumn="0" w:oddVBand="0" w:evenVBand="0" w:oddHBand="1" w:evenHBand="0" w:firstRowFirstColumn="0" w:firstRowLastColumn="0" w:lastRowFirstColumn="0" w:lastRowLastColumn="0"/>
        </w:trPr>
        <w:tc>
          <w:tcPr>
            <w:tcW w:w="7797" w:type="dxa"/>
            <w:gridSpan w:val="2"/>
          </w:tcPr>
          <w:p w14:paraId="30D7BC48" w14:textId="77777777" w:rsidR="008764D4" w:rsidRPr="00585D97" w:rsidRDefault="008764D4">
            <w:pPr>
              <w:pStyle w:val="TableBody"/>
              <w:rPr>
                <w:sz w:val="20"/>
                <w:szCs w:val="20"/>
              </w:rPr>
            </w:pPr>
            <w:r w:rsidRPr="00585D97">
              <w:rPr>
                <w:sz w:val="20"/>
                <w:szCs w:val="20"/>
              </w:rPr>
              <w:t>Detention rate ($/min) (applies when speed is below 21 km/hr)</w:t>
            </w:r>
          </w:p>
        </w:tc>
        <w:tc>
          <w:tcPr>
            <w:tcW w:w="1563" w:type="dxa"/>
            <w:vAlign w:val="center"/>
          </w:tcPr>
          <w:p w14:paraId="5F5EF1CB" w14:textId="24B2EF1F" w:rsidR="008764D4" w:rsidRPr="00585D97" w:rsidRDefault="008764D4">
            <w:pPr>
              <w:pStyle w:val="TableBody"/>
              <w:ind w:right="113"/>
              <w:jc w:val="right"/>
              <w:rPr>
                <w:sz w:val="20"/>
                <w:szCs w:val="20"/>
              </w:rPr>
            </w:pPr>
            <w:r w:rsidRPr="00585D97">
              <w:rPr>
                <w:sz w:val="20"/>
                <w:szCs w:val="20"/>
              </w:rPr>
              <w:t>$1.</w:t>
            </w:r>
            <w:r w:rsidR="00E11C9F">
              <w:rPr>
                <w:sz w:val="20"/>
                <w:szCs w:val="20"/>
              </w:rPr>
              <w:t>198</w:t>
            </w:r>
          </w:p>
        </w:tc>
      </w:tr>
      <w:tr w:rsidR="008764D4" w:rsidRPr="00585D97" w14:paraId="70DBA872" w14:textId="77777777" w:rsidTr="0F3B4C48">
        <w:trPr>
          <w:cnfStyle w:val="000000010000" w:firstRow="0" w:lastRow="0" w:firstColumn="0" w:lastColumn="0" w:oddVBand="0" w:evenVBand="0" w:oddHBand="0" w:evenHBand="1" w:firstRowFirstColumn="0" w:firstRowLastColumn="0" w:lastRowFirstColumn="0" w:lastRowLastColumn="0"/>
        </w:trPr>
        <w:tc>
          <w:tcPr>
            <w:tcW w:w="9360" w:type="dxa"/>
            <w:gridSpan w:val="3"/>
            <w:vAlign w:val="center"/>
          </w:tcPr>
          <w:p w14:paraId="2F692C77" w14:textId="77777777" w:rsidR="008764D4" w:rsidRPr="00585D97" w:rsidRDefault="008764D4">
            <w:pPr>
              <w:pStyle w:val="TableBody"/>
              <w:ind w:right="113"/>
              <w:rPr>
                <w:b/>
                <w:sz w:val="20"/>
                <w:szCs w:val="20"/>
              </w:rPr>
            </w:pPr>
            <w:r w:rsidRPr="00585D97">
              <w:rPr>
                <w:b/>
                <w:sz w:val="20"/>
                <w:szCs w:val="20"/>
              </w:rPr>
              <w:t>Other fare components</w:t>
            </w:r>
          </w:p>
        </w:tc>
      </w:tr>
      <w:tr w:rsidR="008764D4" w14:paraId="47082E5E" w14:textId="77777777" w:rsidTr="0F3B4C48">
        <w:trPr>
          <w:cnfStyle w:val="000000100000" w:firstRow="0" w:lastRow="0" w:firstColumn="0" w:lastColumn="0" w:oddVBand="0" w:evenVBand="0" w:oddHBand="1" w:evenHBand="0" w:firstRowFirstColumn="0" w:firstRowLastColumn="0" w:lastRowFirstColumn="0" w:lastRowLastColumn="0"/>
        </w:trPr>
        <w:tc>
          <w:tcPr>
            <w:tcW w:w="2694" w:type="dxa"/>
          </w:tcPr>
          <w:p w14:paraId="35DA07BD" w14:textId="77777777" w:rsidR="008764D4" w:rsidRPr="00585D97" w:rsidRDefault="008764D4">
            <w:pPr>
              <w:pStyle w:val="TableBody"/>
              <w:rPr>
                <w:sz w:val="20"/>
                <w:szCs w:val="20"/>
              </w:rPr>
            </w:pPr>
            <w:r w:rsidRPr="00585D97">
              <w:rPr>
                <w:sz w:val="20"/>
                <w:szCs w:val="20"/>
              </w:rPr>
              <w:t>Late night fee</w:t>
            </w:r>
          </w:p>
        </w:tc>
        <w:tc>
          <w:tcPr>
            <w:tcW w:w="5103" w:type="dxa"/>
          </w:tcPr>
          <w:p w14:paraId="0867ADE9" w14:textId="10A1DA1A" w:rsidR="008764D4" w:rsidRPr="00585D97" w:rsidRDefault="008764D4" w:rsidP="0F3B4C48">
            <w:pPr>
              <w:pStyle w:val="TableBody"/>
              <w:rPr>
                <w:sz w:val="20"/>
                <w:szCs w:val="20"/>
                <w:lang w:val="en-AU"/>
              </w:rPr>
            </w:pPr>
            <w:r w:rsidRPr="0F3B4C48">
              <w:rPr>
                <w:sz w:val="20"/>
                <w:szCs w:val="20"/>
                <w:lang w:val="en-AU"/>
              </w:rPr>
              <w:t>For trips commencing between 7pm on Friday and Saturday nights through to 6am the following morning; and from midnight to 6am on all other days</w:t>
            </w:r>
            <w:r w:rsidR="00CE112E" w:rsidRPr="0F3B4C48">
              <w:rPr>
                <w:b/>
                <w:bCs/>
                <w:sz w:val="20"/>
                <w:szCs w:val="20"/>
                <w:vertAlign w:val="superscript"/>
                <w:lang w:val="en-AU"/>
              </w:rPr>
              <w:t>a</w:t>
            </w:r>
          </w:p>
        </w:tc>
        <w:tc>
          <w:tcPr>
            <w:tcW w:w="1563" w:type="dxa"/>
          </w:tcPr>
          <w:p w14:paraId="0C878BBB" w14:textId="260924F2" w:rsidR="008764D4" w:rsidRPr="00585D97" w:rsidRDefault="008764D4">
            <w:pPr>
              <w:pStyle w:val="TableBody"/>
              <w:ind w:right="113"/>
              <w:jc w:val="right"/>
              <w:rPr>
                <w:sz w:val="20"/>
                <w:szCs w:val="20"/>
              </w:rPr>
            </w:pPr>
            <w:r w:rsidRPr="00585D97">
              <w:rPr>
                <w:sz w:val="20"/>
                <w:szCs w:val="20"/>
              </w:rPr>
              <w:t>$</w:t>
            </w:r>
            <w:r>
              <w:rPr>
                <w:sz w:val="20"/>
                <w:szCs w:val="20"/>
              </w:rPr>
              <w:t>4</w:t>
            </w:r>
            <w:r w:rsidRPr="00585D97">
              <w:rPr>
                <w:sz w:val="20"/>
                <w:szCs w:val="20"/>
              </w:rPr>
              <w:t>.</w:t>
            </w:r>
            <w:r w:rsidR="00C749D2">
              <w:rPr>
                <w:sz w:val="20"/>
                <w:szCs w:val="20"/>
              </w:rPr>
              <w:t>15</w:t>
            </w:r>
          </w:p>
        </w:tc>
      </w:tr>
      <w:tr w:rsidR="008764D4" w14:paraId="0E2BDFFA" w14:textId="77777777" w:rsidTr="0F3B4C48">
        <w:trPr>
          <w:cnfStyle w:val="000000010000" w:firstRow="0" w:lastRow="0" w:firstColumn="0" w:lastColumn="0" w:oddVBand="0" w:evenVBand="0" w:oddHBand="0" w:evenHBand="1" w:firstRowFirstColumn="0" w:firstRowLastColumn="0" w:lastRowFirstColumn="0" w:lastRowLastColumn="0"/>
        </w:trPr>
        <w:tc>
          <w:tcPr>
            <w:tcW w:w="2694" w:type="dxa"/>
          </w:tcPr>
          <w:p w14:paraId="1FE7B726" w14:textId="296B6C5E" w:rsidR="008764D4" w:rsidRPr="00585D97" w:rsidRDefault="008764D4" w:rsidP="0F3B4C48">
            <w:pPr>
              <w:pStyle w:val="TableBody"/>
              <w:rPr>
                <w:sz w:val="20"/>
                <w:szCs w:val="20"/>
                <w:lang w:val="en-AU"/>
              </w:rPr>
            </w:pPr>
            <w:r w:rsidRPr="0F3B4C48">
              <w:rPr>
                <w:sz w:val="20"/>
                <w:szCs w:val="20"/>
                <w:lang w:val="en-AU"/>
              </w:rPr>
              <w:t xml:space="preserve">Holiday </w:t>
            </w:r>
            <w:r w:rsidR="00E9682B">
              <w:rPr>
                <w:sz w:val="20"/>
                <w:szCs w:val="20"/>
                <w:lang w:val="en-AU"/>
              </w:rPr>
              <w:t>fee</w:t>
            </w:r>
            <w:r w:rsidRPr="0F3B4C48">
              <w:rPr>
                <w:b/>
                <w:bCs/>
                <w:sz w:val="20"/>
                <w:szCs w:val="20"/>
                <w:vertAlign w:val="superscript"/>
                <w:lang w:val="en-AU"/>
              </w:rPr>
              <w:t>b</w:t>
            </w:r>
          </w:p>
        </w:tc>
        <w:tc>
          <w:tcPr>
            <w:tcW w:w="5103" w:type="dxa"/>
          </w:tcPr>
          <w:p w14:paraId="1769EEF8" w14:textId="77777777" w:rsidR="008764D4" w:rsidRPr="00585D97" w:rsidRDefault="008764D4">
            <w:pPr>
              <w:pStyle w:val="TableBody"/>
              <w:rPr>
                <w:sz w:val="20"/>
                <w:szCs w:val="20"/>
              </w:rPr>
            </w:pPr>
          </w:p>
        </w:tc>
        <w:tc>
          <w:tcPr>
            <w:tcW w:w="1563" w:type="dxa"/>
          </w:tcPr>
          <w:p w14:paraId="5601627B" w14:textId="77777777" w:rsidR="008764D4" w:rsidRPr="00585D97" w:rsidRDefault="008764D4">
            <w:pPr>
              <w:pStyle w:val="TableBody"/>
              <w:ind w:right="113"/>
              <w:jc w:val="right"/>
              <w:rPr>
                <w:sz w:val="20"/>
                <w:szCs w:val="20"/>
              </w:rPr>
            </w:pPr>
            <w:r w:rsidRPr="00585D97">
              <w:rPr>
                <w:sz w:val="20"/>
                <w:szCs w:val="20"/>
              </w:rPr>
              <w:t>$</w:t>
            </w:r>
            <w:r>
              <w:rPr>
                <w:sz w:val="20"/>
                <w:szCs w:val="20"/>
              </w:rPr>
              <w:t>5</w:t>
            </w:r>
            <w:r w:rsidRPr="00585D97">
              <w:rPr>
                <w:sz w:val="20"/>
                <w:szCs w:val="20"/>
              </w:rPr>
              <w:t>.</w:t>
            </w:r>
            <w:r>
              <w:rPr>
                <w:sz w:val="20"/>
                <w:szCs w:val="20"/>
              </w:rPr>
              <w:t>10</w:t>
            </w:r>
          </w:p>
        </w:tc>
      </w:tr>
      <w:tr w:rsidR="008764D4" w14:paraId="1CAF8D8E" w14:textId="77777777" w:rsidTr="0F3B4C48">
        <w:trPr>
          <w:cnfStyle w:val="000000100000" w:firstRow="0" w:lastRow="0" w:firstColumn="0" w:lastColumn="0" w:oddVBand="0" w:evenVBand="0" w:oddHBand="1" w:evenHBand="0" w:firstRowFirstColumn="0" w:firstRowLastColumn="0" w:lastRowFirstColumn="0" w:lastRowLastColumn="0"/>
        </w:trPr>
        <w:tc>
          <w:tcPr>
            <w:tcW w:w="2694" w:type="dxa"/>
          </w:tcPr>
          <w:p w14:paraId="443C44C0" w14:textId="77777777" w:rsidR="008764D4" w:rsidRPr="00585D97" w:rsidRDefault="008764D4">
            <w:pPr>
              <w:pStyle w:val="TableBody"/>
              <w:rPr>
                <w:sz w:val="20"/>
                <w:szCs w:val="20"/>
              </w:rPr>
            </w:pPr>
            <w:r w:rsidRPr="00585D97">
              <w:rPr>
                <w:sz w:val="20"/>
                <w:szCs w:val="20"/>
              </w:rPr>
              <w:t>CPV levy recovery fee</w:t>
            </w:r>
          </w:p>
        </w:tc>
        <w:tc>
          <w:tcPr>
            <w:tcW w:w="5103" w:type="dxa"/>
          </w:tcPr>
          <w:p w14:paraId="572645CD" w14:textId="77777777" w:rsidR="008764D4" w:rsidRPr="00585D97" w:rsidRDefault="008764D4">
            <w:pPr>
              <w:pStyle w:val="TableBody"/>
              <w:rPr>
                <w:sz w:val="20"/>
                <w:szCs w:val="20"/>
              </w:rPr>
            </w:pPr>
          </w:p>
        </w:tc>
        <w:tc>
          <w:tcPr>
            <w:tcW w:w="1563" w:type="dxa"/>
          </w:tcPr>
          <w:p w14:paraId="7250B152" w14:textId="77777777" w:rsidR="008764D4" w:rsidRPr="00585D97" w:rsidRDefault="008764D4">
            <w:pPr>
              <w:pStyle w:val="TableBody"/>
              <w:ind w:right="113"/>
              <w:jc w:val="right"/>
              <w:rPr>
                <w:sz w:val="20"/>
                <w:szCs w:val="20"/>
              </w:rPr>
            </w:pPr>
            <w:r w:rsidRPr="00585D97">
              <w:rPr>
                <w:sz w:val="20"/>
                <w:szCs w:val="20"/>
              </w:rPr>
              <w:t>Pass-through</w:t>
            </w:r>
          </w:p>
        </w:tc>
      </w:tr>
      <w:tr w:rsidR="008764D4" w14:paraId="205115C7" w14:textId="77777777" w:rsidTr="0F3B4C48">
        <w:trPr>
          <w:cnfStyle w:val="000000010000" w:firstRow="0" w:lastRow="0" w:firstColumn="0" w:lastColumn="0" w:oddVBand="0" w:evenVBand="0" w:oddHBand="0" w:evenHBand="1" w:firstRowFirstColumn="0" w:firstRowLastColumn="0" w:lastRowFirstColumn="0" w:lastRowLastColumn="0"/>
        </w:trPr>
        <w:tc>
          <w:tcPr>
            <w:tcW w:w="2694" w:type="dxa"/>
          </w:tcPr>
          <w:p w14:paraId="15D63051" w14:textId="77777777" w:rsidR="008764D4" w:rsidRPr="00585D97" w:rsidRDefault="008764D4" w:rsidP="0F3B4C48">
            <w:pPr>
              <w:pStyle w:val="TableBody"/>
              <w:rPr>
                <w:sz w:val="20"/>
                <w:szCs w:val="20"/>
                <w:lang w:val="en-AU"/>
              </w:rPr>
            </w:pPr>
            <w:r w:rsidRPr="0F3B4C48">
              <w:rPr>
                <w:sz w:val="20"/>
                <w:szCs w:val="20"/>
                <w:lang w:val="en-AU"/>
              </w:rPr>
              <w:t>CityLink and EastLink tolls</w:t>
            </w:r>
            <w:r w:rsidRPr="0F3B4C48">
              <w:rPr>
                <w:b/>
                <w:bCs/>
                <w:sz w:val="20"/>
                <w:szCs w:val="20"/>
                <w:vertAlign w:val="superscript"/>
                <w:lang w:val="en-AU"/>
              </w:rPr>
              <w:t>c</w:t>
            </w:r>
          </w:p>
        </w:tc>
        <w:tc>
          <w:tcPr>
            <w:tcW w:w="5103" w:type="dxa"/>
          </w:tcPr>
          <w:p w14:paraId="550861F3" w14:textId="77777777" w:rsidR="008764D4" w:rsidRPr="00585D97" w:rsidRDefault="008764D4">
            <w:pPr>
              <w:pStyle w:val="TableBody"/>
              <w:rPr>
                <w:sz w:val="20"/>
                <w:szCs w:val="20"/>
              </w:rPr>
            </w:pPr>
          </w:p>
        </w:tc>
        <w:tc>
          <w:tcPr>
            <w:tcW w:w="1563" w:type="dxa"/>
          </w:tcPr>
          <w:p w14:paraId="3DA28EE7" w14:textId="77777777" w:rsidR="008764D4" w:rsidRPr="00585D97" w:rsidRDefault="008764D4">
            <w:pPr>
              <w:pStyle w:val="TableBody"/>
              <w:ind w:right="113"/>
              <w:jc w:val="right"/>
              <w:rPr>
                <w:sz w:val="20"/>
                <w:szCs w:val="20"/>
              </w:rPr>
            </w:pPr>
            <w:r w:rsidRPr="00585D97">
              <w:rPr>
                <w:sz w:val="20"/>
                <w:szCs w:val="20"/>
              </w:rPr>
              <w:t>Pass-through</w:t>
            </w:r>
          </w:p>
        </w:tc>
      </w:tr>
      <w:tr w:rsidR="008764D4" w14:paraId="2D839C91" w14:textId="77777777" w:rsidTr="0F3B4C48">
        <w:trPr>
          <w:cnfStyle w:val="000000100000" w:firstRow="0" w:lastRow="0" w:firstColumn="0" w:lastColumn="0" w:oddVBand="0" w:evenVBand="0" w:oddHBand="1" w:evenHBand="0" w:firstRowFirstColumn="0" w:firstRowLastColumn="0" w:lastRowFirstColumn="0" w:lastRowLastColumn="0"/>
        </w:trPr>
        <w:tc>
          <w:tcPr>
            <w:tcW w:w="2694" w:type="dxa"/>
          </w:tcPr>
          <w:p w14:paraId="61BD2F4F" w14:textId="77777777" w:rsidR="008764D4" w:rsidRPr="00585D97" w:rsidRDefault="008764D4">
            <w:pPr>
              <w:pStyle w:val="TableBody"/>
              <w:rPr>
                <w:sz w:val="20"/>
                <w:szCs w:val="20"/>
              </w:rPr>
            </w:pPr>
            <w:r w:rsidRPr="00585D97">
              <w:rPr>
                <w:sz w:val="20"/>
                <w:szCs w:val="20"/>
              </w:rPr>
              <w:t>Airport taxi rank fee</w:t>
            </w:r>
            <w:r w:rsidRPr="00585D97">
              <w:rPr>
                <w:b/>
                <w:bCs/>
                <w:sz w:val="20"/>
                <w:szCs w:val="20"/>
                <w:vertAlign w:val="superscript"/>
              </w:rPr>
              <w:t>d</w:t>
            </w:r>
          </w:p>
        </w:tc>
        <w:tc>
          <w:tcPr>
            <w:tcW w:w="5103" w:type="dxa"/>
          </w:tcPr>
          <w:p w14:paraId="31CCD67F" w14:textId="77777777" w:rsidR="008764D4" w:rsidRPr="00585D97" w:rsidRDefault="008764D4">
            <w:pPr>
              <w:pStyle w:val="TableBody"/>
              <w:rPr>
                <w:sz w:val="20"/>
                <w:szCs w:val="20"/>
              </w:rPr>
            </w:pPr>
            <w:r w:rsidRPr="00585D97">
              <w:rPr>
                <w:sz w:val="20"/>
                <w:szCs w:val="20"/>
              </w:rPr>
              <w:t>For trips from the airport rank</w:t>
            </w:r>
          </w:p>
        </w:tc>
        <w:tc>
          <w:tcPr>
            <w:tcW w:w="1563" w:type="dxa"/>
          </w:tcPr>
          <w:p w14:paraId="1A4D9616" w14:textId="77777777" w:rsidR="008764D4" w:rsidRPr="00585D97" w:rsidRDefault="008764D4">
            <w:pPr>
              <w:pStyle w:val="TableBody"/>
              <w:ind w:right="113"/>
              <w:jc w:val="right"/>
              <w:rPr>
                <w:sz w:val="20"/>
                <w:szCs w:val="20"/>
              </w:rPr>
            </w:pPr>
            <w:r w:rsidRPr="00585D97">
              <w:rPr>
                <w:sz w:val="20"/>
                <w:szCs w:val="20"/>
              </w:rPr>
              <w:t>Pass-through</w:t>
            </w:r>
          </w:p>
        </w:tc>
      </w:tr>
      <w:tr w:rsidR="008764D4" w14:paraId="56627317" w14:textId="77777777" w:rsidTr="0F3B4C48">
        <w:trPr>
          <w:cnfStyle w:val="000000010000" w:firstRow="0" w:lastRow="0" w:firstColumn="0" w:lastColumn="0" w:oddVBand="0" w:evenVBand="0" w:oddHBand="0" w:evenHBand="1" w:firstRowFirstColumn="0" w:firstRowLastColumn="0" w:lastRowFirstColumn="0" w:lastRowLastColumn="0"/>
        </w:trPr>
        <w:tc>
          <w:tcPr>
            <w:tcW w:w="2694" w:type="dxa"/>
          </w:tcPr>
          <w:p w14:paraId="2D1A2099" w14:textId="77777777" w:rsidR="008764D4" w:rsidRPr="00585D97" w:rsidRDefault="008764D4">
            <w:pPr>
              <w:pStyle w:val="TableBody"/>
              <w:rPr>
                <w:sz w:val="20"/>
                <w:szCs w:val="20"/>
              </w:rPr>
            </w:pPr>
            <w:r w:rsidRPr="00585D97">
              <w:rPr>
                <w:sz w:val="20"/>
                <w:szCs w:val="20"/>
              </w:rPr>
              <w:t>Cleaning fee</w:t>
            </w:r>
          </w:p>
        </w:tc>
        <w:tc>
          <w:tcPr>
            <w:tcW w:w="6666" w:type="dxa"/>
            <w:gridSpan w:val="2"/>
          </w:tcPr>
          <w:p w14:paraId="5E6150B7" w14:textId="77777777" w:rsidR="008764D4" w:rsidRPr="00585D97" w:rsidRDefault="008764D4">
            <w:pPr>
              <w:pStyle w:val="TableBody"/>
              <w:ind w:right="113"/>
              <w:jc w:val="right"/>
              <w:rPr>
                <w:sz w:val="20"/>
                <w:szCs w:val="20"/>
              </w:rPr>
            </w:pPr>
            <w:r w:rsidRPr="00585D97">
              <w:rPr>
                <w:sz w:val="20"/>
                <w:szCs w:val="20"/>
              </w:rPr>
              <w:t>Up to a maximum of $120</w:t>
            </w:r>
          </w:p>
        </w:tc>
      </w:tr>
    </w:tbl>
    <w:p w14:paraId="19E627CD" w14:textId="1C4E2A67" w:rsidR="008764D4" w:rsidRPr="00AC6879" w:rsidRDefault="008764D4" w:rsidP="008764D4">
      <w:pPr>
        <w:pStyle w:val="Source"/>
        <w:spacing w:after="0" w:line="288" w:lineRule="auto"/>
        <w:jc w:val="left"/>
        <w:rPr>
          <w:rFonts w:ascii="Arial" w:eastAsia="Times New Roman" w:hAnsi="Arial" w:cs="Arial"/>
          <w:iCs w:val="0"/>
          <w:color w:val="4986A0"/>
        </w:rPr>
      </w:pPr>
      <w:r w:rsidRPr="00AC6879">
        <w:rPr>
          <w:vertAlign w:val="superscript"/>
        </w:rPr>
        <w:t>a</w:t>
      </w:r>
      <w:r w:rsidRPr="00AC6879">
        <w:rPr>
          <w:rFonts w:ascii="Arial" w:eastAsia="Times New Roman" w:hAnsi="Arial" w:cs="Arial"/>
          <w:iCs w:val="0"/>
          <w:color w:val="4986A0"/>
        </w:rPr>
        <w:t xml:space="preserve"> </w:t>
      </w:r>
      <w:r w:rsidR="00CE112E" w:rsidRPr="00AC6879">
        <w:rPr>
          <w:rFonts w:ascii="Arial" w:eastAsia="Times New Roman" w:hAnsi="Arial" w:cs="Arial"/>
          <w:iCs w:val="0"/>
          <w:color w:val="4986A0"/>
        </w:rPr>
        <w:t xml:space="preserve">The ‘late night fee’ does not apply during times that the holiday rate applies. </w:t>
      </w:r>
      <w:r w:rsidR="00CE112E" w:rsidRPr="00AC6879">
        <w:rPr>
          <w:rFonts w:ascii="Arial" w:eastAsia="Times New Roman" w:hAnsi="Arial" w:cs="Arial"/>
          <w:iCs w:val="0"/>
          <w:color w:val="4986A0"/>
          <w:vertAlign w:val="superscript"/>
        </w:rPr>
        <w:t>b</w:t>
      </w:r>
      <w:r w:rsidR="00CE112E" w:rsidRPr="00AC6879">
        <w:rPr>
          <w:rFonts w:ascii="Arial" w:eastAsia="Times New Roman" w:hAnsi="Arial" w:cs="Arial"/>
          <w:iCs w:val="0"/>
          <w:color w:val="4986A0"/>
        </w:rPr>
        <w:t> </w:t>
      </w:r>
      <w:r w:rsidRPr="00AC6879">
        <w:rPr>
          <w:rFonts w:ascii="Arial" w:eastAsia="Times New Roman" w:hAnsi="Arial" w:cs="Arial"/>
          <w:iCs w:val="0"/>
          <w:color w:val="4986A0"/>
        </w:rPr>
        <w:t xml:space="preserve">For trips commencing between 7pm </w:t>
      </w:r>
      <w:r w:rsidRPr="00AC6879">
        <w:rPr>
          <w:rFonts w:ascii="Arial" w:eastAsia="Times New Roman" w:hAnsi="Arial" w:cs="Arial"/>
          <w:iCs w:val="0"/>
          <w:color w:val="4986A0"/>
          <w:u w:val="single"/>
        </w:rPr>
        <w:t>on evenings prior</w:t>
      </w:r>
      <w:r w:rsidRPr="00AC6879">
        <w:rPr>
          <w:rFonts w:ascii="Arial" w:eastAsia="Times New Roman" w:hAnsi="Arial" w:cs="Arial"/>
          <w:iCs w:val="0"/>
          <w:color w:val="4986A0"/>
        </w:rPr>
        <w:t xml:space="preserve"> to all public holidays, through to 6am the following mornings and trips commencing on Christmas Day, Boxing Day, New Year’s Day and from 6pm on New Year’s Eve. </w:t>
      </w:r>
      <w:r w:rsidRPr="00AC6879">
        <w:rPr>
          <w:rFonts w:ascii="Arial" w:eastAsia="Times New Roman" w:hAnsi="Arial" w:cs="Arial"/>
          <w:iCs w:val="0"/>
          <w:color w:val="4986A0"/>
          <w:vertAlign w:val="superscript"/>
        </w:rPr>
        <w:t>c</w:t>
      </w:r>
      <w:r w:rsidRPr="00AC6879">
        <w:rPr>
          <w:rFonts w:ascii="Arial" w:eastAsia="Times New Roman" w:hAnsi="Arial" w:cs="Arial"/>
          <w:iCs w:val="0"/>
          <w:color w:val="4986A0"/>
        </w:rPr>
        <w:t xml:space="preserve"> As published from time to time in the </w:t>
      </w:r>
      <w:r w:rsidRPr="00AC6879">
        <w:rPr>
          <w:rFonts w:ascii="Arial" w:eastAsia="Times New Roman" w:hAnsi="Arial" w:cs="Arial"/>
          <w:i/>
          <w:color w:val="4986A0"/>
        </w:rPr>
        <w:t>Victorian Government Gazette</w:t>
      </w:r>
      <w:r w:rsidRPr="00AC6879">
        <w:rPr>
          <w:rFonts w:ascii="Arial" w:eastAsia="Times New Roman" w:hAnsi="Arial" w:cs="Arial"/>
          <w:iCs w:val="0"/>
          <w:color w:val="4986A0"/>
        </w:rPr>
        <w:t xml:space="preserve"> in accordance with the </w:t>
      </w:r>
      <w:r w:rsidRPr="00AC6879">
        <w:rPr>
          <w:rFonts w:ascii="Arial" w:eastAsia="Times New Roman" w:hAnsi="Arial" w:cs="Arial"/>
          <w:i/>
          <w:color w:val="4986A0"/>
        </w:rPr>
        <w:t>Melbourne City Link Act 1995</w:t>
      </w:r>
      <w:r w:rsidRPr="00AC6879">
        <w:rPr>
          <w:rFonts w:ascii="Arial" w:eastAsia="Times New Roman" w:hAnsi="Arial" w:cs="Arial"/>
          <w:iCs w:val="0"/>
          <w:color w:val="4986A0"/>
        </w:rPr>
        <w:t xml:space="preserve"> or the </w:t>
      </w:r>
      <w:r w:rsidRPr="00AC6879">
        <w:rPr>
          <w:rFonts w:ascii="Arial" w:eastAsia="Times New Roman" w:hAnsi="Arial" w:cs="Arial"/>
          <w:i/>
          <w:color w:val="4986A0"/>
        </w:rPr>
        <w:t>EastLink Project Act 2004</w:t>
      </w:r>
      <w:r w:rsidRPr="00AC6879">
        <w:rPr>
          <w:rFonts w:ascii="Arial" w:eastAsia="Times New Roman" w:hAnsi="Arial" w:cs="Arial"/>
          <w:iCs w:val="0"/>
          <w:color w:val="4986A0"/>
        </w:rPr>
        <w:t xml:space="preserve"> as applicable. </w:t>
      </w:r>
      <w:r w:rsidRPr="00AC6879">
        <w:rPr>
          <w:rFonts w:ascii="Arial" w:eastAsia="Times New Roman" w:hAnsi="Arial" w:cs="Arial"/>
          <w:iCs w:val="0"/>
          <w:color w:val="4986A0"/>
          <w:vertAlign w:val="superscript"/>
        </w:rPr>
        <w:t>d</w:t>
      </w:r>
      <w:r w:rsidRPr="00AC6879">
        <w:rPr>
          <w:rFonts w:ascii="Arial" w:eastAsia="Times New Roman" w:hAnsi="Arial" w:cs="Arial"/>
          <w:iCs w:val="0"/>
          <w:color w:val="4986A0"/>
        </w:rPr>
        <w:t xml:space="preserve"> As published by that airport in a daily newspaper generally circulating in Victoria </w:t>
      </w:r>
      <w:r w:rsidR="00AD20CD">
        <w:rPr>
          <w:rFonts w:ascii="Arial" w:eastAsia="Times New Roman" w:hAnsi="Arial" w:cs="Arial"/>
          <w:iCs w:val="0"/>
          <w:color w:val="4986A0"/>
        </w:rPr>
        <w:t>or</w:t>
      </w:r>
      <w:r w:rsidR="00AD20CD" w:rsidRPr="00AC6879">
        <w:rPr>
          <w:rFonts w:ascii="Arial" w:eastAsia="Times New Roman" w:hAnsi="Arial" w:cs="Arial"/>
          <w:iCs w:val="0"/>
          <w:color w:val="4986A0"/>
        </w:rPr>
        <w:t xml:space="preserve"> </w:t>
      </w:r>
      <w:r w:rsidRPr="00AC6879">
        <w:rPr>
          <w:rFonts w:ascii="Arial" w:eastAsia="Times New Roman" w:hAnsi="Arial" w:cs="Arial"/>
          <w:iCs w:val="0"/>
          <w:color w:val="4986A0"/>
        </w:rPr>
        <w:t xml:space="preserve">on that airport’s website. </w:t>
      </w:r>
    </w:p>
    <w:p w14:paraId="2D91B346" w14:textId="1A8921B5" w:rsidR="008764D4" w:rsidRPr="00AC6879" w:rsidRDefault="008764D4" w:rsidP="008764D4">
      <w:pPr>
        <w:keepNext/>
        <w:keepLines/>
        <w:spacing w:before="0" w:line="259" w:lineRule="auto"/>
        <w:ind w:left="1276" w:hanging="1276"/>
        <w:rPr>
          <w:rFonts w:ascii="Arial" w:eastAsia="SimHei" w:hAnsi="Arial" w:cs="Arial"/>
          <w:b/>
          <w:color w:val="4986A0"/>
          <w:szCs w:val="24"/>
        </w:rPr>
      </w:pPr>
      <w:r w:rsidRPr="00AC6879">
        <w:rPr>
          <w:rFonts w:ascii="Arial" w:eastAsia="SimHei" w:hAnsi="Arial" w:cs="Arial"/>
          <w:b/>
          <w:color w:val="4986A0"/>
          <w:szCs w:val="24"/>
        </w:rPr>
        <w:lastRenderedPageBreak/>
        <w:t xml:space="preserve">Table </w:t>
      </w:r>
      <w:r>
        <w:rPr>
          <w:rFonts w:ascii="Arial" w:eastAsia="SimHei" w:hAnsi="Arial" w:cs="Arial"/>
          <w:b/>
          <w:color w:val="4986A0"/>
          <w:szCs w:val="24"/>
        </w:rPr>
        <w:t>A</w:t>
      </w:r>
      <w:r w:rsidRPr="00AC6879">
        <w:rPr>
          <w:rFonts w:ascii="Arial" w:eastAsia="SimHei" w:hAnsi="Arial" w:cs="Arial"/>
          <w:b/>
          <w:color w:val="4986A0"/>
          <w:szCs w:val="24"/>
        </w:rPr>
        <w:t>.4</w:t>
      </w:r>
      <w:r>
        <w:rPr>
          <w:rFonts w:ascii="Arial" w:eastAsia="SimHei" w:hAnsi="Arial" w:cs="Arial"/>
          <w:b/>
          <w:color w:val="4986A0"/>
          <w:szCs w:val="24"/>
        </w:rPr>
        <w:tab/>
      </w:r>
      <w:r w:rsidRPr="00AC6879">
        <w:rPr>
          <w:rFonts w:ascii="Arial" w:eastAsia="SimHei" w:hAnsi="Arial" w:cs="Arial"/>
          <w:b/>
          <w:color w:val="4986A0"/>
          <w:szCs w:val="24"/>
        </w:rPr>
        <w:t xml:space="preserve">Maximum fares for unbooked taxi services that begin in the </w:t>
      </w:r>
      <w:r w:rsidR="004157EF">
        <w:rPr>
          <w:rFonts w:ascii="Arial" w:eastAsia="SimHei" w:hAnsi="Arial" w:cs="Arial"/>
          <w:b/>
          <w:color w:val="4986A0"/>
          <w:szCs w:val="24"/>
        </w:rPr>
        <w:t>L</w:t>
      </w:r>
      <w:r w:rsidRPr="00AC6879">
        <w:rPr>
          <w:rFonts w:ascii="Arial" w:eastAsia="SimHei" w:hAnsi="Arial" w:cs="Arial"/>
          <w:b/>
          <w:color w:val="4986A0"/>
          <w:szCs w:val="24"/>
        </w:rPr>
        <w:t xml:space="preserve">arge </w:t>
      </w:r>
      <w:r w:rsidR="004157EF">
        <w:rPr>
          <w:rFonts w:ascii="Arial" w:eastAsia="SimHei" w:hAnsi="Arial" w:cs="Arial"/>
          <w:b/>
          <w:color w:val="4986A0"/>
          <w:szCs w:val="24"/>
        </w:rPr>
        <w:t>R</w:t>
      </w:r>
      <w:r w:rsidRPr="00AC6879">
        <w:rPr>
          <w:rFonts w:ascii="Arial" w:eastAsia="SimHei" w:hAnsi="Arial" w:cs="Arial"/>
          <w:b/>
          <w:color w:val="4986A0"/>
          <w:szCs w:val="24"/>
        </w:rPr>
        <w:t>egional area</w:t>
      </w:r>
      <w:r w:rsidR="004048AA">
        <w:rPr>
          <w:rFonts w:ascii="Arial" w:eastAsia="SimHei" w:hAnsi="Arial" w:cs="Arial"/>
          <w:b/>
          <w:color w:val="4986A0"/>
          <w:szCs w:val="24"/>
        </w:rPr>
        <w:t>s</w:t>
      </w:r>
      <w:r w:rsidRPr="00AC6879">
        <w:rPr>
          <w:rFonts w:ascii="Arial" w:eastAsia="SimHei" w:hAnsi="Arial" w:cs="Arial"/>
          <w:b/>
          <w:color w:val="4986A0"/>
          <w:szCs w:val="24"/>
        </w:rPr>
        <w:t xml:space="preserve"> of the Urban and Large Regional Zone, including Geelong, Ballarat and Bendigo – ‘time </w:t>
      </w:r>
      <w:r w:rsidRPr="00AC6879">
        <w:rPr>
          <w:rFonts w:ascii="Arial" w:eastAsia="SimHei" w:hAnsi="Arial" w:cs="Arial"/>
          <w:b/>
          <w:color w:val="4986A0"/>
          <w:szCs w:val="24"/>
          <w:u w:val="single"/>
        </w:rPr>
        <w:t>and</w:t>
      </w:r>
      <w:r w:rsidRPr="00AC6879">
        <w:rPr>
          <w:rFonts w:ascii="Arial" w:eastAsia="SimHei" w:hAnsi="Arial" w:cs="Arial"/>
          <w:b/>
          <w:color w:val="4986A0"/>
          <w:szCs w:val="24"/>
        </w:rPr>
        <w:t xml:space="preserve"> distance’ tariffs</w:t>
      </w:r>
    </w:p>
    <w:tbl>
      <w:tblPr>
        <w:tblStyle w:val="TableGrid"/>
        <w:tblpPr w:leftFromText="180" w:rightFromText="180" w:vertAnchor="text" w:horzAnchor="margin" w:tblpY="20"/>
        <w:tblW w:w="0" w:type="auto"/>
        <w:tblLook w:val="04A0" w:firstRow="1" w:lastRow="0" w:firstColumn="1" w:lastColumn="0" w:noHBand="0" w:noVBand="1"/>
      </w:tblPr>
      <w:tblGrid>
        <w:gridCol w:w="2977"/>
        <w:gridCol w:w="4678"/>
        <w:gridCol w:w="1701"/>
      </w:tblGrid>
      <w:tr w:rsidR="008764D4" w14:paraId="24EA72FE" w14:textId="77777777" w:rsidTr="0F3B4C48">
        <w:trPr>
          <w:cnfStyle w:val="100000000000" w:firstRow="1" w:lastRow="0" w:firstColumn="0" w:lastColumn="0" w:oddVBand="0" w:evenVBand="0" w:oddHBand="0" w:evenHBand="0" w:firstRowFirstColumn="0" w:firstRowLastColumn="0" w:lastRowFirstColumn="0" w:lastRowLastColumn="0"/>
        </w:trPr>
        <w:tc>
          <w:tcPr>
            <w:tcW w:w="7655" w:type="dxa"/>
            <w:gridSpan w:val="2"/>
          </w:tcPr>
          <w:p w14:paraId="49974910" w14:textId="77777777" w:rsidR="008764D4" w:rsidRDefault="008764D4" w:rsidP="0F3B4C48">
            <w:pPr>
              <w:pStyle w:val="TableHeading"/>
              <w:rPr>
                <w:b w:val="0"/>
                <w:lang w:val="en-AU"/>
              </w:rPr>
            </w:pPr>
            <w:r w:rsidRPr="0F3B4C48">
              <w:rPr>
                <w:lang w:val="en-AU"/>
              </w:rPr>
              <w:t>Fare component</w:t>
            </w:r>
          </w:p>
        </w:tc>
        <w:tc>
          <w:tcPr>
            <w:tcW w:w="1701" w:type="dxa"/>
          </w:tcPr>
          <w:p w14:paraId="4BDAD356" w14:textId="77777777" w:rsidR="008764D4" w:rsidRDefault="008764D4">
            <w:pPr>
              <w:pStyle w:val="TableHeading"/>
              <w:rPr>
                <w:b w:val="0"/>
              </w:rPr>
            </w:pPr>
            <w:r w:rsidRPr="004C5925">
              <w:t>Maximum charge</w:t>
            </w:r>
          </w:p>
        </w:tc>
      </w:tr>
      <w:tr w:rsidR="008764D4" w14:paraId="3692F05D" w14:textId="77777777" w:rsidTr="0F3B4C48">
        <w:trPr>
          <w:cnfStyle w:val="000000100000" w:firstRow="0" w:lastRow="0" w:firstColumn="0" w:lastColumn="0" w:oddVBand="0" w:evenVBand="0" w:oddHBand="1" w:evenHBand="0" w:firstRowFirstColumn="0" w:firstRowLastColumn="0" w:lastRowFirstColumn="0" w:lastRowLastColumn="0"/>
        </w:trPr>
        <w:tc>
          <w:tcPr>
            <w:tcW w:w="7655" w:type="dxa"/>
            <w:gridSpan w:val="2"/>
          </w:tcPr>
          <w:p w14:paraId="514A5190" w14:textId="77777777" w:rsidR="008764D4" w:rsidRPr="009E39FF" w:rsidRDefault="008764D4">
            <w:pPr>
              <w:pStyle w:val="TableBody"/>
              <w:rPr>
                <w:b/>
                <w:bCs/>
              </w:rPr>
            </w:pPr>
            <w:r w:rsidRPr="009E39FF">
              <w:rPr>
                <w:b/>
                <w:bCs/>
              </w:rPr>
              <w:t>Standard fare components</w:t>
            </w:r>
          </w:p>
        </w:tc>
        <w:tc>
          <w:tcPr>
            <w:tcW w:w="1701" w:type="dxa"/>
            <w:vAlign w:val="bottom"/>
          </w:tcPr>
          <w:p w14:paraId="2B27F29B" w14:textId="77777777" w:rsidR="008764D4" w:rsidRDefault="008764D4">
            <w:pPr>
              <w:pStyle w:val="TableBody"/>
              <w:ind w:right="113"/>
              <w:jc w:val="right"/>
            </w:pPr>
          </w:p>
        </w:tc>
      </w:tr>
      <w:tr w:rsidR="008764D4" w14:paraId="20123D09" w14:textId="77777777" w:rsidTr="0F3B4C48">
        <w:trPr>
          <w:cnfStyle w:val="000000010000" w:firstRow="0" w:lastRow="0" w:firstColumn="0" w:lastColumn="0" w:oddVBand="0" w:evenVBand="0" w:oddHBand="0" w:evenHBand="1" w:firstRowFirstColumn="0" w:firstRowLastColumn="0" w:lastRowFirstColumn="0" w:lastRowLastColumn="0"/>
        </w:trPr>
        <w:tc>
          <w:tcPr>
            <w:tcW w:w="7655" w:type="dxa"/>
            <w:gridSpan w:val="2"/>
          </w:tcPr>
          <w:p w14:paraId="3E1BE146" w14:textId="77777777" w:rsidR="008764D4" w:rsidRDefault="008764D4">
            <w:pPr>
              <w:pStyle w:val="TableBody"/>
            </w:pPr>
            <w:r w:rsidRPr="0F3B4C48">
              <w:rPr>
                <w:lang w:val="en-AU"/>
              </w:rPr>
              <w:t>Flagfall ($)</w:t>
            </w:r>
          </w:p>
        </w:tc>
        <w:tc>
          <w:tcPr>
            <w:tcW w:w="1701" w:type="dxa"/>
            <w:vAlign w:val="bottom"/>
          </w:tcPr>
          <w:p w14:paraId="4E9E0AD4" w14:textId="77777777" w:rsidR="008764D4" w:rsidRDefault="008764D4">
            <w:pPr>
              <w:pStyle w:val="TableBody"/>
              <w:ind w:right="113"/>
              <w:jc w:val="right"/>
            </w:pPr>
            <w:r w:rsidRPr="00CB6DA5">
              <w:t>$4.</w:t>
            </w:r>
            <w:r>
              <w:t>40</w:t>
            </w:r>
          </w:p>
        </w:tc>
      </w:tr>
      <w:tr w:rsidR="008764D4" w14:paraId="49809DB0" w14:textId="77777777" w:rsidTr="0F3B4C48">
        <w:trPr>
          <w:cnfStyle w:val="000000100000" w:firstRow="0" w:lastRow="0" w:firstColumn="0" w:lastColumn="0" w:oddVBand="0" w:evenVBand="0" w:oddHBand="1" w:evenHBand="0" w:firstRowFirstColumn="0" w:firstRowLastColumn="0" w:lastRowFirstColumn="0" w:lastRowLastColumn="0"/>
        </w:trPr>
        <w:tc>
          <w:tcPr>
            <w:tcW w:w="7655" w:type="dxa"/>
            <w:gridSpan w:val="2"/>
          </w:tcPr>
          <w:p w14:paraId="76BC49D3" w14:textId="77777777" w:rsidR="008764D4" w:rsidRDefault="008764D4">
            <w:pPr>
              <w:pStyle w:val="TableBody"/>
            </w:pPr>
            <w:r w:rsidRPr="0F3B4C48">
              <w:rPr>
                <w:lang w:val="en-AU"/>
              </w:rPr>
              <w:t>Distance rate ($/km) (at all times)</w:t>
            </w:r>
          </w:p>
        </w:tc>
        <w:tc>
          <w:tcPr>
            <w:tcW w:w="1701" w:type="dxa"/>
            <w:vAlign w:val="bottom"/>
          </w:tcPr>
          <w:p w14:paraId="30690F67" w14:textId="7DB6215C" w:rsidR="008764D4" w:rsidRDefault="008764D4">
            <w:pPr>
              <w:pStyle w:val="TableBody"/>
              <w:ind w:right="113"/>
              <w:jc w:val="right"/>
            </w:pPr>
            <w:r w:rsidRPr="00CB6DA5">
              <w:t>$1.</w:t>
            </w:r>
            <w:r w:rsidR="00145C02">
              <w:t>825</w:t>
            </w:r>
          </w:p>
        </w:tc>
      </w:tr>
      <w:tr w:rsidR="008764D4" w14:paraId="598AA629" w14:textId="77777777" w:rsidTr="0F3B4C48">
        <w:trPr>
          <w:cnfStyle w:val="000000010000" w:firstRow="0" w:lastRow="0" w:firstColumn="0" w:lastColumn="0" w:oddVBand="0" w:evenVBand="0" w:oddHBand="0" w:evenHBand="1" w:firstRowFirstColumn="0" w:firstRowLastColumn="0" w:lastRowFirstColumn="0" w:lastRowLastColumn="0"/>
        </w:trPr>
        <w:tc>
          <w:tcPr>
            <w:tcW w:w="7655" w:type="dxa"/>
            <w:gridSpan w:val="2"/>
          </w:tcPr>
          <w:p w14:paraId="662E3669" w14:textId="77777777" w:rsidR="008764D4" w:rsidRDefault="008764D4">
            <w:pPr>
              <w:pStyle w:val="TableBody"/>
            </w:pPr>
            <w:r w:rsidRPr="0F3B4C48">
              <w:rPr>
                <w:lang w:val="en-AU"/>
              </w:rPr>
              <w:t>Duration rate ($/min) (at all times)</w:t>
            </w:r>
          </w:p>
        </w:tc>
        <w:tc>
          <w:tcPr>
            <w:tcW w:w="1701" w:type="dxa"/>
            <w:vAlign w:val="bottom"/>
          </w:tcPr>
          <w:p w14:paraId="15EA534E" w14:textId="51A1CE00" w:rsidR="008764D4" w:rsidRDefault="008764D4">
            <w:pPr>
              <w:pStyle w:val="TableBody"/>
              <w:ind w:right="113"/>
              <w:jc w:val="right"/>
            </w:pPr>
            <w:r w:rsidRPr="00CB6DA5">
              <w:t>$0.</w:t>
            </w:r>
            <w:r w:rsidR="008223E8">
              <w:t>600</w:t>
            </w:r>
          </w:p>
        </w:tc>
      </w:tr>
      <w:tr w:rsidR="008764D4" w14:paraId="2F92CBAC" w14:textId="77777777" w:rsidTr="0F3B4C48">
        <w:trPr>
          <w:cnfStyle w:val="000000100000" w:firstRow="0" w:lastRow="0" w:firstColumn="0" w:lastColumn="0" w:oddVBand="0" w:evenVBand="0" w:oddHBand="1" w:evenHBand="0" w:firstRowFirstColumn="0" w:firstRowLastColumn="0" w:lastRowFirstColumn="0" w:lastRowLastColumn="0"/>
        </w:trPr>
        <w:tc>
          <w:tcPr>
            <w:tcW w:w="7655" w:type="dxa"/>
            <w:gridSpan w:val="2"/>
          </w:tcPr>
          <w:p w14:paraId="37155008" w14:textId="77777777" w:rsidR="008764D4" w:rsidRPr="009E39FF" w:rsidRDefault="008764D4">
            <w:pPr>
              <w:pStyle w:val="TableBody"/>
              <w:rPr>
                <w:b/>
                <w:bCs/>
              </w:rPr>
            </w:pPr>
            <w:r w:rsidRPr="009E39FF">
              <w:rPr>
                <w:b/>
                <w:bCs/>
              </w:rPr>
              <w:t>High occupancy trips</w:t>
            </w:r>
          </w:p>
        </w:tc>
        <w:tc>
          <w:tcPr>
            <w:tcW w:w="1701" w:type="dxa"/>
            <w:vAlign w:val="bottom"/>
          </w:tcPr>
          <w:p w14:paraId="47AC1447" w14:textId="77777777" w:rsidR="008764D4" w:rsidRDefault="008764D4">
            <w:pPr>
              <w:pStyle w:val="TableBody"/>
              <w:ind w:right="113"/>
              <w:jc w:val="right"/>
            </w:pPr>
          </w:p>
        </w:tc>
      </w:tr>
      <w:tr w:rsidR="008764D4" w14:paraId="63BC9C6B" w14:textId="77777777" w:rsidTr="0F3B4C48">
        <w:trPr>
          <w:cnfStyle w:val="000000010000" w:firstRow="0" w:lastRow="0" w:firstColumn="0" w:lastColumn="0" w:oddVBand="0" w:evenVBand="0" w:oddHBand="0" w:evenHBand="1" w:firstRowFirstColumn="0" w:firstRowLastColumn="0" w:lastRowFirstColumn="0" w:lastRowLastColumn="0"/>
        </w:trPr>
        <w:tc>
          <w:tcPr>
            <w:tcW w:w="9356" w:type="dxa"/>
            <w:gridSpan w:val="3"/>
            <w:vAlign w:val="center"/>
          </w:tcPr>
          <w:p w14:paraId="2D9C6432" w14:textId="367C89CE" w:rsidR="008764D4" w:rsidRPr="00275C80" w:rsidRDefault="008764D4">
            <w:pPr>
              <w:pStyle w:val="TableBody"/>
              <w:ind w:right="113"/>
              <w:rPr>
                <w:sz w:val="20"/>
                <w:szCs w:val="20"/>
              </w:rPr>
            </w:pPr>
            <w:r w:rsidRPr="00275C80">
              <w:rPr>
                <w:sz w:val="20"/>
                <w:szCs w:val="20"/>
              </w:rPr>
              <w:t xml:space="preserve">For trips with five or more passengers (excluding children under 5) or where a </w:t>
            </w:r>
            <w:r w:rsidR="00FB4C97">
              <w:rPr>
                <w:sz w:val="20"/>
                <w:szCs w:val="20"/>
              </w:rPr>
              <w:t xml:space="preserve">vehicle </w:t>
            </w:r>
            <w:r w:rsidRPr="00275C80">
              <w:rPr>
                <w:sz w:val="20"/>
                <w:szCs w:val="20"/>
              </w:rPr>
              <w:t xml:space="preserve">larger than </w:t>
            </w:r>
            <w:r w:rsidR="00B33AAB">
              <w:rPr>
                <w:sz w:val="20"/>
                <w:szCs w:val="20"/>
              </w:rPr>
              <w:t xml:space="preserve">a </w:t>
            </w:r>
            <w:r w:rsidRPr="00275C80">
              <w:rPr>
                <w:sz w:val="20"/>
                <w:szCs w:val="20"/>
              </w:rPr>
              <w:t xml:space="preserve">standard vehicle </w:t>
            </w:r>
            <w:r w:rsidR="00B33AAB">
              <w:rPr>
                <w:sz w:val="20"/>
                <w:szCs w:val="20"/>
              </w:rPr>
              <w:t>is required</w:t>
            </w:r>
            <w:r w:rsidRPr="00275C80">
              <w:rPr>
                <w:sz w:val="20"/>
                <w:szCs w:val="20"/>
              </w:rPr>
              <w:t xml:space="preserve"> regardless of the number of passengers (except where the </w:t>
            </w:r>
            <w:r w:rsidR="00595AB5">
              <w:rPr>
                <w:sz w:val="20"/>
                <w:szCs w:val="20"/>
              </w:rPr>
              <w:t>vehicle</w:t>
            </w:r>
            <w:r w:rsidR="00595AB5" w:rsidRPr="00275C80">
              <w:rPr>
                <w:sz w:val="20"/>
                <w:szCs w:val="20"/>
              </w:rPr>
              <w:t xml:space="preserve"> </w:t>
            </w:r>
            <w:r w:rsidRPr="00275C80">
              <w:rPr>
                <w:sz w:val="20"/>
                <w:szCs w:val="20"/>
              </w:rPr>
              <w:t xml:space="preserve">is </w:t>
            </w:r>
            <w:r w:rsidR="00595AB5">
              <w:rPr>
                <w:sz w:val="20"/>
                <w:szCs w:val="20"/>
              </w:rPr>
              <w:t xml:space="preserve">hired </w:t>
            </w:r>
            <w:r w:rsidRPr="00275C80">
              <w:rPr>
                <w:sz w:val="20"/>
                <w:szCs w:val="20"/>
              </w:rPr>
              <w:t xml:space="preserve">for </w:t>
            </w:r>
            <w:r w:rsidR="00595AB5">
              <w:rPr>
                <w:sz w:val="20"/>
                <w:szCs w:val="20"/>
              </w:rPr>
              <w:t>the carriage of</w:t>
            </w:r>
            <w:r w:rsidRPr="00275C80">
              <w:rPr>
                <w:sz w:val="20"/>
                <w:szCs w:val="20"/>
              </w:rPr>
              <w:t xml:space="preserve"> one or more persons who use a wheelchair or other mobility aid): not applicable if the commercial passenger vehicle does not have the capacity for carriage of 5 or more passengers in fixed seats. ‘Fixed seats’ does not include positions for the carriage of persons in wheelchairs.</w:t>
            </w:r>
          </w:p>
        </w:tc>
      </w:tr>
      <w:tr w:rsidR="008764D4" w14:paraId="520F3572" w14:textId="77777777" w:rsidTr="0F3B4C48">
        <w:trPr>
          <w:cnfStyle w:val="000000100000" w:firstRow="0" w:lastRow="0" w:firstColumn="0" w:lastColumn="0" w:oddVBand="0" w:evenVBand="0" w:oddHBand="1" w:evenHBand="0" w:firstRowFirstColumn="0" w:firstRowLastColumn="0" w:lastRowFirstColumn="0" w:lastRowLastColumn="0"/>
        </w:trPr>
        <w:tc>
          <w:tcPr>
            <w:tcW w:w="7655" w:type="dxa"/>
            <w:gridSpan w:val="2"/>
          </w:tcPr>
          <w:p w14:paraId="55C98EEF" w14:textId="77777777" w:rsidR="008764D4" w:rsidRDefault="008764D4">
            <w:pPr>
              <w:pStyle w:val="TableBody"/>
            </w:pPr>
            <w:r w:rsidRPr="0F3B4C48">
              <w:rPr>
                <w:lang w:val="en-AU"/>
              </w:rPr>
              <w:t>Flagfall ($)</w:t>
            </w:r>
          </w:p>
        </w:tc>
        <w:tc>
          <w:tcPr>
            <w:tcW w:w="1701" w:type="dxa"/>
            <w:vAlign w:val="bottom"/>
          </w:tcPr>
          <w:p w14:paraId="307D4D67" w14:textId="77777777" w:rsidR="008764D4" w:rsidRDefault="008764D4">
            <w:pPr>
              <w:pStyle w:val="TableBody"/>
              <w:ind w:right="113"/>
              <w:jc w:val="right"/>
            </w:pPr>
            <w:r w:rsidRPr="00596288">
              <w:t>$4.</w:t>
            </w:r>
            <w:r>
              <w:t>40</w:t>
            </w:r>
          </w:p>
        </w:tc>
      </w:tr>
      <w:tr w:rsidR="008764D4" w14:paraId="5CA98437" w14:textId="77777777" w:rsidTr="0F3B4C48">
        <w:trPr>
          <w:cnfStyle w:val="000000010000" w:firstRow="0" w:lastRow="0" w:firstColumn="0" w:lastColumn="0" w:oddVBand="0" w:evenVBand="0" w:oddHBand="0" w:evenHBand="1" w:firstRowFirstColumn="0" w:firstRowLastColumn="0" w:lastRowFirstColumn="0" w:lastRowLastColumn="0"/>
        </w:trPr>
        <w:tc>
          <w:tcPr>
            <w:tcW w:w="7655" w:type="dxa"/>
            <w:gridSpan w:val="2"/>
          </w:tcPr>
          <w:p w14:paraId="2C8225C4" w14:textId="77777777" w:rsidR="008764D4" w:rsidRDefault="008764D4">
            <w:pPr>
              <w:pStyle w:val="TableBody"/>
            </w:pPr>
            <w:r w:rsidRPr="0F3B4C48">
              <w:rPr>
                <w:lang w:val="en-AU"/>
              </w:rPr>
              <w:t>Distance rate ($/km) (at all times)</w:t>
            </w:r>
          </w:p>
        </w:tc>
        <w:tc>
          <w:tcPr>
            <w:tcW w:w="1701" w:type="dxa"/>
            <w:vAlign w:val="bottom"/>
          </w:tcPr>
          <w:p w14:paraId="17EF9165" w14:textId="5D5299FE" w:rsidR="008764D4" w:rsidRDefault="008764D4">
            <w:pPr>
              <w:pStyle w:val="TableBody"/>
              <w:ind w:right="113"/>
              <w:jc w:val="right"/>
            </w:pPr>
            <w:r w:rsidRPr="00596288">
              <w:t>$</w:t>
            </w:r>
            <w:r>
              <w:t>3</w:t>
            </w:r>
            <w:r w:rsidRPr="00596288">
              <w:t>.</w:t>
            </w:r>
            <w:r w:rsidR="006E059A">
              <w:t>030</w:t>
            </w:r>
          </w:p>
        </w:tc>
      </w:tr>
      <w:tr w:rsidR="008764D4" w14:paraId="6293C65A" w14:textId="77777777" w:rsidTr="0F3B4C48">
        <w:trPr>
          <w:cnfStyle w:val="000000100000" w:firstRow="0" w:lastRow="0" w:firstColumn="0" w:lastColumn="0" w:oddVBand="0" w:evenVBand="0" w:oddHBand="1" w:evenHBand="0" w:firstRowFirstColumn="0" w:firstRowLastColumn="0" w:lastRowFirstColumn="0" w:lastRowLastColumn="0"/>
        </w:trPr>
        <w:tc>
          <w:tcPr>
            <w:tcW w:w="7655" w:type="dxa"/>
            <w:gridSpan w:val="2"/>
          </w:tcPr>
          <w:p w14:paraId="6E42187B" w14:textId="77777777" w:rsidR="008764D4" w:rsidRDefault="008764D4">
            <w:pPr>
              <w:pStyle w:val="TableBody"/>
            </w:pPr>
            <w:r w:rsidRPr="0F3B4C48">
              <w:rPr>
                <w:lang w:val="en-AU"/>
              </w:rPr>
              <w:t>Duration rate ($/min) (at all times)</w:t>
            </w:r>
          </w:p>
        </w:tc>
        <w:tc>
          <w:tcPr>
            <w:tcW w:w="1701" w:type="dxa"/>
            <w:vAlign w:val="bottom"/>
          </w:tcPr>
          <w:p w14:paraId="78B2131A" w14:textId="6CDAA90A" w:rsidR="008764D4" w:rsidRDefault="008764D4">
            <w:pPr>
              <w:pStyle w:val="TableBody"/>
              <w:ind w:right="113"/>
              <w:jc w:val="right"/>
            </w:pPr>
            <w:r w:rsidRPr="00596288">
              <w:t>$0.</w:t>
            </w:r>
            <w:r w:rsidR="006E059A" w:rsidRPr="00596288">
              <w:t>6</w:t>
            </w:r>
            <w:r w:rsidR="006E059A">
              <w:t>57</w:t>
            </w:r>
          </w:p>
        </w:tc>
      </w:tr>
      <w:tr w:rsidR="008764D4" w14:paraId="090003B4" w14:textId="77777777" w:rsidTr="0F3B4C48">
        <w:trPr>
          <w:cnfStyle w:val="000000010000" w:firstRow="0" w:lastRow="0" w:firstColumn="0" w:lastColumn="0" w:oddVBand="0" w:evenVBand="0" w:oddHBand="0" w:evenHBand="1" w:firstRowFirstColumn="0" w:firstRowLastColumn="0" w:lastRowFirstColumn="0" w:lastRowLastColumn="0"/>
        </w:trPr>
        <w:tc>
          <w:tcPr>
            <w:tcW w:w="7655" w:type="dxa"/>
            <w:gridSpan w:val="2"/>
          </w:tcPr>
          <w:p w14:paraId="5A2D58EA" w14:textId="77777777" w:rsidR="008764D4" w:rsidRPr="009E39FF" w:rsidRDefault="008764D4">
            <w:pPr>
              <w:pStyle w:val="TableBody"/>
              <w:rPr>
                <w:b/>
                <w:bCs/>
              </w:rPr>
            </w:pPr>
            <w:r w:rsidRPr="009E39FF">
              <w:rPr>
                <w:b/>
                <w:bCs/>
              </w:rPr>
              <w:t xml:space="preserve">Other fare components </w:t>
            </w:r>
          </w:p>
        </w:tc>
        <w:tc>
          <w:tcPr>
            <w:tcW w:w="1701" w:type="dxa"/>
            <w:vAlign w:val="bottom"/>
          </w:tcPr>
          <w:p w14:paraId="18B8EA44" w14:textId="77777777" w:rsidR="008764D4" w:rsidRDefault="008764D4">
            <w:pPr>
              <w:pStyle w:val="TableBody"/>
              <w:ind w:right="113"/>
              <w:jc w:val="right"/>
            </w:pPr>
          </w:p>
        </w:tc>
      </w:tr>
      <w:tr w:rsidR="008764D4" w14:paraId="4F2733A3" w14:textId="77777777" w:rsidTr="0F3B4C48">
        <w:trPr>
          <w:cnfStyle w:val="000000100000" w:firstRow="0" w:lastRow="0" w:firstColumn="0" w:lastColumn="0" w:oddVBand="0" w:evenVBand="0" w:oddHBand="1" w:evenHBand="0" w:firstRowFirstColumn="0" w:firstRowLastColumn="0" w:lastRowFirstColumn="0" w:lastRowLastColumn="0"/>
        </w:trPr>
        <w:tc>
          <w:tcPr>
            <w:tcW w:w="2977" w:type="dxa"/>
          </w:tcPr>
          <w:p w14:paraId="609AD16D" w14:textId="77777777" w:rsidR="008764D4" w:rsidRPr="00596288" w:rsidRDefault="008764D4">
            <w:pPr>
              <w:pStyle w:val="TableBody"/>
            </w:pPr>
            <w:r w:rsidRPr="00C53F7E">
              <w:t>Late night fee</w:t>
            </w:r>
          </w:p>
        </w:tc>
        <w:tc>
          <w:tcPr>
            <w:tcW w:w="4678" w:type="dxa"/>
          </w:tcPr>
          <w:p w14:paraId="2E6135EA" w14:textId="7F00E824" w:rsidR="008764D4" w:rsidRPr="00596288" w:rsidRDefault="008764D4">
            <w:pPr>
              <w:pStyle w:val="TableBody"/>
            </w:pPr>
            <w:r w:rsidRPr="0F3B4C48">
              <w:rPr>
                <w:lang w:val="en-AU"/>
              </w:rPr>
              <w:t>For trips commencing between 7pm on Friday and Saturday nights through to 6am the following morning; and from midnight to 6am on all other days</w:t>
            </w:r>
            <w:r w:rsidR="00C32EC5" w:rsidRPr="0F3B4C48">
              <w:rPr>
                <w:b/>
                <w:bCs/>
                <w:vertAlign w:val="superscript"/>
                <w:lang w:val="en-AU"/>
              </w:rPr>
              <w:t>a</w:t>
            </w:r>
          </w:p>
        </w:tc>
        <w:tc>
          <w:tcPr>
            <w:tcW w:w="1701" w:type="dxa"/>
            <w:vAlign w:val="bottom"/>
          </w:tcPr>
          <w:p w14:paraId="625E1A63" w14:textId="21DEEA58" w:rsidR="008764D4" w:rsidRDefault="008764D4">
            <w:pPr>
              <w:pStyle w:val="TableBody"/>
              <w:ind w:right="113"/>
              <w:jc w:val="right"/>
            </w:pPr>
            <w:r w:rsidRPr="00C53F7E">
              <w:t>$</w:t>
            </w:r>
            <w:r>
              <w:t>4</w:t>
            </w:r>
            <w:r w:rsidRPr="00C53F7E">
              <w:t>.</w:t>
            </w:r>
            <w:r w:rsidR="00667BA0">
              <w:t>15</w:t>
            </w:r>
          </w:p>
        </w:tc>
      </w:tr>
      <w:tr w:rsidR="008764D4" w14:paraId="182903B4" w14:textId="77777777" w:rsidTr="0F3B4C48">
        <w:trPr>
          <w:cnfStyle w:val="000000010000" w:firstRow="0" w:lastRow="0" w:firstColumn="0" w:lastColumn="0" w:oddVBand="0" w:evenVBand="0" w:oddHBand="0" w:evenHBand="1" w:firstRowFirstColumn="0" w:firstRowLastColumn="0" w:lastRowFirstColumn="0" w:lastRowLastColumn="0"/>
        </w:trPr>
        <w:tc>
          <w:tcPr>
            <w:tcW w:w="2977" w:type="dxa"/>
          </w:tcPr>
          <w:p w14:paraId="2DF4CEBB" w14:textId="0FFACF89" w:rsidR="008764D4" w:rsidRPr="00596288" w:rsidRDefault="008764D4" w:rsidP="0F3B4C48">
            <w:pPr>
              <w:pStyle w:val="TableBody"/>
              <w:rPr>
                <w:b/>
                <w:bCs/>
                <w:vertAlign w:val="superscript"/>
                <w:lang w:val="en-AU"/>
              </w:rPr>
            </w:pPr>
            <w:r w:rsidRPr="0F3B4C48">
              <w:rPr>
                <w:lang w:val="en-AU"/>
              </w:rPr>
              <w:t xml:space="preserve">Holiday </w:t>
            </w:r>
            <w:r w:rsidR="001A0959">
              <w:rPr>
                <w:lang w:val="en-AU"/>
              </w:rPr>
              <w:t>fee</w:t>
            </w:r>
            <w:r w:rsidRPr="0F3B4C48">
              <w:rPr>
                <w:b/>
                <w:bCs/>
                <w:vertAlign w:val="superscript"/>
                <w:lang w:val="en-AU"/>
              </w:rPr>
              <w:t>b</w:t>
            </w:r>
          </w:p>
        </w:tc>
        <w:tc>
          <w:tcPr>
            <w:tcW w:w="4678" w:type="dxa"/>
          </w:tcPr>
          <w:p w14:paraId="23AB9F99" w14:textId="77777777" w:rsidR="008764D4" w:rsidRPr="00596288" w:rsidRDefault="008764D4">
            <w:pPr>
              <w:pStyle w:val="TableBody"/>
            </w:pPr>
          </w:p>
        </w:tc>
        <w:tc>
          <w:tcPr>
            <w:tcW w:w="1701" w:type="dxa"/>
            <w:vAlign w:val="bottom"/>
          </w:tcPr>
          <w:p w14:paraId="0A1664E3" w14:textId="77777777" w:rsidR="008764D4" w:rsidRDefault="008764D4">
            <w:pPr>
              <w:pStyle w:val="TableBody"/>
              <w:ind w:right="113"/>
              <w:jc w:val="right"/>
            </w:pPr>
            <w:r w:rsidRPr="00E36789">
              <w:t>$</w:t>
            </w:r>
            <w:r>
              <w:t>5</w:t>
            </w:r>
            <w:r w:rsidRPr="00E36789">
              <w:t>.</w:t>
            </w:r>
            <w:r>
              <w:t>10</w:t>
            </w:r>
          </w:p>
        </w:tc>
      </w:tr>
      <w:tr w:rsidR="008764D4" w14:paraId="132B5ABC" w14:textId="77777777" w:rsidTr="0F3B4C48">
        <w:trPr>
          <w:cnfStyle w:val="000000100000" w:firstRow="0" w:lastRow="0" w:firstColumn="0" w:lastColumn="0" w:oddVBand="0" w:evenVBand="0" w:oddHBand="1" w:evenHBand="0" w:firstRowFirstColumn="0" w:firstRowLastColumn="0" w:lastRowFirstColumn="0" w:lastRowLastColumn="0"/>
        </w:trPr>
        <w:tc>
          <w:tcPr>
            <w:tcW w:w="2977" w:type="dxa"/>
          </w:tcPr>
          <w:p w14:paraId="787FBC72" w14:textId="77777777" w:rsidR="008764D4" w:rsidRPr="00596288" w:rsidRDefault="008764D4">
            <w:pPr>
              <w:pStyle w:val="TableBody"/>
            </w:pPr>
            <w:r w:rsidRPr="00E36789">
              <w:t>CPV levy recovery fee</w:t>
            </w:r>
          </w:p>
        </w:tc>
        <w:tc>
          <w:tcPr>
            <w:tcW w:w="4678" w:type="dxa"/>
          </w:tcPr>
          <w:p w14:paraId="576D5A1F" w14:textId="77777777" w:rsidR="008764D4" w:rsidRPr="00596288" w:rsidRDefault="008764D4">
            <w:pPr>
              <w:pStyle w:val="TableBody"/>
            </w:pPr>
          </w:p>
        </w:tc>
        <w:tc>
          <w:tcPr>
            <w:tcW w:w="1701" w:type="dxa"/>
            <w:vAlign w:val="bottom"/>
          </w:tcPr>
          <w:p w14:paraId="19274915" w14:textId="77777777" w:rsidR="008764D4" w:rsidRDefault="008764D4">
            <w:pPr>
              <w:pStyle w:val="TableBody"/>
              <w:ind w:right="113"/>
              <w:jc w:val="right"/>
            </w:pPr>
            <w:r w:rsidRPr="00E36789">
              <w:t>Pass-through</w:t>
            </w:r>
          </w:p>
        </w:tc>
      </w:tr>
      <w:tr w:rsidR="008764D4" w14:paraId="68332F99" w14:textId="77777777" w:rsidTr="0F3B4C48">
        <w:trPr>
          <w:cnfStyle w:val="000000010000" w:firstRow="0" w:lastRow="0" w:firstColumn="0" w:lastColumn="0" w:oddVBand="0" w:evenVBand="0" w:oddHBand="0" w:evenHBand="1" w:firstRowFirstColumn="0" w:firstRowLastColumn="0" w:lastRowFirstColumn="0" w:lastRowLastColumn="0"/>
        </w:trPr>
        <w:tc>
          <w:tcPr>
            <w:tcW w:w="2977" w:type="dxa"/>
          </w:tcPr>
          <w:p w14:paraId="0144A94E" w14:textId="77777777" w:rsidR="008764D4" w:rsidRPr="00596288" w:rsidRDefault="008764D4" w:rsidP="0F3B4C48">
            <w:pPr>
              <w:pStyle w:val="TableBody"/>
              <w:rPr>
                <w:b/>
                <w:bCs/>
                <w:vertAlign w:val="superscript"/>
                <w:lang w:val="en-AU"/>
              </w:rPr>
            </w:pPr>
            <w:r w:rsidRPr="0F3B4C48">
              <w:rPr>
                <w:lang w:val="en-AU"/>
              </w:rPr>
              <w:t>CityLink and EastLink tolls</w:t>
            </w:r>
            <w:r w:rsidRPr="0F3B4C48">
              <w:rPr>
                <w:b/>
                <w:bCs/>
                <w:vertAlign w:val="superscript"/>
                <w:lang w:val="en-AU"/>
              </w:rPr>
              <w:t>c</w:t>
            </w:r>
          </w:p>
        </w:tc>
        <w:tc>
          <w:tcPr>
            <w:tcW w:w="4678" w:type="dxa"/>
          </w:tcPr>
          <w:p w14:paraId="421FC1FE" w14:textId="77777777" w:rsidR="008764D4" w:rsidRPr="00596288" w:rsidRDefault="008764D4">
            <w:pPr>
              <w:pStyle w:val="TableBody"/>
            </w:pPr>
          </w:p>
        </w:tc>
        <w:tc>
          <w:tcPr>
            <w:tcW w:w="1701" w:type="dxa"/>
            <w:vAlign w:val="bottom"/>
          </w:tcPr>
          <w:p w14:paraId="57621101" w14:textId="77777777" w:rsidR="008764D4" w:rsidRDefault="008764D4">
            <w:pPr>
              <w:pStyle w:val="TableBody"/>
              <w:ind w:right="113"/>
              <w:jc w:val="right"/>
            </w:pPr>
            <w:r w:rsidRPr="00E36789">
              <w:t>Pass-through</w:t>
            </w:r>
          </w:p>
        </w:tc>
      </w:tr>
      <w:tr w:rsidR="008764D4" w14:paraId="3DE70DF6" w14:textId="77777777" w:rsidTr="0F3B4C48">
        <w:trPr>
          <w:cnfStyle w:val="000000100000" w:firstRow="0" w:lastRow="0" w:firstColumn="0" w:lastColumn="0" w:oddVBand="0" w:evenVBand="0" w:oddHBand="1" w:evenHBand="0" w:firstRowFirstColumn="0" w:firstRowLastColumn="0" w:lastRowFirstColumn="0" w:lastRowLastColumn="0"/>
        </w:trPr>
        <w:tc>
          <w:tcPr>
            <w:tcW w:w="2977" w:type="dxa"/>
          </w:tcPr>
          <w:p w14:paraId="0EB5F16D" w14:textId="77777777" w:rsidR="008764D4" w:rsidRPr="00596288" w:rsidRDefault="008764D4">
            <w:pPr>
              <w:pStyle w:val="TableBody"/>
            </w:pPr>
            <w:r w:rsidRPr="00E36789">
              <w:t>Airport taxi rank fee</w:t>
            </w:r>
            <w:r w:rsidRPr="009E39FF">
              <w:rPr>
                <w:b/>
                <w:bCs/>
                <w:vertAlign w:val="superscript"/>
              </w:rPr>
              <w:t>d</w:t>
            </w:r>
          </w:p>
        </w:tc>
        <w:tc>
          <w:tcPr>
            <w:tcW w:w="4678" w:type="dxa"/>
          </w:tcPr>
          <w:p w14:paraId="74FBAB33" w14:textId="77777777" w:rsidR="008764D4" w:rsidRPr="00596288" w:rsidRDefault="008764D4">
            <w:pPr>
              <w:pStyle w:val="TableBody"/>
            </w:pPr>
            <w:r w:rsidRPr="00E36789">
              <w:t>For trips from the airport rank</w:t>
            </w:r>
          </w:p>
        </w:tc>
        <w:tc>
          <w:tcPr>
            <w:tcW w:w="1701" w:type="dxa"/>
            <w:vAlign w:val="bottom"/>
          </w:tcPr>
          <w:p w14:paraId="75E3C41A" w14:textId="77777777" w:rsidR="008764D4" w:rsidRDefault="008764D4">
            <w:pPr>
              <w:pStyle w:val="TableBody"/>
              <w:ind w:right="113"/>
              <w:jc w:val="right"/>
            </w:pPr>
            <w:r w:rsidRPr="00E36789">
              <w:t>Pass-through</w:t>
            </w:r>
          </w:p>
        </w:tc>
      </w:tr>
      <w:tr w:rsidR="008764D4" w14:paraId="6F51F619" w14:textId="77777777" w:rsidTr="0F3B4C48">
        <w:trPr>
          <w:cnfStyle w:val="000000010000" w:firstRow="0" w:lastRow="0" w:firstColumn="0" w:lastColumn="0" w:oddVBand="0" w:evenVBand="0" w:oddHBand="0" w:evenHBand="1" w:firstRowFirstColumn="0" w:firstRowLastColumn="0" w:lastRowFirstColumn="0" w:lastRowLastColumn="0"/>
        </w:trPr>
        <w:tc>
          <w:tcPr>
            <w:tcW w:w="2977" w:type="dxa"/>
          </w:tcPr>
          <w:p w14:paraId="640F5B39" w14:textId="77777777" w:rsidR="008764D4" w:rsidRPr="00596288" w:rsidRDefault="008764D4">
            <w:pPr>
              <w:pStyle w:val="TableBody"/>
            </w:pPr>
            <w:r w:rsidRPr="00E36789">
              <w:t>Cleaning fee</w:t>
            </w:r>
          </w:p>
        </w:tc>
        <w:tc>
          <w:tcPr>
            <w:tcW w:w="6379" w:type="dxa"/>
            <w:gridSpan w:val="2"/>
          </w:tcPr>
          <w:p w14:paraId="3C2B9723" w14:textId="77777777" w:rsidR="008764D4" w:rsidRDefault="008764D4">
            <w:pPr>
              <w:pStyle w:val="TableBody"/>
              <w:ind w:right="113"/>
              <w:jc w:val="right"/>
            </w:pPr>
            <w:r w:rsidRPr="00E36789">
              <w:t>Up to a maximum of $120</w:t>
            </w:r>
          </w:p>
        </w:tc>
      </w:tr>
    </w:tbl>
    <w:p w14:paraId="365B1BDD" w14:textId="47426A28" w:rsidR="008764D4" w:rsidRPr="00275C80" w:rsidRDefault="008764D4" w:rsidP="008764D4">
      <w:pPr>
        <w:pStyle w:val="Source"/>
        <w:spacing w:after="0" w:line="288" w:lineRule="auto"/>
        <w:jc w:val="left"/>
        <w:rPr>
          <w:rStyle w:val="Heading1Char"/>
          <w:rFonts w:ascii="Arial" w:eastAsia="Times New Roman" w:hAnsi="Arial" w:cs="Arial"/>
          <w:iCs w:val="0"/>
          <w:color w:val="4986A0"/>
          <w:sz w:val="18"/>
          <w:szCs w:val="18"/>
        </w:rPr>
      </w:pPr>
      <w:r w:rsidRPr="00AC6879">
        <w:rPr>
          <w:vertAlign w:val="superscript"/>
        </w:rPr>
        <w:t xml:space="preserve"> </w:t>
      </w:r>
      <w:r w:rsidRPr="00AC6879">
        <w:rPr>
          <w:rFonts w:ascii="Arial" w:eastAsia="Times New Roman" w:hAnsi="Arial" w:cs="Arial"/>
          <w:iCs w:val="0"/>
          <w:color w:val="4986A0"/>
          <w:vertAlign w:val="superscript"/>
        </w:rPr>
        <w:t>a</w:t>
      </w:r>
      <w:r w:rsidRPr="00AC6879">
        <w:rPr>
          <w:rFonts w:ascii="Arial" w:eastAsia="Times New Roman" w:hAnsi="Arial" w:cs="Arial"/>
          <w:iCs w:val="0"/>
          <w:color w:val="4986A0"/>
        </w:rPr>
        <w:t xml:space="preserve"> </w:t>
      </w:r>
      <w:r w:rsidR="001B3293" w:rsidRPr="00AC6879">
        <w:rPr>
          <w:rFonts w:ascii="Arial" w:eastAsia="Times New Roman" w:hAnsi="Arial" w:cs="Arial"/>
          <w:iCs w:val="0"/>
          <w:color w:val="4986A0"/>
        </w:rPr>
        <w:t>The ‘late night fee’ does not apply during times that the holiday rate applies</w:t>
      </w:r>
      <w:r w:rsidR="001B3293">
        <w:rPr>
          <w:rFonts w:ascii="Arial" w:eastAsia="Times New Roman" w:hAnsi="Arial" w:cs="Arial"/>
          <w:iCs w:val="0"/>
          <w:color w:val="4986A0"/>
        </w:rPr>
        <w:t>.</w:t>
      </w:r>
      <w:r w:rsidR="001B3293" w:rsidRPr="00AC6879">
        <w:rPr>
          <w:rFonts w:ascii="Arial" w:eastAsia="Times New Roman" w:hAnsi="Arial" w:cs="Arial"/>
          <w:iCs w:val="0"/>
          <w:color w:val="4986A0"/>
        </w:rPr>
        <w:t xml:space="preserve"> </w:t>
      </w:r>
      <w:r w:rsidR="001B3293" w:rsidRPr="00AC6879">
        <w:rPr>
          <w:rFonts w:ascii="Arial" w:eastAsia="Times New Roman" w:hAnsi="Arial" w:cs="Arial"/>
          <w:iCs w:val="0"/>
          <w:color w:val="4986A0"/>
          <w:vertAlign w:val="superscript"/>
        </w:rPr>
        <w:t>b</w:t>
      </w:r>
      <w:r w:rsidR="001B3293" w:rsidRPr="00AC6879">
        <w:rPr>
          <w:rFonts w:ascii="Arial" w:eastAsia="Times New Roman" w:hAnsi="Arial" w:cs="Arial"/>
          <w:iCs w:val="0"/>
          <w:color w:val="4986A0"/>
        </w:rPr>
        <w:t> </w:t>
      </w:r>
      <w:r w:rsidRPr="00AC6879">
        <w:rPr>
          <w:rFonts w:ascii="Arial" w:eastAsia="Times New Roman" w:hAnsi="Arial" w:cs="Arial"/>
          <w:iCs w:val="0"/>
          <w:color w:val="4986A0"/>
        </w:rPr>
        <w:t xml:space="preserve">For trips commencing between 7pm </w:t>
      </w:r>
      <w:r w:rsidRPr="00AC6879">
        <w:rPr>
          <w:rFonts w:ascii="Arial" w:eastAsia="Times New Roman" w:hAnsi="Arial" w:cs="Arial"/>
          <w:iCs w:val="0"/>
          <w:color w:val="4986A0"/>
          <w:u w:val="single"/>
        </w:rPr>
        <w:t>on evenings prior</w:t>
      </w:r>
      <w:r w:rsidRPr="00AC6879">
        <w:rPr>
          <w:rFonts w:ascii="Arial" w:eastAsia="Times New Roman" w:hAnsi="Arial" w:cs="Arial"/>
          <w:iCs w:val="0"/>
          <w:color w:val="4986A0"/>
        </w:rPr>
        <w:t xml:space="preserve"> to all public holidays, through to 6am the following mornings and trips commencing on Christmas Day, Boxing Day, New Year’s Day and from 6pm on New Year’s Eve. </w:t>
      </w:r>
      <w:r w:rsidRPr="00AC6879">
        <w:rPr>
          <w:rFonts w:ascii="Arial" w:eastAsia="Times New Roman" w:hAnsi="Arial" w:cs="Arial"/>
          <w:iCs w:val="0"/>
          <w:color w:val="4986A0"/>
          <w:vertAlign w:val="superscript"/>
        </w:rPr>
        <w:t>c</w:t>
      </w:r>
      <w:r w:rsidRPr="00AC6879">
        <w:rPr>
          <w:rFonts w:ascii="Arial" w:eastAsia="Times New Roman" w:hAnsi="Arial" w:cs="Arial"/>
          <w:iCs w:val="0"/>
          <w:color w:val="4986A0"/>
        </w:rPr>
        <w:t xml:space="preserve"> As published from time to time in the </w:t>
      </w:r>
      <w:r w:rsidRPr="00AC6879">
        <w:rPr>
          <w:rFonts w:ascii="Arial" w:eastAsia="Times New Roman" w:hAnsi="Arial" w:cs="Arial"/>
          <w:i/>
          <w:color w:val="4986A0"/>
        </w:rPr>
        <w:t>Victorian Government Gazette</w:t>
      </w:r>
      <w:r w:rsidRPr="00AC6879">
        <w:rPr>
          <w:rFonts w:ascii="Arial" w:eastAsia="Times New Roman" w:hAnsi="Arial" w:cs="Arial"/>
          <w:iCs w:val="0"/>
          <w:color w:val="4986A0"/>
        </w:rPr>
        <w:t xml:space="preserve"> in accordance with the </w:t>
      </w:r>
      <w:r w:rsidRPr="00AC6879">
        <w:rPr>
          <w:rFonts w:ascii="Arial" w:eastAsia="Times New Roman" w:hAnsi="Arial" w:cs="Arial"/>
          <w:i/>
          <w:color w:val="4986A0"/>
        </w:rPr>
        <w:t>Melbourne City Link Act 1995</w:t>
      </w:r>
      <w:r w:rsidRPr="00AC6879">
        <w:rPr>
          <w:rFonts w:ascii="Arial" w:eastAsia="Times New Roman" w:hAnsi="Arial" w:cs="Arial"/>
          <w:iCs w:val="0"/>
          <w:color w:val="4986A0"/>
        </w:rPr>
        <w:t xml:space="preserve"> or the </w:t>
      </w:r>
      <w:r w:rsidRPr="00AC6879">
        <w:rPr>
          <w:rFonts w:ascii="Arial" w:eastAsia="Times New Roman" w:hAnsi="Arial" w:cs="Arial"/>
          <w:i/>
          <w:color w:val="4986A0"/>
        </w:rPr>
        <w:t>EastLink Project Act 2004</w:t>
      </w:r>
      <w:r w:rsidRPr="00AC6879">
        <w:rPr>
          <w:rFonts w:ascii="Arial" w:eastAsia="Times New Roman" w:hAnsi="Arial" w:cs="Arial"/>
          <w:iCs w:val="0"/>
          <w:color w:val="4986A0"/>
        </w:rPr>
        <w:t xml:space="preserve"> as applicable. </w:t>
      </w:r>
      <w:r w:rsidRPr="00AC6879">
        <w:rPr>
          <w:rFonts w:ascii="Arial" w:eastAsia="Times New Roman" w:hAnsi="Arial" w:cs="Arial"/>
          <w:iCs w:val="0"/>
          <w:color w:val="4986A0"/>
          <w:vertAlign w:val="superscript"/>
        </w:rPr>
        <w:t>d</w:t>
      </w:r>
      <w:r w:rsidRPr="00AC6879">
        <w:rPr>
          <w:rFonts w:ascii="Arial" w:eastAsia="Times New Roman" w:hAnsi="Arial" w:cs="Arial"/>
          <w:iCs w:val="0"/>
          <w:color w:val="4986A0"/>
        </w:rPr>
        <w:t xml:space="preserve"> As published by that airport in a daily newspaper generally circulating in Victoria </w:t>
      </w:r>
      <w:r w:rsidR="001B3293">
        <w:rPr>
          <w:rFonts w:ascii="Arial" w:eastAsia="Times New Roman" w:hAnsi="Arial" w:cs="Arial"/>
          <w:iCs w:val="0"/>
          <w:color w:val="4986A0"/>
        </w:rPr>
        <w:t>or</w:t>
      </w:r>
      <w:r w:rsidR="001B3293" w:rsidRPr="00AC6879">
        <w:rPr>
          <w:rFonts w:ascii="Arial" w:eastAsia="Times New Roman" w:hAnsi="Arial" w:cs="Arial"/>
          <w:iCs w:val="0"/>
          <w:color w:val="4986A0"/>
        </w:rPr>
        <w:t xml:space="preserve"> </w:t>
      </w:r>
      <w:r w:rsidRPr="00AC6879">
        <w:rPr>
          <w:rFonts w:ascii="Arial" w:eastAsia="Times New Roman" w:hAnsi="Arial" w:cs="Arial"/>
          <w:iCs w:val="0"/>
          <w:color w:val="4986A0"/>
        </w:rPr>
        <w:t>on that airport’s website.</w:t>
      </w:r>
    </w:p>
    <w:p w14:paraId="76B722CF" w14:textId="77777777" w:rsidR="008764D4" w:rsidRPr="008764D4" w:rsidRDefault="008764D4" w:rsidP="00505EE6">
      <w:pPr>
        <w:tabs>
          <w:tab w:val="left" w:pos="1708"/>
        </w:tabs>
        <w:sectPr w:rsidR="008764D4" w:rsidRPr="008764D4" w:rsidSect="0053218D">
          <w:footerReference w:type="default" r:id="rId29"/>
          <w:pgSz w:w="11906" w:h="16838" w:code="9"/>
          <w:pgMar w:top="1134" w:right="1134" w:bottom="1134" w:left="1134" w:header="709" w:footer="692" w:gutter="0"/>
          <w:cols w:space="708"/>
          <w:docGrid w:linePitch="360"/>
        </w:sectPr>
      </w:pPr>
      <w:r>
        <w:tab/>
      </w:r>
    </w:p>
    <w:p w14:paraId="27E4AD6C" w14:textId="5013FF8B" w:rsidR="00C47364" w:rsidRDefault="005C281C" w:rsidP="009252C8">
      <w:pPr>
        <w:pStyle w:val="Heading1"/>
      </w:pPr>
      <w:bookmarkStart w:id="171" w:name="_Toc174692678"/>
      <w:r>
        <w:lastRenderedPageBreak/>
        <w:t xml:space="preserve">Appendix </w:t>
      </w:r>
      <w:r w:rsidR="008764D4">
        <w:t>B</w:t>
      </w:r>
      <w:r>
        <w:t>: Stakeholder submissions</w:t>
      </w:r>
      <w:bookmarkEnd w:id="171"/>
    </w:p>
    <w:p w14:paraId="6BA611AE" w14:textId="221A8B07" w:rsidR="003049DF" w:rsidRDefault="006D7FA1" w:rsidP="003049DF">
      <w:r>
        <w:t xml:space="preserve">Our draft decision was released on </w:t>
      </w:r>
      <w:r w:rsidR="00657155">
        <w:t xml:space="preserve">12 June 2024. </w:t>
      </w:r>
      <w:r w:rsidR="007D379F">
        <w:t xml:space="preserve">Consultation was open for four weeks. We received </w:t>
      </w:r>
      <w:r w:rsidR="00C851EA">
        <w:t>nine</w:t>
      </w:r>
      <w:r w:rsidR="00AF5AA6">
        <w:t xml:space="preserve"> </w:t>
      </w:r>
      <w:r w:rsidR="007D379F">
        <w:t xml:space="preserve">submissions, including </w:t>
      </w:r>
      <w:r w:rsidR="00C851EA">
        <w:t>one</w:t>
      </w:r>
      <w:r w:rsidR="00AF5AA6">
        <w:t xml:space="preserve"> </w:t>
      </w:r>
      <w:r w:rsidR="007D379F">
        <w:t xml:space="preserve">confidential submission. </w:t>
      </w:r>
    </w:p>
    <w:p w14:paraId="30FB47A7" w14:textId="0343A6A2" w:rsidR="008520E6" w:rsidRPr="00446EC0" w:rsidRDefault="008520E6" w:rsidP="008520E6">
      <w:pPr>
        <w:rPr>
          <w:sz w:val="2"/>
          <w:szCs w:val="2"/>
        </w:rPr>
      </w:pPr>
    </w:p>
    <w:p w14:paraId="35C089CB" w14:textId="62016963" w:rsidR="00A34C7C" w:rsidRDefault="00A34C7C" w:rsidP="0090208B">
      <w:pPr>
        <w:pStyle w:val="Figure-Table-BoxHeading"/>
        <w:ind w:left="0" w:firstLine="0"/>
      </w:pPr>
      <w:r w:rsidRPr="00A34C7C">
        <w:t>Table</w:t>
      </w:r>
      <w:r w:rsidR="008764D4">
        <w:t xml:space="preserve"> B</w:t>
      </w:r>
      <w:r w:rsidRPr="00A34C7C">
        <w:t>.1</w:t>
      </w:r>
      <w:r w:rsidR="0090208B">
        <w:tab/>
      </w:r>
      <w:r w:rsidR="00CA4980">
        <w:t xml:space="preserve">Draft </w:t>
      </w:r>
      <w:r w:rsidR="000C3E28">
        <w:t>decision s</w:t>
      </w:r>
      <w:r w:rsidRPr="00A34C7C">
        <w:t>ubmissions received via Engage Victoria and via email</w:t>
      </w:r>
    </w:p>
    <w:tbl>
      <w:tblPr>
        <w:tblStyle w:val="TableGrid"/>
        <w:tblW w:w="0" w:type="auto"/>
        <w:tblLook w:val="04A0" w:firstRow="1" w:lastRow="0" w:firstColumn="1" w:lastColumn="0" w:noHBand="0" w:noVBand="1"/>
      </w:tblPr>
      <w:tblGrid>
        <w:gridCol w:w="4819"/>
        <w:gridCol w:w="4819"/>
      </w:tblGrid>
      <w:tr w:rsidR="002352A1" w14:paraId="09267D28" w14:textId="77777777" w:rsidTr="00A4193B">
        <w:trPr>
          <w:cnfStyle w:val="100000000000" w:firstRow="1" w:lastRow="0" w:firstColumn="0" w:lastColumn="0" w:oddVBand="0" w:evenVBand="0" w:oddHBand="0" w:evenHBand="0" w:firstRowFirstColumn="0" w:firstRowLastColumn="0" w:lastRowFirstColumn="0" w:lastRowLastColumn="0"/>
        </w:trPr>
        <w:tc>
          <w:tcPr>
            <w:tcW w:w="4819" w:type="dxa"/>
          </w:tcPr>
          <w:p w14:paraId="6062A973" w14:textId="4621BDA9" w:rsidR="002352A1" w:rsidRDefault="002352A1" w:rsidP="002352A1">
            <w:pPr>
              <w:pStyle w:val="TableHeading"/>
            </w:pPr>
            <w:r w:rsidRPr="00657B6C">
              <w:t>Name of submitter</w:t>
            </w:r>
          </w:p>
        </w:tc>
        <w:tc>
          <w:tcPr>
            <w:tcW w:w="4819" w:type="dxa"/>
          </w:tcPr>
          <w:p w14:paraId="440B8628" w14:textId="1775D4F6" w:rsidR="002352A1" w:rsidRDefault="002352A1" w:rsidP="002352A1">
            <w:pPr>
              <w:pStyle w:val="TableHeading"/>
            </w:pPr>
            <w:r w:rsidRPr="00657B6C">
              <w:t>Date received</w:t>
            </w:r>
          </w:p>
        </w:tc>
      </w:tr>
      <w:tr w:rsidR="002352A1" w14:paraId="3B8A8A84" w14:textId="77777777" w:rsidTr="00A4193B">
        <w:trPr>
          <w:cnfStyle w:val="000000100000" w:firstRow="0" w:lastRow="0" w:firstColumn="0" w:lastColumn="0" w:oddVBand="0" w:evenVBand="0" w:oddHBand="1" w:evenHBand="0" w:firstRowFirstColumn="0" w:firstRowLastColumn="0" w:lastRowFirstColumn="0" w:lastRowLastColumn="0"/>
        </w:trPr>
        <w:tc>
          <w:tcPr>
            <w:tcW w:w="4819" w:type="dxa"/>
          </w:tcPr>
          <w:p w14:paraId="249C2C18" w14:textId="01FD375C" w:rsidR="002352A1" w:rsidRDefault="000059D6" w:rsidP="002352A1">
            <w:pPr>
              <w:pStyle w:val="TableBody"/>
            </w:pPr>
            <w:r>
              <w:t>Name withheld #1</w:t>
            </w:r>
          </w:p>
        </w:tc>
        <w:tc>
          <w:tcPr>
            <w:tcW w:w="4819" w:type="dxa"/>
          </w:tcPr>
          <w:p w14:paraId="16544FEA" w14:textId="7470C422" w:rsidR="002352A1" w:rsidRDefault="00DF1DE3" w:rsidP="002352A1">
            <w:pPr>
              <w:pStyle w:val="TableBody"/>
            </w:pPr>
            <w:r>
              <w:t>13</w:t>
            </w:r>
            <w:r w:rsidR="002352A1" w:rsidRPr="00657B6C">
              <w:t xml:space="preserve"> </w:t>
            </w:r>
            <w:r w:rsidR="002D6EE8">
              <w:t>June</w:t>
            </w:r>
            <w:r w:rsidR="002352A1" w:rsidRPr="00657B6C">
              <w:t xml:space="preserve"> 202</w:t>
            </w:r>
            <w:r w:rsidR="002D6EE8">
              <w:t>4</w:t>
            </w:r>
          </w:p>
        </w:tc>
      </w:tr>
      <w:tr w:rsidR="002352A1" w14:paraId="3E260486" w14:textId="77777777" w:rsidTr="00A4193B">
        <w:trPr>
          <w:cnfStyle w:val="000000010000" w:firstRow="0" w:lastRow="0" w:firstColumn="0" w:lastColumn="0" w:oddVBand="0" w:evenVBand="0" w:oddHBand="0" w:evenHBand="1" w:firstRowFirstColumn="0" w:firstRowLastColumn="0" w:lastRowFirstColumn="0" w:lastRowLastColumn="0"/>
        </w:trPr>
        <w:tc>
          <w:tcPr>
            <w:tcW w:w="4819" w:type="dxa"/>
          </w:tcPr>
          <w:p w14:paraId="4CF0C0DF" w14:textId="6A916816" w:rsidR="002352A1" w:rsidRDefault="00402BB6" w:rsidP="002352A1">
            <w:pPr>
              <w:pStyle w:val="TableBody"/>
            </w:pPr>
            <w:r>
              <w:t>Fuad Yonis</w:t>
            </w:r>
          </w:p>
        </w:tc>
        <w:tc>
          <w:tcPr>
            <w:tcW w:w="4819" w:type="dxa"/>
          </w:tcPr>
          <w:p w14:paraId="4B23F976" w14:textId="6413A5A0" w:rsidR="002352A1" w:rsidRDefault="00402BB6" w:rsidP="002352A1">
            <w:pPr>
              <w:pStyle w:val="TableBody"/>
            </w:pPr>
            <w:r>
              <w:t>13</w:t>
            </w:r>
            <w:r w:rsidRPr="00657B6C">
              <w:t xml:space="preserve"> </w:t>
            </w:r>
            <w:r>
              <w:t>June</w:t>
            </w:r>
            <w:r w:rsidRPr="00657B6C">
              <w:t xml:space="preserve"> 202</w:t>
            </w:r>
            <w:r>
              <w:t>4</w:t>
            </w:r>
          </w:p>
        </w:tc>
      </w:tr>
      <w:tr w:rsidR="002352A1" w14:paraId="39C5DFD6" w14:textId="77777777" w:rsidTr="00A4193B">
        <w:trPr>
          <w:cnfStyle w:val="000000100000" w:firstRow="0" w:lastRow="0" w:firstColumn="0" w:lastColumn="0" w:oddVBand="0" w:evenVBand="0" w:oddHBand="1" w:evenHBand="0" w:firstRowFirstColumn="0" w:firstRowLastColumn="0" w:lastRowFirstColumn="0" w:lastRowLastColumn="0"/>
        </w:trPr>
        <w:tc>
          <w:tcPr>
            <w:tcW w:w="4819" w:type="dxa"/>
          </w:tcPr>
          <w:p w14:paraId="0EF82431" w14:textId="207D4B68" w:rsidR="002352A1" w:rsidRDefault="00D06C8A" w:rsidP="002352A1">
            <w:pPr>
              <w:pStyle w:val="TableBody"/>
            </w:pPr>
            <w:r>
              <w:t>Name withheld #2</w:t>
            </w:r>
          </w:p>
        </w:tc>
        <w:tc>
          <w:tcPr>
            <w:tcW w:w="4819" w:type="dxa"/>
          </w:tcPr>
          <w:p w14:paraId="60911B01" w14:textId="3C8DC250" w:rsidR="002352A1" w:rsidRDefault="002469E7" w:rsidP="002352A1">
            <w:pPr>
              <w:pStyle w:val="TableBody"/>
            </w:pPr>
            <w:r>
              <w:t>16</w:t>
            </w:r>
            <w:r w:rsidRPr="00657B6C">
              <w:t xml:space="preserve"> </w:t>
            </w:r>
            <w:r>
              <w:t>June</w:t>
            </w:r>
            <w:r w:rsidRPr="00657B6C">
              <w:t xml:space="preserve"> 202</w:t>
            </w:r>
            <w:r>
              <w:t>4</w:t>
            </w:r>
          </w:p>
        </w:tc>
      </w:tr>
      <w:tr w:rsidR="002352A1" w14:paraId="14F474B5" w14:textId="77777777" w:rsidTr="00A4193B">
        <w:trPr>
          <w:cnfStyle w:val="000000010000" w:firstRow="0" w:lastRow="0" w:firstColumn="0" w:lastColumn="0" w:oddVBand="0" w:evenVBand="0" w:oddHBand="0" w:evenHBand="1" w:firstRowFirstColumn="0" w:firstRowLastColumn="0" w:lastRowFirstColumn="0" w:lastRowLastColumn="0"/>
        </w:trPr>
        <w:tc>
          <w:tcPr>
            <w:tcW w:w="4819" w:type="dxa"/>
          </w:tcPr>
          <w:p w14:paraId="7728F2D9" w14:textId="60C76D9C" w:rsidR="002352A1" w:rsidRDefault="00D06C8A" w:rsidP="002352A1">
            <w:pPr>
              <w:pStyle w:val="TableBody"/>
            </w:pPr>
            <w:r>
              <w:t>Name withheld #3</w:t>
            </w:r>
          </w:p>
        </w:tc>
        <w:tc>
          <w:tcPr>
            <w:tcW w:w="4819" w:type="dxa"/>
          </w:tcPr>
          <w:p w14:paraId="78F9746D" w14:textId="6475D025" w:rsidR="002352A1" w:rsidRDefault="002469E7" w:rsidP="002352A1">
            <w:pPr>
              <w:pStyle w:val="TableBody"/>
            </w:pPr>
            <w:r>
              <w:t>17</w:t>
            </w:r>
            <w:r w:rsidRPr="00657B6C">
              <w:t xml:space="preserve"> </w:t>
            </w:r>
            <w:r>
              <w:t>June</w:t>
            </w:r>
            <w:r w:rsidRPr="00657B6C">
              <w:t xml:space="preserve"> 202</w:t>
            </w:r>
            <w:r>
              <w:t>4</w:t>
            </w:r>
          </w:p>
        </w:tc>
      </w:tr>
      <w:tr w:rsidR="002352A1" w14:paraId="4C13E0B5" w14:textId="77777777" w:rsidTr="00A4193B">
        <w:trPr>
          <w:cnfStyle w:val="000000100000" w:firstRow="0" w:lastRow="0" w:firstColumn="0" w:lastColumn="0" w:oddVBand="0" w:evenVBand="0" w:oddHBand="1" w:evenHBand="0" w:firstRowFirstColumn="0" w:firstRowLastColumn="0" w:lastRowFirstColumn="0" w:lastRowLastColumn="0"/>
        </w:trPr>
        <w:tc>
          <w:tcPr>
            <w:tcW w:w="4819" w:type="dxa"/>
          </w:tcPr>
          <w:p w14:paraId="012E0805" w14:textId="0C211AA4" w:rsidR="002352A1" w:rsidRDefault="00D06C8A" w:rsidP="002352A1">
            <w:pPr>
              <w:pStyle w:val="TableBody"/>
            </w:pPr>
            <w:r>
              <w:t>Name withheld #4</w:t>
            </w:r>
          </w:p>
        </w:tc>
        <w:tc>
          <w:tcPr>
            <w:tcW w:w="4819" w:type="dxa"/>
          </w:tcPr>
          <w:p w14:paraId="5DF64723" w14:textId="65BBAA94" w:rsidR="002352A1" w:rsidRDefault="002469E7" w:rsidP="002352A1">
            <w:pPr>
              <w:pStyle w:val="TableBody"/>
            </w:pPr>
            <w:r>
              <w:t>17</w:t>
            </w:r>
            <w:r w:rsidRPr="00657B6C">
              <w:t xml:space="preserve"> </w:t>
            </w:r>
            <w:r>
              <w:t>June</w:t>
            </w:r>
            <w:r w:rsidRPr="00657B6C">
              <w:t xml:space="preserve"> 202</w:t>
            </w:r>
            <w:r>
              <w:t>4</w:t>
            </w:r>
          </w:p>
        </w:tc>
      </w:tr>
      <w:tr w:rsidR="002352A1" w14:paraId="6FCCE0A6" w14:textId="77777777" w:rsidTr="00A4193B">
        <w:trPr>
          <w:cnfStyle w:val="000000010000" w:firstRow="0" w:lastRow="0" w:firstColumn="0" w:lastColumn="0" w:oddVBand="0" w:evenVBand="0" w:oddHBand="0" w:evenHBand="1" w:firstRowFirstColumn="0" w:firstRowLastColumn="0" w:lastRowFirstColumn="0" w:lastRowLastColumn="0"/>
        </w:trPr>
        <w:tc>
          <w:tcPr>
            <w:tcW w:w="4819" w:type="dxa"/>
          </w:tcPr>
          <w:p w14:paraId="468A9D37" w14:textId="5CAEA8F3" w:rsidR="002352A1" w:rsidRDefault="00665FB0" w:rsidP="002352A1">
            <w:pPr>
              <w:pStyle w:val="TableBody"/>
            </w:pPr>
            <w:r>
              <w:t>Black</w:t>
            </w:r>
            <w:r w:rsidR="00710567">
              <w:t xml:space="preserve"> &amp; White Cabs Victoria</w:t>
            </w:r>
          </w:p>
        </w:tc>
        <w:tc>
          <w:tcPr>
            <w:tcW w:w="4819" w:type="dxa"/>
          </w:tcPr>
          <w:p w14:paraId="4EBE2637" w14:textId="42CD3ABD" w:rsidR="002352A1" w:rsidRDefault="00CC4CBF" w:rsidP="002352A1">
            <w:pPr>
              <w:pStyle w:val="TableBody"/>
            </w:pPr>
            <w:r>
              <w:t>21</w:t>
            </w:r>
            <w:r w:rsidR="002352A1" w:rsidRPr="00657B6C">
              <w:t xml:space="preserve"> </w:t>
            </w:r>
            <w:r>
              <w:t>June</w:t>
            </w:r>
            <w:r w:rsidR="002352A1" w:rsidRPr="00657B6C">
              <w:t xml:space="preserve"> 202</w:t>
            </w:r>
            <w:r>
              <w:t>4</w:t>
            </w:r>
          </w:p>
        </w:tc>
      </w:tr>
      <w:tr w:rsidR="002352A1" w14:paraId="2676445C" w14:textId="77777777" w:rsidTr="00A4193B">
        <w:trPr>
          <w:cnfStyle w:val="000000100000" w:firstRow="0" w:lastRow="0" w:firstColumn="0" w:lastColumn="0" w:oddVBand="0" w:evenVBand="0" w:oddHBand="1" w:evenHBand="0" w:firstRowFirstColumn="0" w:firstRowLastColumn="0" w:lastRowFirstColumn="0" w:lastRowLastColumn="0"/>
        </w:trPr>
        <w:tc>
          <w:tcPr>
            <w:tcW w:w="4819" w:type="dxa"/>
          </w:tcPr>
          <w:p w14:paraId="67F58456" w14:textId="041C0484" w:rsidR="002352A1" w:rsidRDefault="0077264B" w:rsidP="002352A1">
            <w:pPr>
              <w:pStyle w:val="TableBody"/>
            </w:pPr>
            <w:r>
              <w:t>Visa</w:t>
            </w:r>
          </w:p>
        </w:tc>
        <w:tc>
          <w:tcPr>
            <w:tcW w:w="4819" w:type="dxa"/>
          </w:tcPr>
          <w:p w14:paraId="50E2C396" w14:textId="0CB0669E" w:rsidR="002352A1" w:rsidRDefault="0077264B" w:rsidP="002352A1">
            <w:pPr>
              <w:pStyle w:val="TableBody"/>
            </w:pPr>
            <w:r>
              <w:t>1</w:t>
            </w:r>
            <w:r w:rsidR="002352A1" w:rsidRPr="00657B6C">
              <w:t xml:space="preserve">2 </w:t>
            </w:r>
            <w:r>
              <w:t>July</w:t>
            </w:r>
            <w:r w:rsidR="002352A1" w:rsidRPr="00657B6C">
              <w:t xml:space="preserve"> 202</w:t>
            </w:r>
            <w:r>
              <w:t>4</w:t>
            </w:r>
          </w:p>
        </w:tc>
      </w:tr>
      <w:tr w:rsidR="0077264B" w14:paraId="02F1A292" w14:textId="77777777" w:rsidTr="00A4193B">
        <w:trPr>
          <w:cnfStyle w:val="000000010000" w:firstRow="0" w:lastRow="0" w:firstColumn="0" w:lastColumn="0" w:oddVBand="0" w:evenVBand="0" w:oddHBand="0" w:evenHBand="1" w:firstRowFirstColumn="0" w:firstRowLastColumn="0" w:lastRowFirstColumn="0" w:lastRowLastColumn="0"/>
        </w:trPr>
        <w:tc>
          <w:tcPr>
            <w:tcW w:w="4819" w:type="dxa"/>
          </w:tcPr>
          <w:p w14:paraId="39378AD5" w14:textId="138C8A2E" w:rsidR="0077264B" w:rsidRPr="00657B6C" w:rsidRDefault="0077264B" w:rsidP="0077264B">
            <w:pPr>
              <w:pStyle w:val="TableBody"/>
            </w:pPr>
            <w:r w:rsidRPr="00657B6C">
              <w:t>GM Cabs</w:t>
            </w:r>
          </w:p>
        </w:tc>
        <w:tc>
          <w:tcPr>
            <w:tcW w:w="4819" w:type="dxa"/>
          </w:tcPr>
          <w:p w14:paraId="22D5E652" w14:textId="27D56BAC" w:rsidR="0077264B" w:rsidRPr="00657B6C" w:rsidRDefault="0077264B" w:rsidP="0077264B">
            <w:pPr>
              <w:pStyle w:val="TableBody"/>
            </w:pPr>
            <w:r>
              <w:t>1</w:t>
            </w:r>
            <w:r w:rsidRPr="00657B6C">
              <w:t xml:space="preserve">2 </w:t>
            </w:r>
            <w:r>
              <w:t>July</w:t>
            </w:r>
            <w:r w:rsidRPr="00657B6C">
              <w:t xml:space="preserve"> 202</w:t>
            </w:r>
            <w:r>
              <w:t>4</w:t>
            </w:r>
          </w:p>
        </w:tc>
      </w:tr>
    </w:tbl>
    <w:p w14:paraId="1796C1FA" w14:textId="77777777" w:rsidR="00A34C7C" w:rsidRDefault="00A34C7C" w:rsidP="00710792"/>
    <w:p w14:paraId="457D9596" w14:textId="77777777" w:rsidR="008F7087" w:rsidRDefault="008F7087" w:rsidP="009622A3">
      <w:pPr>
        <w:sectPr w:rsidR="008F7087" w:rsidSect="0053218D">
          <w:footerReference w:type="default" r:id="rId30"/>
          <w:pgSz w:w="11906" w:h="16838" w:code="9"/>
          <w:pgMar w:top="1134" w:right="1134" w:bottom="1134" w:left="1134" w:header="709" w:footer="692" w:gutter="0"/>
          <w:cols w:space="708"/>
          <w:docGrid w:linePitch="360"/>
        </w:sectPr>
      </w:pPr>
      <w:bookmarkStart w:id="172" w:name="_Toc480988885"/>
      <w:bookmarkStart w:id="173" w:name="_Toc481138196"/>
      <w:bookmarkStart w:id="174" w:name="_Toc481138404"/>
    </w:p>
    <w:p w14:paraId="7DE07314" w14:textId="2E578DCE" w:rsidR="00865ECE" w:rsidRDefault="003B6C1F" w:rsidP="00A27C06">
      <w:pPr>
        <w:pStyle w:val="Heading1"/>
      </w:pPr>
      <w:bookmarkStart w:id="175" w:name="_Toc174692679"/>
      <w:bookmarkEnd w:id="172"/>
      <w:bookmarkEnd w:id="173"/>
      <w:bookmarkEnd w:id="174"/>
      <w:r w:rsidRPr="003B6C1F">
        <w:lastRenderedPageBreak/>
        <w:t xml:space="preserve">Appendix </w:t>
      </w:r>
      <w:r w:rsidR="008764D4">
        <w:t>C</w:t>
      </w:r>
      <w:r w:rsidRPr="003B6C1F">
        <w:t>: Commercial Passenger Vehicle industry</w:t>
      </w:r>
      <w:bookmarkEnd w:id="175"/>
    </w:p>
    <w:p w14:paraId="3CC7EC26" w14:textId="6397A9FC" w:rsidR="00263A34" w:rsidRDefault="00263A34" w:rsidP="00263A34">
      <w:bookmarkStart w:id="176" w:name="_Toc480988886"/>
      <w:bookmarkStart w:id="177" w:name="_Toc481138197"/>
      <w:bookmarkStart w:id="178" w:name="_Toc481138405"/>
      <w:r>
        <w:t xml:space="preserve">This </w:t>
      </w:r>
      <w:r w:rsidR="000834A5">
        <w:t>Appendix</w:t>
      </w:r>
      <w:r>
        <w:t xml:space="preserve"> provides context for our review of maximum fares including a brief overview of the commercial passenger vehicle industry and a comparison of maximum fares across jurisdictions. </w:t>
      </w:r>
    </w:p>
    <w:p w14:paraId="5CBB44DF" w14:textId="77777777" w:rsidR="00263A34" w:rsidRDefault="00263A34" w:rsidP="00431F8E">
      <w:pPr>
        <w:pStyle w:val="Heading2"/>
      </w:pPr>
      <w:bookmarkStart w:id="179" w:name="_Toc174692680"/>
      <w:r>
        <w:t>The commercial passenger vehicle industry</w:t>
      </w:r>
      <w:bookmarkEnd w:id="179"/>
    </w:p>
    <w:p w14:paraId="174DFB67" w14:textId="051A2948" w:rsidR="00263A34" w:rsidRDefault="00263A34" w:rsidP="00263A34">
      <w:r>
        <w:t>The commercial passenger vehicle industry provides the hire of point</w:t>
      </w:r>
      <w:r w:rsidR="009453DF">
        <w:noBreakHyphen/>
      </w:r>
      <w:r>
        <w:t>to</w:t>
      </w:r>
      <w:r w:rsidR="00AA77F8">
        <w:noBreakHyphen/>
      </w:r>
      <w:r>
        <w:t>point vehicle transport. This is different to other forms of commercial transport that, for example, run on pre</w:t>
      </w:r>
      <w:r w:rsidR="00911BB5">
        <w:noBreakHyphen/>
      </w:r>
      <w:r>
        <w:t>specified routes. Commercial passenger vehicles include taxis, hire cars and rideshare</w:t>
      </w:r>
      <w:r w:rsidR="00072D75">
        <w:t xml:space="preserve"> vehicles</w:t>
      </w:r>
      <w:r>
        <w:t>.</w:t>
      </w:r>
    </w:p>
    <w:p w14:paraId="25B25079" w14:textId="77777777" w:rsidR="00263A34" w:rsidRDefault="00263A34" w:rsidP="00231D58">
      <w:pPr>
        <w:pStyle w:val="Heading3"/>
      </w:pPr>
      <w:bookmarkStart w:id="180" w:name="_Toc166654690"/>
      <w:bookmarkStart w:id="181" w:name="_Toc166662245"/>
      <w:bookmarkStart w:id="182" w:name="_Toc166669809"/>
      <w:bookmarkStart w:id="183" w:name="_Toc166678874"/>
      <w:bookmarkStart w:id="184" w:name="_Toc167345829"/>
      <w:bookmarkStart w:id="185" w:name="_Toc167346523"/>
      <w:bookmarkStart w:id="186" w:name="_Toc167780318"/>
      <w:bookmarkStart w:id="187" w:name="_Toc173691402"/>
      <w:bookmarkStart w:id="188" w:name="_Toc174692681"/>
      <w:r>
        <w:t>Commercial passenger vehicle industry participants</w:t>
      </w:r>
      <w:bookmarkEnd w:id="180"/>
      <w:bookmarkEnd w:id="181"/>
      <w:bookmarkEnd w:id="182"/>
      <w:bookmarkEnd w:id="183"/>
      <w:bookmarkEnd w:id="184"/>
      <w:bookmarkEnd w:id="185"/>
      <w:bookmarkEnd w:id="186"/>
      <w:bookmarkEnd w:id="187"/>
      <w:bookmarkEnd w:id="188"/>
    </w:p>
    <w:p w14:paraId="45E701D1" w14:textId="6EDF658A" w:rsidR="008F7087" w:rsidRDefault="00263A34" w:rsidP="00263A34">
      <w:r>
        <w:t>The main industry participants in the commercial passenger vehicle industry are operators, drivers and booking service providers. The key functions of these industry participants are shown in Figure</w:t>
      </w:r>
      <w:r w:rsidR="00B735B7">
        <w:t> </w:t>
      </w:r>
      <w:r w:rsidR="008764D4">
        <w:t>C</w:t>
      </w:r>
      <w:r>
        <w:t>.1. In some cases, an individual participant may take on more than one role. For example, an operator may drive vehicles, or a booking service provider may operate vehicles. Taxi drivers may also operate independently as an operator</w:t>
      </w:r>
      <w:r w:rsidR="00693FE1">
        <w:noBreakHyphen/>
      </w:r>
      <w:r>
        <w:t>driver and choose not to be affiliated with any major booking service provider.</w:t>
      </w:r>
    </w:p>
    <w:p w14:paraId="4A3D8E16" w14:textId="4E90D01F" w:rsidR="00CB7FB8" w:rsidRDefault="000C76DA" w:rsidP="000C76DA">
      <w:pPr>
        <w:pStyle w:val="Figure-Table-BoxHeading"/>
        <w:ind w:left="0" w:firstLine="0"/>
      </w:pPr>
      <w:r w:rsidRPr="000C76DA">
        <w:t xml:space="preserve">Figure </w:t>
      </w:r>
      <w:r w:rsidR="008764D4">
        <w:t>C</w:t>
      </w:r>
      <w:r w:rsidRPr="000C76DA">
        <w:t xml:space="preserve">.1 </w:t>
      </w:r>
      <w:r>
        <w:tab/>
      </w:r>
      <w:r w:rsidRPr="000C76DA">
        <w:t>Commercial passenger vehicle industry participants</w:t>
      </w:r>
    </w:p>
    <w:p w14:paraId="67DB6581" w14:textId="40AB0B96" w:rsidR="000C76DA" w:rsidRDefault="005560F5" w:rsidP="00CB7FB8">
      <w:r w:rsidRPr="005560F5">
        <w:rPr>
          <w:noProof/>
        </w:rPr>
        <w:drawing>
          <wp:inline distT="0" distB="0" distL="0" distR="0" wp14:anchorId="0AF41882" wp14:editId="1F5951FD">
            <wp:extent cx="5943600" cy="3035300"/>
            <wp:effectExtent l="0" t="0" r="0" b="0"/>
            <wp:docPr id="20332123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035300"/>
                    </a:xfrm>
                    <a:prstGeom prst="rect">
                      <a:avLst/>
                    </a:prstGeom>
                    <a:noFill/>
                    <a:ln>
                      <a:noFill/>
                    </a:ln>
                  </pic:spPr>
                </pic:pic>
              </a:graphicData>
            </a:graphic>
          </wp:inline>
        </w:drawing>
      </w:r>
    </w:p>
    <w:p w14:paraId="4B6B7EE9" w14:textId="77777777" w:rsidR="00C91B71" w:rsidRDefault="00C91B71" w:rsidP="00C91B71">
      <w:pPr>
        <w:pStyle w:val="Heading3"/>
      </w:pPr>
      <w:bookmarkStart w:id="189" w:name="_Toc166654691"/>
      <w:bookmarkStart w:id="190" w:name="_Toc166662246"/>
      <w:bookmarkStart w:id="191" w:name="_Toc166669810"/>
      <w:bookmarkStart w:id="192" w:name="_Toc166678875"/>
      <w:bookmarkStart w:id="193" w:name="_Toc167345830"/>
      <w:bookmarkStart w:id="194" w:name="_Toc167346524"/>
      <w:bookmarkStart w:id="195" w:name="_Toc167780319"/>
      <w:bookmarkStart w:id="196" w:name="_Toc173691403"/>
      <w:bookmarkStart w:id="197" w:name="_Toc174692682"/>
      <w:r>
        <w:lastRenderedPageBreak/>
        <w:t>Submarkets and service providers</w:t>
      </w:r>
      <w:bookmarkEnd w:id="189"/>
      <w:bookmarkEnd w:id="190"/>
      <w:bookmarkEnd w:id="191"/>
      <w:bookmarkEnd w:id="192"/>
      <w:bookmarkEnd w:id="193"/>
      <w:bookmarkEnd w:id="194"/>
      <w:bookmarkEnd w:id="195"/>
      <w:bookmarkEnd w:id="196"/>
      <w:bookmarkEnd w:id="197"/>
    </w:p>
    <w:p w14:paraId="75F08037" w14:textId="77777777" w:rsidR="00C91B71" w:rsidRDefault="00C91B71" w:rsidP="00C91B71">
      <w:pPr>
        <w:keepNext/>
        <w:keepLines/>
      </w:pPr>
      <w:r>
        <w:t>It is useful to divide the market for commercial passenger vehicle services into two submarkets depending on the way passengers obtain services:</w:t>
      </w:r>
    </w:p>
    <w:p w14:paraId="2673BA70" w14:textId="680DFBBD" w:rsidR="00C91B71" w:rsidRDefault="00C91B71" w:rsidP="001330C2">
      <w:pPr>
        <w:pStyle w:val="ListBullet"/>
      </w:pPr>
      <w:r>
        <w:t>unbooked (rank and hail) services: trips hailed from the street or hired from a designated taxi rank</w:t>
      </w:r>
    </w:p>
    <w:p w14:paraId="40C4294A" w14:textId="6286B0E8" w:rsidR="00C91B71" w:rsidRDefault="00C91B71" w:rsidP="001330C2">
      <w:pPr>
        <w:pStyle w:val="ListBullet"/>
      </w:pPr>
      <w:r>
        <w:t xml:space="preserve">booked services: trips that have been booked in advance via an app, over the phone or via a website. </w:t>
      </w:r>
    </w:p>
    <w:p w14:paraId="22288CE2" w14:textId="78930673" w:rsidR="000C76DA" w:rsidRDefault="00C91B71" w:rsidP="00C91B71">
      <w:r>
        <w:t>To provide unbooked commercial passenger vehicle services</w:t>
      </w:r>
      <w:r w:rsidR="00363F8A">
        <w:t>,</w:t>
      </w:r>
      <w:r>
        <w:t xml:space="preserve"> a vehicle must meet certain requirements. For example, a fare calculation device</w:t>
      </w:r>
      <w:r w:rsidR="001F4405">
        <w:rPr>
          <w:rStyle w:val="FootnoteReference"/>
        </w:rPr>
        <w:footnoteReference w:id="76"/>
      </w:r>
      <w:r>
        <w:t xml:space="preserve"> and security camera</w:t>
      </w:r>
      <w:r w:rsidR="004024FF">
        <w:rPr>
          <w:rStyle w:val="FootnoteReference"/>
        </w:rPr>
        <w:footnoteReference w:id="77"/>
      </w:r>
      <w:r>
        <w:t xml:space="preserve"> must be installed. </w:t>
      </w:r>
      <w:r w:rsidR="00CE1425">
        <w:t>Typically, t</w:t>
      </w:r>
      <w:r>
        <w:t xml:space="preserve">axis are </w:t>
      </w:r>
      <w:r w:rsidR="00661A1B">
        <w:t>the only</w:t>
      </w:r>
      <w:r>
        <w:t xml:space="preserve"> commercial passenger vehicles that meet these requirements</w:t>
      </w:r>
      <w:r w:rsidR="009D38EC">
        <w:t xml:space="preserve"> and therefore</w:t>
      </w:r>
      <w:r w:rsidR="008644BD">
        <w:t xml:space="preserve"> it is </w:t>
      </w:r>
      <w:r w:rsidR="00C97E93">
        <w:t xml:space="preserve">currently </w:t>
      </w:r>
      <w:r w:rsidR="008644BD">
        <w:t xml:space="preserve">only </w:t>
      </w:r>
      <w:r w:rsidR="00973E60">
        <w:t>taxis that can provide unbooked</w:t>
      </w:r>
      <w:r w:rsidR="00A404B6">
        <w:t xml:space="preserve"> services</w:t>
      </w:r>
      <w:r>
        <w:t xml:space="preserve">. Figure </w:t>
      </w:r>
      <w:r w:rsidR="008764D4">
        <w:t>C</w:t>
      </w:r>
      <w:r>
        <w:t>.2 illustrates the differences between booked and unbooked commercial passenger vehicle services.</w:t>
      </w:r>
    </w:p>
    <w:p w14:paraId="2D67548D" w14:textId="0D98AC87" w:rsidR="001330C2" w:rsidRDefault="007F6323" w:rsidP="007F6323">
      <w:pPr>
        <w:pStyle w:val="Figure-Table-BoxHeading"/>
        <w:ind w:left="0" w:firstLine="0"/>
      </w:pPr>
      <w:r w:rsidRPr="007F6323">
        <w:t xml:space="preserve">Figure </w:t>
      </w:r>
      <w:r w:rsidR="008764D4">
        <w:t>C</w:t>
      </w:r>
      <w:r w:rsidRPr="007F6323">
        <w:t xml:space="preserve">.2 </w:t>
      </w:r>
      <w:r w:rsidRPr="007F6323">
        <w:tab/>
        <w:t>Submarkets for commercial passenger vehicle services</w:t>
      </w:r>
    </w:p>
    <w:p w14:paraId="3CFF586B" w14:textId="1E51266D" w:rsidR="00147F1B" w:rsidRDefault="000C2D14" w:rsidP="007F6323">
      <w:pPr>
        <w:pStyle w:val="Figure-Table-BoxHeading"/>
        <w:ind w:left="0" w:firstLine="0"/>
      </w:pPr>
      <w:r>
        <w:rPr>
          <w:noProof/>
        </w:rPr>
        <w:drawing>
          <wp:inline distT="0" distB="0" distL="0" distR="0" wp14:anchorId="106BF475" wp14:editId="7CAA5313">
            <wp:extent cx="6120130" cy="3366770"/>
            <wp:effectExtent l="0" t="0" r="0" b="5080"/>
            <wp:docPr id="131377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7371" name="Picture 13137737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130" cy="3366770"/>
                    </a:xfrm>
                    <a:prstGeom prst="rect">
                      <a:avLst/>
                    </a:prstGeom>
                  </pic:spPr>
                </pic:pic>
              </a:graphicData>
            </a:graphic>
          </wp:inline>
        </w:drawing>
      </w:r>
    </w:p>
    <w:p w14:paraId="17EED29D" w14:textId="3CF9A562" w:rsidR="001330C2" w:rsidRDefault="001330C2" w:rsidP="00C91B71"/>
    <w:p w14:paraId="1C121498" w14:textId="3508DDB4" w:rsidR="00083876" w:rsidRDefault="00083876" w:rsidP="00083876">
      <w:r>
        <w:lastRenderedPageBreak/>
        <w:t xml:space="preserve">Hire cars and rideshare vehicles that operate exclusively in the booked market are not subject to fare regulation. Fares for booked taxi services are also not subject to regulation. </w:t>
      </w:r>
      <w:r w:rsidR="003E6BBE">
        <w:t>Some taxis are now also providing booked services via rideshare app</w:t>
      </w:r>
      <w:r w:rsidR="005C49AA">
        <w:t>s.</w:t>
      </w:r>
      <w:r w:rsidR="00525229">
        <w:rPr>
          <w:rStyle w:val="FootnoteReference"/>
        </w:rPr>
        <w:footnoteReference w:id="78"/>
      </w:r>
      <w:r w:rsidR="005C49AA">
        <w:t xml:space="preserve"> </w:t>
      </w:r>
    </w:p>
    <w:p w14:paraId="7CACC8A8" w14:textId="10E40CAE" w:rsidR="00083876" w:rsidRDefault="00083876" w:rsidP="00083876">
      <w:r>
        <w:t>In the unbooked submarket, negotiation of fares between service providers and consumers may be difficult or impractical. Consumers do not have complete information on the availability of services and fares offered by other service providers. In the booked market, consumers are typically better placed to negotiate prices, or to at least compare differing services and prices. It is easier to seek a fare estimate upfront and compare service providers</w:t>
      </w:r>
      <w:r w:rsidR="002546B1">
        <w:t xml:space="preserve"> using an app or</w:t>
      </w:r>
      <w:r>
        <w:t xml:space="preserve"> over the phone or the internet.</w:t>
      </w:r>
    </w:p>
    <w:p w14:paraId="0B9AD324" w14:textId="77777777" w:rsidR="00083876" w:rsidRDefault="00083876" w:rsidP="00366843">
      <w:pPr>
        <w:pStyle w:val="Heading3"/>
      </w:pPr>
      <w:bookmarkStart w:id="198" w:name="_Toc166654692"/>
      <w:bookmarkStart w:id="199" w:name="_Toc166662247"/>
      <w:bookmarkStart w:id="200" w:name="_Toc166669811"/>
      <w:bookmarkStart w:id="201" w:name="_Toc166678876"/>
      <w:bookmarkStart w:id="202" w:name="_Toc167345831"/>
      <w:bookmarkStart w:id="203" w:name="_Toc167346525"/>
      <w:bookmarkStart w:id="204" w:name="_Toc167780320"/>
      <w:bookmarkStart w:id="205" w:name="_Toc173691404"/>
      <w:bookmarkStart w:id="206" w:name="_Toc174692683"/>
      <w:r>
        <w:t>Commercial passenger vehicle zones</w:t>
      </w:r>
      <w:bookmarkEnd w:id="198"/>
      <w:bookmarkEnd w:id="199"/>
      <w:bookmarkEnd w:id="200"/>
      <w:bookmarkEnd w:id="201"/>
      <w:bookmarkEnd w:id="202"/>
      <w:bookmarkEnd w:id="203"/>
      <w:bookmarkEnd w:id="204"/>
      <w:bookmarkEnd w:id="205"/>
      <w:bookmarkEnd w:id="206"/>
    </w:p>
    <w:p w14:paraId="4DA2B42A" w14:textId="7E1F7120" w:rsidR="00083876" w:rsidRDefault="00083876" w:rsidP="00374CDF">
      <w:r>
        <w:t>Historically, there were four zones in Victoria: the Melbourne Metropolitan Zone, the Urban Zone (which we now refer to as the Urban and Large Regional Zone), the regional zone, and the country zone. These zones were determined to define the boundaries of where taxis were allowed to operate before taxi licences were abolished.</w:t>
      </w:r>
      <w:r w:rsidR="003B0DD2">
        <w:rPr>
          <w:rStyle w:val="FootnoteReference"/>
        </w:rPr>
        <w:footnoteReference w:id="79"/>
      </w:r>
      <w:r>
        <w:t xml:space="preserve"> While the </w:t>
      </w:r>
      <w:r w:rsidR="002D23FB">
        <w:t>licence restrictions</w:t>
      </w:r>
      <w:r>
        <w:t xml:space="preserve"> no longer exist, the </w:t>
      </w:r>
      <w:r w:rsidR="002D23FB">
        <w:t xml:space="preserve">zone </w:t>
      </w:r>
      <w:r>
        <w:t xml:space="preserve">boundaries are still used </w:t>
      </w:r>
      <w:r w:rsidR="000A4BDA">
        <w:t>to define</w:t>
      </w:r>
      <w:r>
        <w:t xml:space="preserve"> the </w:t>
      </w:r>
      <w:r w:rsidR="000A4BDA">
        <w:t>areas in which we may regulate</w:t>
      </w:r>
      <w:r>
        <w:t xml:space="preserve"> unbooked </w:t>
      </w:r>
      <w:r w:rsidR="000A4BDA">
        <w:t>fares</w:t>
      </w:r>
      <w:r>
        <w:t>.</w:t>
      </w:r>
    </w:p>
    <w:p w14:paraId="75E68FEA" w14:textId="26A61779" w:rsidR="00083876" w:rsidRDefault="00F47C60" w:rsidP="00374CDF">
      <w:r>
        <w:t>We may only set</w:t>
      </w:r>
      <w:r w:rsidR="00083876">
        <w:t xml:space="preserve"> maximum fares for unbooked commercial passenger vehicle trips that begin in the Melbourne Metropolitan </w:t>
      </w:r>
      <w:r w:rsidR="00193D4F">
        <w:t>or</w:t>
      </w:r>
      <w:r w:rsidR="00083876">
        <w:t xml:space="preserve"> Urban and Large Regional Zones.</w:t>
      </w:r>
      <w:r w:rsidR="00473A3B">
        <w:rPr>
          <w:rStyle w:val="FootnoteReference"/>
        </w:rPr>
        <w:footnoteReference w:id="80"/>
      </w:r>
      <w:r w:rsidR="00083876">
        <w:t xml:space="preserve"> For trips that begin in all other parts of Victoria, taxi service providers set their own prices for </w:t>
      </w:r>
      <w:r w:rsidR="005F722A">
        <w:t xml:space="preserve">both </w:t>
      </w:r>
      <w:r w:rsidR="00083876">
        <w:t xml:space="preserve">unbooked </w:t>
      </w:r>
      <w:r w:rsidR="005F722A">
        <w:t xml:space="preserve">and booked </w:t>
      </w:r>
      <w:r w:rsidR="00083876">
        <w:t>trips.</w:t>
      </w:r>
    </w:p>
    <w:p w14:paraId="165430A4" w14:textId="77777777" w:rsidR="007C503E" w:rsidRDefault="007C503E" w:rsidP="0094718D">
      <w:pPr>
        <w:pStyle w:val="Heading2"/>
      </w:pPr>
      <w:bookmarkStart w:id="207" w:name="_Toc173691405"/>
      <w:bookmarkStart w:id="208" w:name="_Toc174692684"/>
      <w:r>
        <w:t>Competition in the commercial passenger vehicle industry</w:t>
      </w:r>
      <w:bookmarkEnd w:id="207"/>
      <w:bookmarkEnd w:id="208"/>
    </w:p>
    <w:p w14:paraId="36DABED9" w14:textId="49F1C2DC" w:rsidR="007C503E" w:rsidRDefault="003A533C" w:rsidP="00F0419B">
      <w:r>
        <w:t>M</w:t>
      </w:r>
      <w:r w:rsidR="007C503E">
        <w:t xml:space="preserve">any commercial passenger vehicle services </w:t>
      </w:r>
      <w:r>
        <w:t xml:space="preserve">utilise </w:t>
      </w:r>
      <w:r w:rsidR="007C503E">
        <w:t xml:space="preserve">smartphone </w:t>
      </w:r>
      <w:r w:rsidR="0004290D">
        <w:t>technologies</w:t>
      </w:r>
      <w:r w:rsidR="007C503E">
        <w:t xml:space="preserve">. This has </w:t>
      </w:r>
      <w:r>
        <w:t xml:space="preserve">enabled greater </w:t>
      </w:r>
      <w:r w:rsidR="007C503E">
        <w:t>competition between taxi operators, hire cars and rideshare services.</w:t>
      </w:r>
    </w:p>
    <w:p w14:paraId="00D85850" w14:textId="77777777" w:rsidR="007C503E" w:rsidRDefault="007C503E" w:rsidP="00F0419B">
      <w:r>
        <w:t xml:space="preserve">Smartphone technology has also changed the way that passengers can book a commercial passenger vehicle service. It is now common for passengers to book taxis using a booking app. </w:t>
      </w:r>
    </w:p>
    <w:p w14:paraId="06C0A180" w14:textId="77777777" w:rsidR="007C503E" w:rsidRDefault="007C503E" w:rsidP="00F0419B">
      <w:r>
        <w:t>The increasing number of booking apps has had two notable impacts:</w:t>
      </w:r>
    </w:p>
    <w:p w14:paraId="270053F7" w14:textId="5618328B" w:rsidR="007C503E" w:rsidRDefault="007C503E" w:rsidP="00094ADC">
      <w:pPr>
        <w:pStyle w:val="ListBullet"/>
      </w:pPr>
      <w:r>
        <w:t xml:space="preserve">It is easier to make bookings for taxis and hire cars where the consumer requests an immediate pick up. As a result, booked services are increasingly becoming a substitute for unbooked services. </w:t>
      </w:r>
    </w:p>
    <w:p w14:paraId="52A1ED01" w14:textId="21A241EA" w:rsidR="007C503E" w:rsidRDefault="007C503E" w:rsidP="00094ADC">
      <w:pPr>
        <w:pStyle w:val="ListBullet"/>
      </w:pPr>
      <w:r>
        <w:lastRenderedPageBreak/>
        <w:t>Booking apps have introduced some degree of flexibility to fares for booked services. Some taxi booking service providers and operators have been providing discounted trips and fixed fares</w:t>
      </w:r>
      <w:r w:rsidR="00DD0CE3">
        <w:t xml:space="preserve"> for booked services</w:t>
      </w:r>
      <w:r>
        <w:t>.</w:t>
      </w:r>
    </w:p>
    <w:p w14:paraId="290E1F63" w14:textId="77777777" w:rsidR="007C503E" w:rsidRDefault="007C503E" w:rsidP="003858A8">
      <w:pPr>
        <w:pStyle w:val="Heading3"/>
      </w:pPr>
      <w:bookmarkStart w:id="209" w:name="_Toc166654694"/>
      <w:bookmarkStart w:id="210" w:name="_Toc166662249"/>
      <w:bookmarkStart w:id="211" w:name="_Toc166669813"/>
      <w:bookmarkStart w:id="212" w:name="_Toc166678878"/>
      <w:bookmarkStart w:id="213" w:name="_Toc167345833"/>
      <w:bookmarkStart w:id="214" w:name="_Toc167346527"/>
      <w:bookmarkStart w:id="215" w:name="_Toc167780322"/>
      <w:bookmarkStart w:id="216" w:name="_Toc173691406"/>
      <w:bookmarkStart w:id="217" w:name="_Toc174692685"/>
      <w:r>
        <w:t>Dynamic pricing in rideshare services</w:t>
      </w:r>
      <w:bookmarkEnd w:id="209"/>
      <w:bookmarkEnd w:id="210"/>
      <w:bookmarkEnd w:id="211"/>
      <w:bookmarkEnd w:id="212"/>
      <w:bookmarkEnd w:id="213"/>
      <w:bookmarkEnd w:id="214"/>
      <w:bookmarkEnd w:id="215"/>
      <w:bookmarkEnd w:id="216"/>
      <w:bookmarkEnd w:id="217"/>
    </w:p>
    <w:p w14:paraId="56485062" w14:textId="2D67AED4" w:rsidR="00374CDF" w:rsidRDefault="007C503E" w:rsidP="00F67F67">
      <w:pPr>
        <w:keepNext/>
        <w:keepLines/>
      </w:pPr>
      <w:r>
        <w:t>Fares for rideshare services are calculated in the booking app and vary with the time and distance travelled. The booking service provider sets a base fare rate. Some booking service providers vary their rates using an algorithm that increases fares above the base rate during times of peak demand and limited supply. This allows dynamic pricing in response to demand and supply</w:t>
      </w:r>
      <w:r w:rsidR="001B7AF6">
        <w:t xml:space="preserve"> (also referred to as surge pricing)</w:t>
      </w:r>
      <w:r>
        <w:t>.</w:t>
      </w:r>
    </w:p>
    <w:p w14:paraId="4F7EC696" w14:textId="24E61C5D" w:rsidR="00374CDF" w:rsidRDefault="006907AE" w:rsidP="00BC37A7">
      <w:pPr>
        <w:pStyle w:val="Heading2"/>
      </w:pPr>
      <w:bookmarkStart w:id="218" w:name="_Toc174692686"/>
      <w:r w:rsidRPr="006907AE">
        <w:t>Comparison of fare regulation and taxi fares in Australian jurisdictions</w:t>
      </w:r>
      <w:bookmarkEnd w:id="218"/>
    </w:p>
    <w:p w14:paraId="5FFF99B2" w14:textId="2770F230" w:rsidR="00FD4F42" w:rsidRDefault="007430F6" w:rsidP="00BC37A7">
      <w:pPr>
        <w:pStyle w:val="Heading3"/>
      </w:pPr>
      <w:bookmarkStart w:id="219" w:name="_Toc167780324"/>
      <w:bookmarkStart w:id="220" w:name="_Toc173691408"/>
      <w:bookmarkStart w:id="221" w:name="_Toc174692687"/>
      <w:r w:rsidRPr="007430F6">
        <w:t>Unbooked taxi services remain regulated in all Australian jurisdictions</w:t>
      </w:r>
      <w:bookmarkEnd w:id="219"/>
      <w:bookmarkEnd w:id="220"/>
      <w:bookmarkEnd w:id="221"/>
    </w:p>
    <w:p w14:paraId="6E80461D" w14:textId="08CE3252" w:rsidR="00204788" w:rsidRDefault="00204788" w:rsidP="00204788">
      <w:r>
        <w:t>All jurisdictions in Australia have a maximum tariff fare structure in place for unbooked taxi services. Some states still set a regulated maximum fare for booked taxi trips. Most</w:t>
      </w:r>
      <w:r w:rsidDel="00FE58AD">
        <w:t xml:space="preserve"> </w:t>
      </w:r>
      <w:r>
        <w:t xml:space="preserve">jurisdictions still </w:t>
      </w:r>
      <w:r w:rsidR="00FE58AD">
        <w:t xml:space="preserve">cap the number of </w:t>
      </w:r>
      <w:r>
        <w:t xml:space="preserve">taxi licences. This comparison is provided in </w:t>
      </w:r>
      <w:r w:rsidR="00CA1051">
        <w:t>T</w:t>
      </w:r>
      <w:r>
        <w:t xml:space="preserve">able </w:t>
      </w:r>
      <w:r w:rsidR="008764D4">
        <w:t>C</w:t>
      </w:r>
      <w:r>
        <w:t>.1.</w:t>
      </w:r>
    </w:p>
    <w:p w14:paraId="70D0F1E8" w14:textId="5C1E08BE" w:rsidR="007430F6" w:rsidRPr="007430F6" w:rsidRDefault="00204788" w:rsidP="00BC37A7">
      <w:pPr>
        <w:pStyle w:val="Figure-Table-BoxHeading"/>
      </w:pPr>
      <w:r w:rsidRPr="0F3B4C48">
        <w:rPr>
          <w:lang w:val="en-AU"/>
        </w:rPr>
        <w:t xml:space="preserve">Table </w:t>
      </w:r>
      <w:r w:rsidR="008764D4" w:rsidRPr="0F3B4C48">
        <w:rPr>
          <w:lang w:val="en-AU"/>
        </w:rPr>
        <w:t>C</w:t>
      </w:r>
      <w:r w:rsidRPr="0F3B4C48">
        <w:rPr>
          <w:lang w:val="en-AU"/>
        </w:rPr>
        <w:t>.1</w:t>
      </w:r>
      <w:r>
        <w:tab/>
      </w:r>
      <w:r w:rsidRPr="0F3B4C48">
        <w:rPr>
          <w:lang w:val="en-AU"/>
        </w:rPr>
        <w:t xml:space="preserve">Taxi regulation in Australian jurisdictions, as of </w:t>
      </w:r>
      <w:r w:rsidR="00EF6B9D" w:rsidRPr="0F3B4C48">
        <w:rPr>
          <w:lang w:val="en-AU"/>
        </w:rPr>
        <w:t>July</w:t>
      </w:r>
      <w:r w:rsidRPr="0F3B4C48">
        <w:rPr>
          <w:lang w:val="en-AU"/>
        </w:rPr>
        <w:t xml:space="preserve"> 2024</w:t>
      </w:r>
    </w:p>
    <w:tbl>
      <w:tblPr>
        <w:tblStyle w:val="TableGrid"/>
        <w:tblW w:w="0" w:type="auto"/>
        <w:tblLook w:val="04A0" w:firstRow="1" w:lastRow="0" w:firstColumn="1" w:lastColumn="0" w:noHBand="0" w:noVBand="1"/>
      </w:tblPr>
      <w:tblGrid>
        <w:gridCol w:w="2835"/>
        <w:gridCol w:w="2267"/>
        <w:gridCol w:w="2268"/>
        <w:gridCol w:w="2268"/>
      </w:tblGrid>
      <w:tr w:rsidR="00153F72" w14:paraId="3758C024" w14:textId="77777777" w:rsidTr="0F3B4C48">
        <w:trPr>
          <w:cnfStyle w:val="100000000000" w:firstRow="1" w:lastRow="0" w:firstColumn="0" w:lastColumn="0" w:oddVBand="0" w:evenVBand="0" w:oddHBand="0" w:evenHBand="0" w:firstRowFirstColumn="0" w:firstRowLastColumn="0" w:lastRowFirstColumn="0" w:lastRowLastColumn="0"/>
        </w:trPr>
        <w:tc>
          <w:tcPr>
            <w:tcW w:w="2835" w:type="dxa"/>
          </w:tcPr>
          <w:p w14:paraId="3140EFEA" w14:textId="43D5C7C5" w:rsidR="00153F72" w:rsidRDefault="006E2CCC" w:rsidP="00606830">
            <w:pPr>
              <w:pStyle w:val="TableHeading"/>
            </w:pPr>
            <w:r w:rsidRPr="0F3B4C48">
              <w:rPr>
                <w:lang w:val="en-AU"/>
              </w:rPr>
              <w:t xml:space="preserve">Jurisdiction </w:t>
            </w:r>
          </w:p>
        </w:tc>
        <w:tc>
          <w:tcPr>
            <w:tcW w:w="2267" w:type="dxa"/>
            <w:vAlign w:val="center"/>
          </w:tcPr>
          <w:p w14:paraId="2340C08C" w14:textId="38DB8A22" w:rsidR="00153F72" w:rsidRDefault="006E2CCC" w:rsidP="00606830">
            <w:pPr>
              <w:pStyle w:val="TableHeading"/>
              <w:jc w:val="center"/>
            </w:pPr>
            <w:r w:rsidRPr="00AF369C">
              <w:t xml:space="preserve">Regulation of booked </w:t>
            </w:r>
            <w:r w:rsidR="00841AF9">
              <w:t>f</w:t>
            </w:r>
            <w:r w:rsidR="00841AF9" w:rsidRPr="00AF369C">
              <w:t>ares</w:t>
            </w:r>
          </w:p>
        </w:tc>
        <w:tc>
          <w:tcPr>
            <w:tcW w:w="2268" w:type="dxa"/>
            <w:vAlign w:val="center"/>
          </w:tcPr>
          <w:p w14:paraId="06277ADA" w14:textId="528A7306" w:rsidR="00153F72" w:rsidRDefault="006E2CCC" w:rsidP="00606830">
            <w:pPr>
              <w:pStyle w:val="TableHeading"/>
              <w:jc w:val="center"/>
            </w:pPr>
            <w:r w:rsidRPr="00AF369C">
              <w:t>Regulation of unbooked fares</w:t>
            </w:r>
          </w:p>
        </w:tc>
        <w:tc>
          <w:tcPr>
            <w:tcW w:w="2268" w:type="dxa"/>
            <w:vAlign w:val="center"/>
          </w:tcPr>
          <w:p w14:paraId="33A0B551" w14:textId="639100E0" w:rsidR="00153F72" w:rsidRDefault="006E2CCC" w:rsidP="00606830">
            <w:pPr>
              <w:pStyle w:val="TableHeading"/>
              <w:jc w:val="center"/>
            </w:pPr>
            <w:r w:rsidRPr="00AF369C">
              <w:t>Limit on number</w:t>
            </w:r>
            <w:r w:rsidR="00051E31">
              <w:br/>
            </w:r>
            <w:r w:rsidRPr="00AF369C">
              <w:t>of licen</w:t>
            </w:r>
            <w:r w:rsidR="0072756B">
              <w:t>c</w:t>
            </w:r>
            <w:r w:rsidRPr="00AF369C">
              <w:t>es</w:t>
            </w:r>
          </w:p>
        </w:tc>
      </w:tr>
      <w:tr w:rsidR="00153F72" w14:paraId="6E72929E"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62CFE524" w14:textId="4BCBA0A0" w:rsidR="00153F72" w:rsidRDefault="006E2CCC" w:rsidP="00606830">
            <w:pPr>
              <w:pStyle w:val="TableBody"/>
            </w:pPr>
            <w:r w:rsidRPr="00AF369C">
              <w:t>Australian Capital Territory</w:t>
            </w:r>
          </w:p>
        </w:tc>
        <w:tc>
          <w:tcPr>
            <w:tcW w:w="2267" w:type="dxa"/>
            <w:vAlign w:val="center"/>
          </w:tcPr>
          <w:p w14:paraId="5C967B88" w14:textId="332AC0C0" w:rsidR="00153F72" w:rsidRDefault="005B577C" w:rsidP="00606830">
            <w:pPr>
              <w:pStyle w:val="TableBody"/>
              <w:jc w:val="center"/>
            </w:pPr>
            <w:r>
              <w:rPr>
                <w:rFonts w:ascii="Wingdings" w:eastAsia="Wingdings" w:hAnsi="Wingdings" w:cs="Wingdings"/>
              </w:rPr>
              <w:sym w:font="Wingdings" w:char="F0FC"/>
            </w:r>
          </w:p>
        </w:tc>
        <w:tc>
          <w:tcPr>
            <w:tcW w:w="2268" w:type="dxa"/>
          </w:tcPr>
          <w:p w14:paraId="140DE800" w14:textId="47E16012" w:rsidR="00153F72" w:rsidRDefault="005B577C" w:rsidP="00606830">
            <w:pPr>
              <w:pStyle w:val="TableBody"/>
              <w:jc w:val="center"/>
            </w:pPr>
            <w:r w:rsidRPr="009E170A">
              <w:rPr>
                <w:rFonts w:ascii="Wingdings" w:eastAsia="Wingdings" w:hAnsi="Wingdings" w:cs="Wingdings"/>
              </w:rPr>
              <w:sym w:font="Wingdings" w:char="F0FC"/>
            </w:r>
          </w:p>
        </w:tc>
        <w:tc>
          <w:tcPr>
            <w:tcW w:w="2268" w:type="dxa"/>
            <w:vAlign w:val="center"/>
          </w:tcPr>
          <w:p w14:paraId="748A086F" w14:textId="0D1A4F08" w:rsidR="00153F72" w:rsidRDefault="005B577C" w:rsidP="00606830">
            <w:pPr>
              <w:pStyle w:val="TableBody"/>
              <w:jc w:val="center"/>
            </w:pPr>
            <w:r>
              <w:rPr>
                <w:rFonts w:ascii="Wingdings" w:eastAsia="Wingdings" w:hAnsi="Wingdings" w:cs="Wingdings"/>
              </w:rPr>
              <w:sym w:font="Wingdings" w:char="F0FC"/>
            </w:r>
          </w:p>
        </w:tc>
      </w:tr>
      <w:tr w:rsidR="00153F72" w14:paraId="3EF4B974"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3C6FA0D3" w14:textId="09AD43A2" w:rsidR="00153F72" w:rsidRDefault="006E2CCC" w:rsidP="00606830">
            <w:pPr>
              <w:pStyle w:val="TableBody"/>
            </w:pPr>
            <w:r w:rsidRPr="00AF369C">
              <w:t>New South Wales</w:t>
            </w:r>
          </w:p>
        </w:tc>
        <w:tc>
          <w:tcPr>
            <w:tcW w:w="2267" w:type="dxa"/>
            <w:vAlign w:val="center"/>
          </w:tcPr>
          <w:p w14:paraId="21798802" w14:textId="50ECA9CE" w:rsidR="00153F72" w:rsidRDefault="005B577C" w:rsidP="00606830">
            <w:pPr>
              <w:pStyle w:val="TableBody"/>
              <w:jc w:val="center"/>
            </w:pPr>
            <w:r>
              <w:rPr>
                <w:rFonts w:ascii="Wingdings" w:eastAsia="Wingdings" w:hAnsi="Wingdings" w:cs="Wingdings"/>
              </w:rPr>
              <w:sym w:font="Wingdings" w:char="F0FB"/>
            </w:r>
          </w:p>
        </w:tc>
        <w:tc>
          <w:tcPr>
            <w:tcW w:w="2268" w:type="dxa"/>
          </w:tcPr>
          <w:p w14:paraId="4E6387E5" w14:textId="33ED24EF" w:rsidR="00153F72" w:rsidRDefault="005B577C" w:rsidP="00606830">
            <w:pPr>
              <w:pStyle w:val="TableBody"/>
              <w:jc w:val="center"/>
            </w:pPr>
            <w:r w:rsidRPr="009E170A">
              <w:rPr>
                <w:rFonts w:ascii="Wingdings" w:eastAsia="Wingdings" w:hAnsi="Wingdings" w:cs="Wingdings"/>
              </w:rPr>
              <w:sym w:font="Wingdings" w:char="F0FC"/>
            </w:r>
          </w:p>
        </w:tc>
        <w:tc>
          <w:tcPr>
            <w:tcW w:w="2268" w:type="dxa"/>
            <w:vAlign w:val="center"/>
          </w:tcPr>
          <w:p w14:paraId="5B614DDB" w14:textId="66CC3DAC" w:rsidR="00153F72" w:rsidRDefault="00DD22F3" w:rsidP="00606830">
            <w:pPr>
              <w:pStyle w:val="TableBody"/>
              <w:jc w:val="center"/>
            </w:pPr>
            <w:r>
              <w:rPr>
                <w:rFonts w:ascii="Wingdings" w:eastAsia="Wingdings" w:hAnsi="Wingdings" w:cs="Wingdings"/>
              </w:rPr>
              <w:t>û</w:t>
            </w:r>
          </w:p>
        </w:tc>
      </w:tr>
      <w:tr w:rsidR="00153F72" w14:paraId="6A268024"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4D7B6A63" w14:textId="0147AAFC" w:rsidR="00153F72" w:rsidRDefault="006E2CCC" w:rsidP="00606830">
            <w:pPr>
              <w:pStyle w:val="TableBody"/>
            </w:pPr>
            <w:r w:rsidRPr="00AF369C">
              <w:t>Northern Territory</w:t>
            </w:r>
          </w:p>
        </w:tc>
        <w:tc>
          <w:tcPr>
            <w:tcW w:w="2267" w:type="dxa"/>
            <w:vAlign w:val="center"/>
          </w:tcPr>
          <w:p w14:paraId="12AD2A3D" w14:textId="7BAEF446" w:rsidR="00153F72" w:rsidRDefault="005B577C" w:rsidP="00606830">
            <w:pPr>
              <w:pStyle w:val="TableBody"/>
              <w:jc w:val="center"/>
            </w:pPr>
            <w:r>
              <w:rPr>
                <w:rFonts w:ascii="Wingdings" w:eastAsia="Wingdings" w:hAnsi="Wingdings" w:cs="Wingdings"/>
              </w:rPr>
              <w:sym w:font="Wingdings" w:char="F0FC"/>
            </w:r>
          </w:p>
        </w:tc>
        <w:tc>
          <w:tcPr>
            <w:tcW w:w="2268" w:type="dxa"/>
          </w:tcPr>
          <w:p w14:paraId="183A2A93" w14:textId="6A28ADAD" w:rsidR="00153F72" w:rsidRDefault="005B577C" w:rsidP="00606830">
            <w:pPr>
              <w:pStyle w:val="TableBody"/>
              <w:jc w:val="center"/>
            </w:pPr>
            <w:r w:rsidRPr="009E170A">
              <w:rPr>
                <w:rFonts w:ascii="Wingdings" w:eastAsia="Wingdings" w:hAnsi="Wingdings" w:cs="Wingdings"/>
              </w:rPr>
              <w:sym w:font="Wingdings" w:char="F0FC"/>
            </w:r>
          </w:p>
        </w:tc>
        <w:tc>
          <w:tcPr>
            <w:tcW w:w="2268" w:type="dxa"/>
            <w:vAlign w:val="center"/>
          </w:tcPr>
          <w:p w14:paraId="0A7FF6AA" w14:textId="0CA601FD" w:rsidR="00153F72" w:rsidRDefault="005B577C" w:rsidP="00606830">
            <w:pPr>
              <w:pStyle w:val="TableBody"/>
              <w:jc w:val="center"/>
            </w:pPr>
            <w:r>
              <w:rPr>
                <w:rFonts w:ascii="Wingdings" w:eastAsia="Wingdings" w:hAnsi="Wingdings" w:cs="Wingdings"/>
              </w:rPr>
              <w:sym w:font="Wingdings" w:char="F0FC"/>
            </w:r>
          </w:p>
        </w:tc>
      </w:tr>
      <w:tr w:rsidR="00153F72" w14:paraId="74F43D65"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620EE19B" w14:textId="532F5DCC" w:rsidR="00153F72" w:rsidRDefault="006E2CCC" w:rsidP="00606830">
            <w:pPr>
              <w:pStyle w:val="TableBody"/>
            </w:pPr>
            <w:r w:rsidRPr="00AF369C">
              <w:t>Queensland</w:t>
            </w:r>
          </w:p>
        </w:tc>
        <w:tc>
          <w:tcPr>
            <w:tcW w:w="2267" w:type="dxa"/>
            <w:vAlign w:val="center"/>
          </w:tcPr>
          <w:p w14:paraId="6FF1F32A" w14:textId="4DAB11C4" w:rsidR="00153F72" w:rsidRDefault="00DD22F3" w:rsidP="00606830">
            <w:pPr>
              <w:pStyle w:val="TableBody"/>
              <w:jc w:val="center"/>
            </w:pPr>
            <w:r>
              <w:rPr>
                <w:rFonts w:ascii="Wingdings" w:eastAsia="Wingdings" w:hAnsi="Wingdings" w:cs="Wingdings"/>
              </w:rPr>
              <w:t>û</w:t>
            </w:r>
          </w:p>
        </w:tc>
        <w:tc>
          <w:tcPr>
            <w:tcW w:w="2268" w:type="dxa"/>
          </w:tcPr>
          <w:p w14:paraId="300A75C4" w14:textId="334EDACD" w:rsidR="00153F72" w:rsidRDefault="005B577C" w:rsidP="00606830">
            <w:pPr>
              <w:pStyle w:val="TableBody"/>
              <w:jc w:val="center"/>
            </w:pPr>
            <w:r w:rsidRPr="009E170A">
              <w:rPr>
                <w:rFonts w:ascii="Wingdings" w:eastAsia="Wingdings" w:hAnsi="Wingdings" w:cs="Wingdings"/>
              </w:rPr>
              <w:sym w:font="Wingdings" w:char="F0FC"/>
            </w:r>
          </w:p>
        </w:tc>
        <w:tc>
          <w:tcPr>
            <w:tcW w:w="2268" w:type="dxa"/>
            <w:vAlign w:val="center"/>
          </w:tcPr>
          <w:p w14:paraId="1C549C13" w14:textId="6B78AF9F" w:rsidR="00153F72" w:rsidRDefault="005B577C" w:rsidP="00606830">
            <w:pPr>
              <w:pStyle w:val="TableBody"/>
              <w:jc w:val="center"/>
            </w:pPr>
            <w:r>
              <w:rPr>
                <w:rFonts w:ascii="Wingdings" w:eastAsia="Wingdings" w:hAnsi="Wingdings" w:cs="Wingdings"/>
              </w:rPr>
              <w:sym w:font="Wingdings" w:char="F0FC"/>
            </w:r>
          </w:p>
        </w:tc>
      </w:tr>
      <w:tr w:rsidR="00153F72" w14:paraId="65D935BD"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58E44A3E" w14:textId="2E9D536D" w:rsidR="00153F72" w:rsidRDefault="006E2CCC" w:rsidP="00606830">
            <w:pPr>
              <w:pStyle w:val="TableBody"/>
            </w:pPr>
            <w:r w:rsidRPr="00AF369C">
              <w:t xml:space="preserve">South Australia </w:t>
            </w:r>
          </w:p>
        </w:tc>
        <w:tc>
          <w:tcPr>
            <w:tcW w:w="2267" w:type="dxa"/>
            <w:vAlign w:val="center"/>
          </w:tcPr>
          <w:p w14:paraId="490124C8" w14:textId="3710B8AC" w:rsidR="00153F72" w:rsidRDefault="005B577C" w:rsidP="00606830">
            <w:pPr>
              <w:pStyle w:val="TableBody"/>
              <w:jc w:val="center"/>
            </w:pPr>
            <w:r>
              <w:rPr>
                <w:rFonts w:ascii="Wingdings" w:eastAsia="Wingdings" w:hAnsi="Wingdings" w:cs="Wingdings"/>
              </w:rPr>
              <w:sym w:font="Wingdings" w:char="F0FC"/>
            </w:r>
          </w:p>
        </w:tc>
        <w:tc>
          <w:tcPr>
            <w:tcW w:w="2268" w:type="dxa"/>
          </w:tcPr>
          <w:p w14:paraId="4BECFAF3" w14:textId="1748E4AD" w:rsidR="00153F72" w:rsidRDefault="005B577C" w:rsidP="00606830">
            <w:pPr>
              <w:pStyle w:val="TableBody"/>
              <w:jc w:val="center"/>
            </w:pPr>
            <w:r w:rsidRPr="009E170A">
              <w:rPr>
                <w:rFonts w:ascii="Wingdings" w:eastAsia="Wingdings" w:hAnsi="Wingdings" w:cs="Wingdings"/>
              </w:rPr>
              <w:sym w:font="Wingdings" w:char="F0FC"/>
            </w:r>
          </w:p>
        </w:tc>
        <w:tc>
          <w:tcPr>
            <w:tcW w:w="2268" w:type="dxa"/>
            <w:vAlign w:val="center"/>
          </w:tcPr>
          <w:p w14:paraId="5D642480" w14:textId="2D929CA5" w:rsidR="00153F72" w:rsidRDefault="005B577C" w:rsidP="00606830">
            <w:pPr>
              <w:pStyle w:val="TableBody"/>
              <w:jc w:val="center"/>
            </w:pPr>
            <w:r>
              <w:rPr>
                <w:rFonts w:ascii="Wingdings" w:eastAsia="Wingdings" w:hAnsi="Wingdings" w:cs="Wingdings"/>
              </w:rPr>
              <w:sym w:font="Wingdings" w:char="F0FC"/>
            </w:r>
          </w:p>
        </w:tc>
      </w:tr>
      <w:tr w:rsidR="00153F72" w14:paraId="51BA8EB3"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58EF7B6F" w14:textId="14DFC9CD" w:rsidR="00153F72" w:rsidRDefault="006E2CCC" w:rsidP="00606830">
            <w:pPr>
              <w:pStyle w:val="TableBody"/>
            </w:pPr>
            <w:r w:rsidRPr="00AF369C">
              <w:t>Tasmania</w:t>
            </w:r>
          </w:p>
        </w:tc>
        <w:tc>
          <w:tcPr>
            <w:tcW w:w="2267" w:type="dxa"/>
            <w:vAlign w:val="center"/>
          </w:tcPr>
          <w:p w14:paraId="765F411D" w14:textId="62239A56" w:rsidR="00153F72" w:rsidRDefault="005B577C" w:rsidP="00606830">
            <w:pPr>
              <w:pStyle w:val="TableBody"/>
              <w:jc w:val="center"/>
            </w:pPr>
            <w:r>
              <w:rPr>
                <w:rFonts w:ascii="Wingdings" w:eastAsia="Wingdings" w:hAnsi="Wingdings" w:cs="Wingdings"/>
              </w:rPr>
              <w:sym w:font="Wingdings" w:char="F0FC"/>
            </w:r>
          </w:p>
        </w:tc>
        <w:tc>
          <w:tcPr>
            <w:tcW w:w="2268" w:type="dxa"/>
          </w:tcPr>
          <w:p w14:paraId="3F51F60A" w14:textId="6BE5BDFD" w:rsidR="00153F72" w:rsidRDefault="005B577C" w:rsidP="00606830">
            <w:pPr>
              <w:pStyle w:val="TableBody"/>
              <w:jc w:val="center"/>
            </w:pPr>
            <w:r w:rsidRPr="009E170A">
              <w:rPr>
                <w:rFonts w:ascii="Wingdings" w:eastAsia="Wingdings" w:hAnsi="Wingdings" w:cs="Wingdings"/>
              </w:rPr>
              <w:sym w:font="Wingdings" w:char="F0FC"/>
            </w:r>
          </w:p>
        </w:tc>
        <w:tc>
          <w:tcPr>
            <w:tcW w:w="2268" w:type="dxa"/>
            <w:vAlign w:val="center"/>
          </w:tcPr>
          <w:p w14:paraId="4658A4E4" w14:textId="307E021C" w:rsidR="00153F72" w:rsidRDefault="005B577C" w:rsidP="00606830">
            <w:pPr>
              <w:pStyle w:val="TableBody"/>
              <w:jc w:val="center"/>
            </w:pPr>
            <w:r>
              <w:rPr>
                <w:rFonts w:ascii="Wingdings" w:eastAsia="Wingdings" w:hAnsi="Wingdings" w:cs="Wingdings"/>
              </w:rPr>
              <w:sym w:font="Wingdings" w:char="F0FC"/>
            </w:r>
          </w:p>
        </w:tc>
      </w:tr>
      <w:tr w:rsidR="00153F72" w14:paraId="21521CC2"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7D015AFD" w14:textId="6B493107" w:rsidR="00153F72" w:rsidRDefault="006E2CCC" w:rsidP="00606830">
            <w:pPr>
              <w:pStyle w:val="TableBody"/>
            </w:pPr>
            <w:r w:rsidRPr="00AF369C">
              <w:t>Victoria</w:t>
            </w:r>
          </w:p>
        </w:tc>
        <w:tc>
          <w:tcPr>
            <w:tcW w:w="2267" w:type="dxa"/>
            <w:vAlign w:val="center"/>
          </w:tcPr>
          <w:p w14:paraId="380CA6AE" w14:textId="5805EAD9" w:rsidR="00153F72" w:rsidRDefault="00DD22F3" w:rsidP="00606830">
            <w:pPr>
              <w:pStyle w:val="TableBody"/>
              <w:jc w:val="center"/>
            </w:pPr>
            <w:r>
              <w:rPr>
                <w:rFonts w:ascii="Wingdings" w:eastAsia="Wingdings" w:hAnsi="Wingdings" w:cs="Wingdings"/>
              </w:rPr>
              <w:t>û</w:t>
            </w:r>
          </w:p>
        </w:tc>
        <w:tc>
          <w:tcPr>
            <w:tcW w:w="2268" w:type="dxa"/>
          </w:tcPr>
          <w:p w14:paraId="586323F9" w14:textId="61A6D7BF" w:rsidR="00153F72" w:rsidRDefault="005B577C" w:rsidP="00606830">
            <w:pPr>
              <w:pStyle w:val="TableBody"/>
              <w:jc w:val="center"/>
            </w:pPr>
            <w:r w:rsidRPr="009E170A">
              <w:rPr>
                <w:rFonts w:ascii="Wingdings" w:eastAsia="Wingdings" w:hAnsi="Wingdings" w:cs="Wingdings"/>
              </w:rPr>
              <w:sym w:font="Wingdings" w:char="F0FC"/>
            </w:r>
          </w:p>
        </w:tc>
        <w:tc>
          <w:tcPr>
            <w:tcW w:w="2268" w:type="dxa"/>
            <w:vAlign w:val="center"/>
          </w:tcPr>
          <w:p w14:paraId="6E67DB39" w14:textId="2A61EC94" w:rsidR="00153F72" w:rsidRDefault="00DD22F3" w:rsidP="00606830">
            <w:pPr>
              <w:pStyle w:val="TableBody"/>
              <w:jc w:val="center"/>
            </w:pPr>
            <w:r>
              <w:rPr>
                <w:rFonts w:ascii="Wingdings" w:eastAsia="Wingdings" w:hAnsi="Wingdings" w:cs="Wingdings"/>
              </w:rPr>
              <w:t>û</w:t>
            </w:r>
          </w:p>
        </w:tc>
      </w:tr>
      <w:tr w:rsidR="006E2CCC" w14:paraId="59BFC8DB"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15CBA725" w14:textId="16DF8C6E" w:rsidR="006E2CCC" w:rsidRDefault="006E2CCC" w:rsidP="00BC37A7">
            <w:pPr>
              <w:pStyle w:val="TableBody"/>
            </w:pPr>
            <w:r w:rsidRPr="00AF369C">
              <w:t>Western Australia</w:t>
            </w:r>
          </w:p>
        </w:tc>
        <w:tc>
          <w:tcPr>
            <w:tcW w:w="2267" w:type="dxa"/>
            <w:vAlign w:val="center"/>
          </w:tcPr>
          <w:p w14:paraId="40D7F12F" w14:textId="34D18772" w:rsidR="006E2CCC" w:rsidRDefault="00DD22F3" w:rsidP="00BC37A7">
            <w:pPr>
              <w:pStyle w:val="TableBody"/>
              <w:jc w:val="center"/>
            </w:pPr>
            <w:r>
              <w:rPr>
                <w:rFonts w:ascii="Wingdings" w:eastAsia="Wingdings" w:hAnsi="Wingdings" w:cs="Wingdings"/>
              </w:rPr>
              <w:t>û</w:t>
            </w:r>
          </w:p>
        </w:tc>
        <w:tc>
          <w:tcPr>
            <w:tcW w:w="2268" w:type="dxa"/>
          </w:tcPr>
          <w:p w14:paraId="374C8180" w14:textId="65F282EB" w:rsidR="006E2CCC" w:rsidRDefault="005B577C" w:rsidP="00BC37A7">
            <w:pPr>
              <w:pStyle w:val="TableBody"/>
              <w:jc w:val="center"/>
            </w:pPr>
            <w:r w:rsidRPr="009E170A">
              <w:rPr>
                <w:rFonts w:ascii="Wingdings" w:eastAsia="Wingdings" w:hAnsi="Wingdings" w:cs="Wingdings"/>
              </w:rPr>
              <w:sym w:font="Wingdings" w:char="F0FC"/>
            </w:r>
          </w:p>
        </w:tc>
        <w:tc>
          <w:tcPr>
            <w:tcW w:w="2268" w:type="dxa"/>
            <w:vAlign w:val="center"/>
          </w:tcPr>
          <w:p w14:paraId="0D10D4C9" w14:textId="593839A2" w:rsidR="006E2CCC" w:rsidRDefault="00DD22F3" w:rsidP="00BC37A7">
            <w:pPr>
              <w:pStyle w:val="TableBody"/>
              <w:jc w:val="center"/>
            </w:pPr>
            <w:r>
              <w:rPr>
                <w:rFonts w:ascii="Wingdings" w:eastAsia="Wingdings" w:hAnsi="Wingdings" w:cs="Wingdings"/>
              </w:rPr>
              <w:t>û</w:t>
            </w:r>
          </w:p>
        </w:tc>
      </w:tr>
    </w:tbl>
    <w:p w14:paraId="0B55B7E0" w14:textId="3A29F20B" w:rsidR="00153F72" w:rsidRPr="007430F6" w:rsidRDefault="004509F5" w:rsidP="00BC37A7">
      <w:pPr>
        <w:pStyle w:val="Heading3"/>
      </w:pPr>
      <w:bookmarkStart w:id="222" w:name="_Toc174692688"/>
      <w:bookmarkStart w:id="223" w:name="_Toc167780325"/>
      <w:bookmarkStart w:id="224" w:name="_Toc173691409"/>
      <w:r>
        <w:t>Fare structures and levels vary between jurisdictions</w:t>
      </w:r>
      <w:bookmarkEnd w:id="222"/>
      <w:r w:rsidR="004E770A" w:rsidRPr="004E770A">
        <w:t xml:space="preserve"> </w:t>
      </w:r>
      <w:bookmarkEnd w:id="223"/>
      <w:bookmarkEnd w:id="224"/>
    </w:p>
    <w:p w14:paraId="672F9938" w14:textId="5C990FF5" w:rsidR="005D2445" w:rsidRDefault="005D2445" w:rsidP="005D2445">
      <w:r>
        <w:t>The structure and level of fares var</w:t>
      </w:r>
      <w:r w:rsidR="009A3478">
        <w:t>y</w:t>
      </w:r>
      <w:r>
        <w:t xml:space="preserve">. Tables </w:t>
      </w:r>
      <w:r w:rsidR="008764D4">
        <w:t>C</w:t>
      </w:r>
      <w:r>
        <w:t xml:space="preserve">.2 and </w:t>
      </w:r>
      <w:r w:rsidR="008764D4">
        <w:t>C</w:t>
      </w:r>
      <w:r>
        <w:t>.3 compare maximum fares in Australian jurisdictions for day period</w:t>
      </w:r>
      <w:r w:rsidR="00EC771A">
        <w:t>s</w:t>
      </w:r>
      <w:r>
        <w:t xml:space="preserve"> and peak period</w:t>
      </w:r>
      <w:r w:rsidR="00EC771A">
        <w:t>s</w:t>
      </w:r>
      <w:r>
        <w:t xml:space="preserve"> respectively.</w:t>
      </w:r>
      <w:r w:rsidR="003E412B">
        <w:t xml:space="preserve"> These tables reflect fares as at July 2024 and do not incorporate the 5.5 per cent increase in Victorian maximum fares outlined in this final decision</w:t>
      </w:r>
      <w:r w:rsidR="00FB5DD1">
        <w:t xml:space="preserve"> (shown in Appendix A)</w:t>
      </w:r>
      <w:r w:rsidR="003E412B">
        <w:t>.</w:t>
      </w:r>
    </w:p>
    <w:p w14:paraId="73051668" w14:textId="13AD314D" w:rsidR="003E412B" w:rsidRDefault="003E412B" w:rsidP="005D2445">
      <w:r>
        <w:lastRenderedPageBreak/>
        <w:t xml:space="preserve">We note </w:t>
      </w:r>
      <w:r w:rsidR="00252A47">
        <w:t>that maximum fares in Northern Territory, Queensland and Western Australia increased by between 3.9 per cent and 5.9 per cent in July 2024, which is comparable to our final decision.</w:t>
      </w:r>
    </w:p>
    <w:p w14:paraId="1290A3B1" w14:textId="73110E52" w:rsidR="00FD4F42" w:rsidRDefault="005D2445" w:rsidP="00707AED">
      <w:pPr>
        <w:pStyle w:val="Figure-Table-BoxHeading"/>
        <w:keepNext/>
        <w:keepLines/>
      </w:pPr>
      <w:r w:rsidRPr="76FEA507">
        <w:rPr>
          <w:lang w:val="en-AU"/>
        </w:rPr>
        <w:t xml:space="preserve">Table </w:t>
      </w:r>
      <w:r w:rsidR="008764D4" w:rsidRPr="76FEA507">
        <w:rPr>
          <w:lang w:val="en-AU"/>
        </w:rPr>
        <w:t>C</w:t>
      </w:r>
      <w:r w:rsidRPr="76FEA507">
        <w:rPr>
          <w:lang w:val="en-AU"/>
        </w:rPr>
        <w:t>.2</w:t>
      </w:r>
      <w:r>
        <w:tab/>
      </w:r>
      <w:r w:rsidRPr="76FEA507">
        <w:rPr>
          <w:lang w:val="en-AU"/>
        </w:rPr>
        <w:t xml:space="preserve">Day period </w:t>
      </w:r>
      <w:r w:rsidR="00593992" w:rsidRPr="76FEA507">
        <w:rPr>
          <w:lang w:val="en-AU"/>
        </w:rPr>
        <w:t xml:space="preserve">maximum </w:t>
      </w:r>
      <w:r w:rsidRPr="76FEA507">
        <w:rPr>
          <w:lang w:val="en-AU"/>
        </w:rPr>
        <w:t xml:space="preserve">fares in urban areas, as </w:t>
      </w:r>
      <w:r w:rsidR="00C72D0A" w:rsidRPr="76FEA507">
        <w:rPr>
          <w:lang w:val="en-AU"/>
        </w:rPr>
        <w:t>at</w:t>
      </w:r>
      <w:r w:rsidR="00433B6A" w:rsidRPr="76FEA507">
        <w:rPr>
          <w:lang w:val="en-AU"/>
        </w:rPr>
        <w:t xml:space="preserve"> </w:t>
      </w:r>
      <w:r w:rsidR="00A85EFC" w:rsidRPr="76FEA507">
        <w:rPr>
          <w:lang w:val="en-AU"/>
        </w:rPr>
        <w:t>July</w:t>
      </w:r>
      <w:r w:rsidRPr="76FEA507">
        <w:rPr>
          <w:lang w:val="en-AU"/>
        </w:rPr>
        <w:t xml:space="preserve"> 2024</w:t>
      </w:r>
    </w:p>
    <w:tbl>
      <w:tblPr>
        <w:tblStyle w:val="TableGrid"/>
        <w:tblW w:w="0" w:type="auto"/>
        <w:tblLook w:val="04A0" w:firstRow="1" w:lastRow="0" w:firstColumn="1" w:lastColumn="0" w:noHBand="0" w:noVBand="1"/>
      </w:tblPr>
      <w:tblGrid>
        <w:gridCol w:w="2835"/>
        <w:gridCol w:w="2267"/>
        <w:gridCol w:w="2268"/>
        <w:gridCol w:w="2268"/>
      </w:tblGrid>
      <w:tr w:rsidR="00DF75D9" w14:paraId="1457F6F5" w14:textId="77777777" w:rsidTr="0F3B4C48">
        <w:trPr>
          <w:cnfStyle w:val="100000000000" w:firstRow="1" w:lastRow="0" w:firstColumn="0" w:lastColumn="0" w:oddVBand="0" w:evenVBand="0" w:oddHBand="0" w:evenHBand="0" w:firstRowFirstColumn="0" w:firstRowLastColumn="0" w:lastRowFirstColumn="0" w:lastRowLastColumn="0"/>
        </w:trPr>
        <w:tc>
          <w:tcPr>
            <w:tcW w:w="2835" w:type="dxa"/>
          </w:tcPr>
          <w:p w14:paraId="005DC369" w14:textId="77777777" w:rsidR="00DF75D9" w:rsidRDefault="00DF75D9">
            <w:pPr>
              <w:pStyle w:val="TableHeading"/>
            </w:pPr>
            <w:r w:rsidRPr="0F3B4C48">
              <w:rPr>
                <w:lang w:val="en-AU"/>
              </w:rPr>
              <w:t xml:space="preserve">Jurisdiction </w:t>
            </w:r>
          </w:p>
        </w:tc>
        <w:tc>
          <w:tcPr>
            <w:tcW w:w="2267" w:type="dxa"/>
            <w:vAlign w:val="center"/>
          </w:tcPr>
          <w:p w14:paraId="281E3311" w14:textId="0D37C6BB" w:rsidR="00DF75D9" w:rsidRDefault="00696F9E" w:rsidP="00707AED">
            <w:pPr>
              <w:pStyle w:val="TableHeading"/>
              <w:ind w:right="113"/>
              <w:jc w:val="right"/>
            </w:pPr>
            <w:r w:rsidRPr="0F3B4C48">
              <w:rPr>
                <w:lang w:val="en-AU"/>
              </w:rPr>
              <w:t>Flagfall</w:t>
            </w:r>
          </w:p>
        </w:tc>
        <w:tc>
          <w:tcPr>
            <w:tcW w:w="2268" w:type="dxa"/>
            <w:vAlign w:val="center"/>
          </w:tcPr>
          <w:p w14:paraId="2999D531" w14:textId="7CA5A0F1" w:rsidR="00DF75D9" w:rsidRDefault="00696F9E" w:rsidP="00707AED">
            <w:pPr>
              <w:pStyle w:val="TableHeading"/>
              <w:ind w:right="113"/>
              <w:jc w:val="right"/>
            </w:pPr>
            <w:r>
              <w:t>Distance rate</w:t>
            </w:r>
          </w:p>
        </w:tc>
        <w:tc>
          <w:tcPr>
            <w:tcW w:w="2268" w:type="dxa"/>
            <w:vAlign w:val="center"/>
          </w:tcPr>
          <w:p w14:paraId="0D947BA4" w14:textId="11D2B7C2" w:rsidR="00DF75D9" w:rsidRDefault="00696F9E" w:rsidP="00707AED">
            <w:pPr>
              <w:pStyle w:val="TableHeading"/>
              <w:ind w:right="113"/>
              <w:jc w:val="right"/>
            </w:pPr>
            <w:r>
              <w:t>Waiting rate</w:t>
            </w:r>
          </w:p>
        </w:tc>
      </w:tr>
      <w:tr w:rsidR="00DF75D9" w14:paraId="7BCC2AD7"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0DA9C736" w14:textId="5C23A837" w:rsidR="00DF75D9" w:rsidRDefault="00DF75D9">
            <w:pPr>
              <w:pStyle w:val="TableBody"/>
            </w:pPr>
            <w:r w:rsidRPr="0F3B4C48">
              <w:rPr>
                <w:lang w:val="en-AU"/>
              </w:rPr>
              <w:t xml:space="preserve">Australian Capital </w:t>
            </w:r>
            <w:r w:rsidR="006C4876" w:rsidRPr="0F3B4C48">
              <w:rPr>
                <w:lang w:val="en-AU"/>
              </w:rPr>
              <w:t>Territory</w:t>
            </w:r>
            <w:r w:rsidR="0004449D" w:rsidRPr="0F3B4C48">
              <w:rPr>
                <w:b/>
                <w:bCs/>
                <w:vertAlign w:val="superscript"/>
                <w:lang w:val="en-AU"/>
              </w:rPr>
              <w:t>a</w:t>
            </w:r>
            <w:r w:rsidR="006C4876" w:rsidRPr="0F3B4C48">
              <w:rPr>
                <w:lang w:val="en-AU"/>
              </w:rPr>
              <w:t xml:space="preserve"> </w:t>
            </w:r>
          </w:p>
        </w:tc>
        <w:tc>
          <w:tcPr>
            <w:tcW w:w="2267" w:type="dxa"/>
            <w:vAlign w:val="center"/>
          </w:tcPr>
          <w:p w14:paraId="454C0A8E" w14:textId="0727F704" w:rsidR="00DF75D9" w:rsidRDefault="006C4876" w:rsidP="00707AED">
            <w:pPr>
              <w:pStyle w:val="TableBody"/>
              <w:ind w:right="113"/>
              <w:jc w:val="right"/>
            </w:pPr>
            <w:r w:rsidRPr="00EE694D">
              <w:t>$5.85</w:t>
            </w:r>
          </w:p>
        </w:tc>
        <w:tc>
          <w:tcPr>
            <w:tcW w:w="2268" w:type="dxa"/>
            <w:vAlign w:val="center"/>
          </w:tcPr>
          <w:p w14:paraId="113DBC4F" w14:textId="4FDB34B6" w:rsidR="00DF75D9" w:rsidRDefault="006C4876" w:rsidP="00707AED">
            <w:pPr>
              <w:pStyle w:val="TableBody"/>
              <w:ind w:right="113"/>
              <w:jc w:val="right"/>
            </w:pPr>
            <w:r w:rsidRPr="00EE694D">
              <w:t>$2.45</w:t>
            </w:r>
          </w:p>
        </w:tc>
        <w:tc>
          <w:tcPr>
            <w:tcW w:w="2268" w:type="dxa"/>
            <w:vAlign w:val="center"/>
          </w:tcPr>
          <w:p w14:paraId="086DEA8F" w14:textId="6BF1C6A1" w:rsidR="00DF75D9" w:rsidRDefault="006C4876" w:rsidP="00707AED">
            <w:pPr>
              <w:pStyle w:val="TableBody"/>
              <w:ind w:right="113"/>
              <w:jc w:val="right"/>
            </w:pPr>
            <w:r w:rsidRPr="00EE694D">
              <w:t>101.2</w:t>
            </w:r>
            <w:r w:rsidR="00BB3954">
              <w:t xml:space="preserve"> </w:t>
            </w:r>
            <w:r w:rsidRPr="00EE694D">
              <w:t>c/minute</w:t>
            </w:r>
          </w:p>
        </w:tc>
      </w:tr>
      <w:tr w:rsidR="00DF75D9" w14:paraId="274AFCDB"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62947177" w14:textId="6ACE73DE" w:rsidR="00DF75D9" w:rsidRDefault="00DF75D9">
            <w:pPr>
              <w:pStyle w:val="TableBody"/>
            </w:pPr>
            <w:r w:rsidRPr="0F3B4C48">
              <w:rPr>
                <w:lang w:val="en-AU"/>
              </w:rPr>
              <w:t xml:space="preserve">New South </w:t>
            </w:r>
            <w:r w:rsidR="006C4876" w:rsidRPr="0F3B4C48">
              <w:rPr>
                <w:lang w:val="en-AU"/>
              </w:rPr>
              <w:t>Wales</w:t>
            </w:r>
            <w:r w:rsidR="0004449D" w:rsidRPr="0F3B4C48">
              <w:rPr>
                <w:b/>
                <w:bCs/>
                <w:vertAlign w:val="superscript"/>
                <w:lang w:val="en-AU"/>
              </w:rPr>
              <w:t>b</w:t>
            </w:r>
            <w:r w:rsidR="006C4876" w:rsidRPr="0F3B4C48">
              <w:rPr>
                <w:lang w:val="en-AU"/>
              </w:rPr>
              <w:t xml:space="preserve"> </w:t>
            </w:r>
          </w:p>
        </w:tc>
        <w:tc>
          <w:tcPr>
            <w:tcW w:w="2267" w:type="dxa"/>
            <w:vAlign w:val="center"/>
          </w:tcPr>
          <w:p w14:paraId="73D1C9B4" w14:textId="0FE15902" w:rsidR="00DF75D9" w:rsidRDefault="006C4876" w:rsidP="00707AED">
            <w:pPr>
              <w:pStyle w:val="TableBody"/>
              <w:ind w:right="113"/>
              <w:jc w:val="right"/>
            </w:pPr>
            <w:r w:rsidRPr="00EE694D">
              <w:t>$3.60</w:t>
            </w:r>
          </w:p>
        </w:tc>
        <w:tc>
          <w:tcPr>
            <w:tcW w:w="2268" w:type="dxa"/>
            <w:vAlign w:val="center"/>
          </w:tcPr>
          <w:p w14:paraId="5233F8AC" w14:textId="19B6A5F9" w:rsidR="00DF75D9" w:rsidRDefault="006C4876" w:rsidP="00707AED">
            <w:pPr>
              <w:pStyle w:val="TableBody"/>
              <w:ind w:right="113"/>
              <w:jc w:val="right"/>
            </w:pPr>
            <w:r w:rsidRPr="00EE694D">
              <w:t>$2.29</w:t>
            </w:r>
          </w:p>
        </w:tc>
        <w:tc>
          <w:tcPr>
            <w:tcW w:w="2268" w:type="dxa"/>
            <w:vAlign w:val="center"/>
          </w:tcPr>
          <w:p w14:paraId="2ED7C91C" w14:textId="15E0E7A8" w:rsidR="00DF75D9" w:rsidRDefault="006C4876" w:rsidP="00707AED">
            <w:pPr>
              <w:pStyle w:val="TableBody"/>
              <w:ind w:right="113"/>
              <w:jc w:val="right"/>
            </w:pPr>
            <w:r w:rsidRPr="00EE694D">
              <w:t>94.4</w:t>
            </w:r>
            <w:r w:rsidR="00BB3954">
              <w:t xml:space="preserve"> </w:t>
            </w:r>
            <w:r w:rsidRPr="00EE694D">
              <w:t>c/minute</w:t>
            </w:r>
          </w:p>
        </w:tc>
      </w:tr>
      <w:tr w:rsidR="00DF75D9" w14:paraId="21611353"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02D3348E" w14:textId="76ACD207" w:rsidR="00DF75D9" w:rsidRDefault="00DF75D9">
            <w:pPr>
              <w:pStyle w:val="TableBody"/>
            </w:pPr>
            <w:r w:rsidRPr="0F3B4C48">
              <w:rPr>
                <w:lang w:val="en-AU"/>
              </w:rPr>
              <w:t xml:space="preserve">Northern </w:t>
            </w:r>
            <w:r w:rsidR="006C4876" w:rsidRPr="0F3B4C48">
              <w:rPr>
                <w:lang w:val="en-AU"/>
              </w:rPr>
              <w:t>Territory</w:t>
            </w:r>
            <w:r w:rsidR="0004449D" w:rsidRPr="0F3B4C48">
              <w:rPr>
                <w:b/>
                <w:bCs/>
                <w:vertAlign w:val="superscript"/>
                <w:lang w:val="en-AU"/>
              </w:rPr>
              <w:t>c</w:t>
            </w:r>
            <w:r w:rsidR="006C4876" w:rsidRPr="0F3B4C48">
              <w:rPr>
                <w:lang w:val="en-AU"/>
              </w:rPr>
              <w:t xml:space="preserve"> </w:t>
            </w:r>
          </w:p>
        </w:tc>
        <w:tc>
          <w:tcPr>
            <w:tcW w:w="2267" w:type="dxa"/>
            <w:vAlign w:val="center"/>
          </w:tcPr>
          <w:p w14:paraId="7B93DAA3" w14:textId="04EA2E8B" w:rsidR="00DF75D9" w:rsidRDefault="006C4876" w:rsidP="00707AED">
            <w:pPr>
              <w:pStyle w:val="TableBody"/>
              <w:ind w:right="113"/>
              <w:jc w:val="right"/>
            </w:pPr>
            <w:r w:rsidRPr="00EE694D">
              <w:t>$5.70</w:t>
            </w:r>
          </w:p>
        </w:tc>
        <w:tc>
          <w:tcPr>
            <w:tcW w:w="2268" w:type="dxa"/>
            <w:vAlign w:val="center"/>
          </w:tcPr>
          <w:p w14:paraId="7237A21D" w14:textId="509D6B4D" w:rsidR="00DF75D9" w:rsidRDefault="006C4876" w:rsidP="00707AED">
            <w:pPr>
              <w:pStyle w:val="TableBody"/>
              <w:ind w:right="113"/>
              <w:jc w:val="right"/>
            </w:pPr>
            <w:r w:rsidRPr="00EE694D">
              <w:t>$1.</w:t>
            </w:r>
            <w:r w:rsidR="006C5E55">
              <w:t>86</w:t>
            </w:r>
          </w:p>
        </w:tc>
        <w:tc>
          <w:tcPr>
            <w:tcW w:w="2268" w:type="dxa"/>
            <w:vAlign w:val="center"/>
          </w:tcPr>
          <w:p w14:paraId="5B532FE4" w14:textId="1E526AFF" w:rsidR="00DF75D9" w:rsidRDefault="006C4876" w:rsidP="00707AED">
            <w:pPr>
              <w:pStyle w:val="TableBody"/>
              <w:ind w:right="113"/>
              <w:jc w:val="right"/>
            </w:pPr>
            <w:r w:rsidRPr="00EE694D">
              <w:t>1</w:t>
            </w:r>
            <w:r w:rsidR="00770D28">
              <w:t>11</w:t>
            </w:r>
            <w:r w:rsidRPr="00EE694D">
              <w:t>.1</w:t>
            </w:r>
            <w:r w:rsidR="00BB3954">
              <w:t xml:space="preserve"> </w:t>
            </w:r>
            <w:r w:rsidRPr="00EE694D">
              <w:t>c/minute</w:t>
            </w:r>
          </w:p>
        </w:tc>
      </w:tr>
      <w:tr w:rsidR="00DF75D9" w14:paraId="2BAF49BE"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242F144C" w14:textId="433EA48A" w:rsidR="00DF75D9" w:rsidRDefault="006C4876">
            <w:pPr>
              <w:pStyle w:val="TableBody"/>
            </w:pPr>
            <w:r w:rsidRPr="0F3B4C48">
              <w:rPr>
                <w:lang w:val="en-AU"/>
              </w:rPr>
              <w:t>Queensland</w:t>
            </w:r>
            <w:r w:rsidR="0004449D" w:rsidRPr="0F3B4C48">
              <w:rPr>
                <w:b/>
                <w:bCs/>
                <w:vertAlign w:val="superscript"/>
                <w:lang w:val="en-AU"/>
              </w:rPr>
              <w:t>d</w:t>
            </w:r>
            <w:r w:rsidRPr="0F3B4C48">
              <w:rPr>
                <w:lang w:val="en-AU"/>
              </w:rPr>
              <w:t xml:space="preserve"> </w:t>
            </w:r>
          </w:p>
        </w:tc>
        <w:tc>
          <w:tcPr>
            <w:tcW w:w="2267" w:type="dxa"/>
            <w:vAlign w:val="center"/>
          </w:tcPr>
          <w:p w14:paraId="3D2A637A" w14:textId="30188C42" w:rsidR="00DF75D9" w:rsidRDefault="006C4876" w:rsidP="00707AED">
            <w:pPr>
              <w:pStyle w:val="TableBody"/>
              <w:ind w:right="113"/>
              <w:jc w:val="right"/>
            </w:pPr>
            <w:r w:rsidRPr="00EE694D">
              <w:t>$3.</w:t>
            </w:r>
            <w:r w:rsidR="00E56168">
              <w:t>6</w:t>
            </w:r>
            <w:r w:rsidRPr="00EE694D">
              <w:t>0</w:t>
            </w:r>
          </w:p>
        </w:tc>
        <w:tc>
          <w:tcPr>
            <w:tcW w:w="2268" w:type="dxa"/>
            <w:vAlign w:val="center"/>
          </w:tcPr>
          <w:p w14:paraId="1E371E2F" w14:textId="584F2B3D" w:rsidR="00DF75D9" w:rsidRDefault="006C4876" w:rsidP="00707AED">
            <w:pPr>
              <w:pStyle w:val="TableBody"/>
              <w:ind w:right="113"/>
              <w:jc w:val="right"/>
            </w:pPr>
            <w:r w:rsidRPr="00EE694D">
              <w:t>$2.</w:t>
            </w:r>
            <w:r w:rsidR="00A70CAC">
              <w:t>62</w:t>
            </w:r>
          </w:p>
        </w:tc>
        <w:tc>
          <w:tcPr>
            <w:tcW w:w="2268" w:type="dxa"/>
            <w:vAlign w:val="center"/>
          </w:tcPr>
          <w:p w14:paraId="438DA2E7" w14:textId="69B81D0C" w:rsidR="00DF75D9" w:rsidRDefault="006C4876" w:rsidP="00707AED">
            <w:pPr>
              <w:pStyle w:val="TableBody"/>
              <w:ind w:right="113"/>
              <w:jc w:val="right"/>
            </w:pPr>
            <w:r w:rsidRPr="00EE694D">
              <w:t>9</w:t>
            </w:r>
            <w:r w:rsidR="003E69B0">
              <w:t>8</w:t>
            </w:r>
            <w:r w:rsidRPr="00EE694D">
              <w:t>.0</w:t>
            </w:r>
            <w:r w:rsidR="00BB3954">
              <w:t xml:space="preserve"> </w:t>
            </w:r>
            <w:r w:rsidRPr="00EE694D">
              <w:t>c/minute</w:t>
            </w:r>
          </w:p>
        </w:tc>
      </w:tr>
      <w:tr w:rsidR="00DF75D9" w14:paraId="7C5FFA65"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7EACBEFC" w14:textId="77865518" w:rsidR="00DF75D9" w:rsidRDefault="00DF75D9">
            <w:pPr>
              <w:pStyle w:val="TableBody"/>
            </w:pPr>
            <w:r w:rsidRPr="0F3B4C48">
              <w:rPr>
                <w:lang w:val="en-AU"/>
              </w:rPr>
              <w:t xml:space="preserve">South </w:t>
            </w:r>
            <w:r w:rsidR="006C4876" w:rsidRPr="0F3B4C48">
              <w:rPr>
                <w:lang w:val="en-AU"/>
              </w:rPr>
              <w:t>Australia</w:t>
            </w:r>
            <w:r w:rsidR="0021028C" w:rsidRPr="0F3B4C48">
              <w:rPr>
                <w:b/>
                <w:bCs/>
                <w:vertAlign w:val="superscript"/>
                <w:lang w:val="en-AU"/>
              </w:rPr>
              <w:t>e</w:t>
            </w:r>
            <w:r w:rsidRPr="0F3B4C48">
              <w:rPr>
                <w:lang w:val="en-AU"/>
              </w:rPr>
              <w:t xml:space="preserve"> </w:t>
            </w:r>
            <w:r w:rsidR="006C4876" w:rsidRPr="0F3B4C48">
              <w:rPr>
                <w:lang w:val="en-AU"/>
              </w:rPr>
              <w:t xml:space="preserve"> </w:t>
            </w:r>
          </w:p>
        </w:tc>
        <w:tc>
          <w:tcPr>
            <w:tcW w:w="2267" w:type="dxa"/>
            <w:vAlign w:val="center"/>
          </w:tcPr>
          <w:p w14:paraId="4427B5E5" w14:textId="05B33D4C" w:rsidR="00DF75D9" w:rsidRDefault="006C4876" w:rsidP="00707AED">
            <w:pPr>
              <w:pStyle w:val="TableBody"/>
              <w:ind w:right="113"/>
              <w:jc w:val="right"/>
            </w:pPr>
            <w:r w:rsidRPr="00EE694D">
              <w:t>$3.90</w:t>
            </w:r>
          </w:p>
        </w:tc>
        <w:tc>
          <w:tcPr>
            <w:tcW w:w="2268" w:type="dxa"/>
            <w:vAlign w:val="center"/>
          </w:tcPr>
          <w:p w14:paraId="4279DED8" w14:textId="58574E25" w:rsidR="00DF75D9" w:rsidRDefault="006C4876" w:rsidP="00707AED">
            <w:pPr>
              <w:pStyle w:val="TableBody"/>
              <w:ind w:right="113"/>
              <w:jc w:val="right"/>
            </w:pPr>
            <w:r w:rsidRPr="00EE694D">
              <w:t>$2.11</w:t>
            </w:r>
          </w:p>
        </w:tc>
        <w:tc>
          <w:tcPr>
            <w:tcW w:w="2268" w:type="dxa"/>
            <w:vAlign w:val="center"/>
          </w:tcPr>
          <w:p w14:paraId="5866D757" w14:textId="26A9E6FB" w:rsidR="00DF75D9" w:rsidRDefault="006C4876" w:rsidP="00707AED">
            <w:pPr>
              <w:pStyle w:val="TableBody"/>
              <w:ind w:right="113"/>
              <w:jc w:val="right"/>
            </w:pPr>
            <w:r w:rsidRPr="00EE694D">
              <w:t>74.3</w:t>
            </w:r>
            <w:r w:rsidR="00BB3954">
              <w:t xml:space="preserve"> </w:t>
            </w:r>
            <w:r w:rsidRPr="00EE694D">
              <w:t>c/minute</w:t>
            </w:r>
          </w:p>
        </w:tc>
      </w:tr>
      <w:tr w:rsidR="00DF75D9" w14:paraId="1F001F99"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0915F413" w14:textId="5DA370C5" w:rsidR="00DF75D9" w:rsidRDefault="006C4876">
            <w:pPr>
              <w:pStyle w:val="TableBody"/>
            </w:pPr>
            <w:r w:rsidRPr="0F3B4C48">
              <w:rPr>
                <w:lang w:val="en-AU"/>
              </w:rPr>
              <w:t>Tasmania</w:t>
            </w:r>
            <w:r w:rsidR="0021028C" w:rsidRPr="0F3B4C48">
              <w:rPr>
                <w:b/>
                <w:bCs/>
                <w:vertAlign w:val="superscript"/>
                <w:lang w:val="en-AU"/>
              </w:rPr>
              <w:t>f</w:t>
            </w:r>
            <w:r w:rsidRPr="0F3B4C48">
              <w:rPr>
                <w:b/>
                <w:bCs/>
                <w:vertAlign w:val="superscript"/>
                <w:lang w:val="en-AU"/>
              </w:rPr>
              <w:t xml:space="preserve"> </w:t>
            </w:r>
          </w:p>
        </w:tc>
        <w:tc>
          <w:tcPr>
            <w:tcW w:w="2267" w:type="dxa"/>
            <w:vAlign w:val="center"/>
          </w:tcPr>
          <w:p w14:paraId="2A41284A" w14:textId="489447FC" w:rsidR="00DF75D9" w:rsidRDefault="006C4876" w:rsidP="00707AED">
            <w:pPr>
              <w:pStyle w:val="TableBody"/>
              <w:ind w:right="113"/>
              <w:jc w:val="right"/>
            </w:pPr>
            <w:r w:rsidRPr="00EE694D">
              <w:t>$3.90</w:t>
            </w:r>
          </w:p>
        </w:tc>
        <w:tc>
          <w:tcPr>
            <w:tcW w:w="2268" w:type="dxa"/>
            <w:vAlign w:val="center"/>
          </w:tcPr>
          <w:p w14:paraId="20B358E1" w14:textId="6B7B8877" w:rsidR="00DF75D9" w:rsidRDefault="006C4876" w:rsidP="00707AED">
            <w:pPr>
              <w:pStyle w:val="TableBody"/>
              <w:ind w:right="113"/>
              <w:jc w:val="right"/>
            </w:pPr>
            <w:r w:rsidRPr="00EE694D">
              <w:t>$2.12</w:t>
            </w:r>
          </w:p>
        </w:tc>
        <w:tc>
          <w:tcPr>
            <w:tcW w:w="2268" w:type="dxa"/>
            <w:vAlign w:val="center"/>
          </w:tcPr>
          <w:p w14:paraId="1B6579D8" w14:textId="0EF33A9E" w:rsidR="00DF75D9" w:rsidRDefault="006C4876" w:rsidP="00707AED">
            <w:pPr>
              <w:pStyle w:val="TableBody"/>
              <w:ind w:right="113"/>
              <w:jc w:val="right"/>
            </w:pPr>
            <w:r w:rsidRPr="00EE694D">
              <w:t>64.0</w:t>
            </w:r>
            <w:r w:rsidR="00BB3954">
              <w:t xml:space="preserve"> </w:t>
            </w:r>
            <w:r w:rsidRPr="00EE694D">
              <w:t>c/minute</w:t>
            </w:r>
          </w:p>
        </w:tc>
      </w:tr>
      <w:tr w:rsidR="00DF75D9" w14:paraId="4B641743"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62C8F909" w14:textId="23116C68" w:rsidR="00DF75D9" w:rsidRDefault="006C4876">
            <w:pPr>
              <w:pStyle w:val="TableBody"/>
            </w:pPr>
            <w:r w:rsidRPr="0F3B4C48">
              <w:rPr>
                <w:lang w:val="en-AU"/>
              </w:rPr>
              <w:t>Victoria</w:t>
            </w:r>
            <w:r w:rsidR="0021028C" w:rsidRPr="0F3B4C48">
              <w:rPr>
                <w:b/>
                <w:bCs/>
                <w:vertAlign w:val="superscript"/>
                <w:lang w:val="en-AU"/>
              </w:rPr>
              <w:t>g</w:t>
            </w:r>
            <w:r w:rsidRPr="0F3B4C48">
              <w:rPr>
                <w:lang w:val="en-AU"/>
              </w:rPr>
              <w:t xml:space="preserve"> </w:t>
            </w:r>
          </w:p>
        </w:tc>
        <w:tc>
          <w:tcPr>
            <w:tcW w:w="2267" w:type="dxa"/>
            <w:vAlign w:val="center"/>
          </w:tcPr>
          <w:p w14:paraId="5306C0E9" w14:textId="7F4946BF" w:rsidR="00DF75D9" w:rsidRDefault="006C4876" w:rsidP="00707AED">
            <w:pPr>
              <w:pStyle w:val="TableBody"/>
              <w:ind w:right="113"/>
              <w:jc w:val="right"/>
            </w:pPr>
            <w:r w:rsidRPr="00EE694D">
              <w:t>$4.85</w:t>
            </w:r>
          </w:p>
        </w:tc>
        <w:tc>
          <w:tcPr>
            <w:tcW w:w="2268" w:type="dxa"/>
            <w:vAlign w:val="center"/>
          </w:tcPr>
          <w:p w14:paraId="45238109" w14:textId="6B068C12" w:rsidR="00DF75D9" w:rsidRDefault="006C4876" w:rsidP="00707AED">
            <w:pPr>
              <w:pStyle w:val="TableBody"/>
              <w:ind w:right="113"/>
              <w:jc w:val="right"/>
            </w:pPr>
            <w:r w:rsidRPr="00EE694D">
              <w:t>$1.88</w:t>
            </w:r>
          </w:p>
        </w:tc>
        <w:tc>
          <w:tcPr>
            <w:tcW w:w="2268" w:type="dxa"/>
            <w:vAlign w:val="center"/>
          </w:tcPr>
          <w:p w14:paraId="7E1A20AA" w14:textId="002DCAEE" w:rsidR="00DF75D9" w:rsidRDefault="006C4876" w:rsidP="00707AED">
            <w:pPr>
              <w:pStyle w:val="TableBody"/>
              <w:ind w:right="113"/>
              <w:jc w:val="right"/>
            </w:pPr>
            <w:r w:rsidRPr="00EE694D">
              <w:t>65.8</w:t>
            </w:r>
            <w:r w:rsidR="00BB3954">
              <w:t xml:space="preserve"> </w:t>
            </w:r>
            <w:r w:rsidRPr="00EE694D">
              <w:t>c/minute</w:t>
            </w:r>
          </w:p>
        </w:tc>
      </w:tr>
      <w:tr w:rsidR="00DF75D9" w14:paraId="1F8C147C"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59DD48C5" w14:textId="281D955C" w:rsidR="00DF75D9" w:rsidRDefault="00DF75D9">
            <w:pPr>
              <w:pStyle w:val="TableBody"/>
            </w:pPr>
            <w:r w:rsidRPr="0F3B4C48">
              <w:rPr>
                <w:lang w:val="en-AU"/>
              </w:rPr>
              <w:t xml:space="preserve">Western </w:t>
            </w:r>
            <w:r w:rsidR="006C4876" w:rsidRPr="0F3B4C48">
              <w:rPr>
                <w:lang w:val="en-AU"/>
              </w:rPr>
              <w:t>Australia</w:t>
            </w:r>
            <w:r w:rsidR="0021028C" w:rsidRPr="0F3B4C48">
              <w:rPr>
                <w:b/>
                <w:bCs/>
                <w:vertAlign w:val="superscript"/>
                <w:lang w:val="en-AU"/>
              </w:rPr>
              <w:t>h</w:t>
            </w:r>
            <w:r w:rsidR="006C4876" w:rsidRPr="0F3B4C48">
              <w:rPr>
                <w:lang w:val="en-AU"/>
              </w:rPr>
              <w:t xml:space="preserve"> </w:t>
            </w:r>
          </w:p>
        </w:tc>
        <w:tc>
          <w:tcPr>
            <w:tcW w:w="2267" w:type="dxa"/>
            <w:vAlign w:val="center"/>
          </w:tcPr>
          <w:p w14:paraId="193D88D5" w14:textId="542FD4DA" w:rsidR="00DF75D9" w:rsidRDefault="006C4876" w:rsidP="00707AED">
            <w:pPr>
              <w:pStyle w:val="TableBody"/>
              <w:ind w:right="113"/>
              <w:jc w:val="right"/>
            </w:pPr>
            <w:r w:rsidRPr="00EE694D">
              <w:t>$5.</w:t>
            </w:r>
            <w:r w:rsidR="00D9495F">
              <w:t>4</w:t>
            </w:r>
            <w:r w:rsidRPr="00EE694D">
              <w:t>0</w:t>
            </w:r>
          </w:p>
        </w:tc>
        <w:tc>
          <w:tcPr>
            <w:tcW w:w="2268" w:type="dxa"/>
            <w:vAlign w:val="center"/>
          </w:tcPr>
          <w:p w14:paraId="68B70FFE" w14:textId="65F0C0F1" w:rsidR="00DF75D9" w:rsidRDefault="006C4876" w:rsidP="00707AED">
            <w:pPr>
              <w:pStyle w:val="TableBody"/>
              <w:ind w:right="113"/>
              <w:jc w:val="right"/>
            </w:pPr>
            <w:r w:rsidRPr="00EE694D">
              <w:t>$2.</w:t>
            </w:r>
            <w:r w:rsidR="00D13A09">
              <w:t>13</w:t>
            </w:r>
          </w:p>
        </w:tc>
        <w:tc>
          <w:tcPr>
            <w:tcW w:w="2268" w:type="dxa"/>
            <w:vAlign w:val="center"/>
          </w:tcPr>
          <w:p w14:paraId="51ED8174" w14:textId="7044052C" w:rsidR="00DF75D9" w:rsidRDefault="00A26426" w:rsidP="00707AED">
            <w:pPr>
              <w:pStyle w:val="TableBody"/>
              <w:ind w:right="113"/>
              <w:jc w:val="right"/>
            </w:pPr>
            <w:r>
              <w:t>101.7</w:t>
            </w:r>
            <w:r w:rsidR="00BB3954">
              <w:t xml:space="preserve"> </w:t>
            </w:r>
            <w:r w:rsidR="006C4876" w:rsidRPr="00EE694D">
              <w:t>c/minute</w:t>
            </w:r>
          </w:p>
        </w:tc>
      </w:tr>
    </w:tbl>
    <w:p w14:paraId="72B33887" w14:textId="2E13070C" w:rsidR="005D2445" w:rsidRDefault="0021028C" w:rsidP="00707AED">
      <w:pPr>
        <w:pStyle w:val="Source"/>
        <w:jc w:val="left"/>
      </w:pPr>
      <w:r w:rsidRPr="00707AED">
        <w:rPr>
          <w:b/>
          <w:vertAlign w:val="superscript"/>
        </w:rPr>
        <w:t>a</w:t>
      </w:r>
      <w:r>
        <w:t> </w:t>
      </w:r>
      <w:r w:rsidR="0004449D">
        <w:t>Australian Capital Territory, Road transport (Public Passenger Services) maximum fares for taxi services determination 2023 (No 1), Accessed</w:t>
      </w:r>
      <w:r w:rsidR="00571A20">
        <w:t xml:space="preserve"> 18 July</w:t>
      </w:r>
      <w:r w:rsidR="0004449D" w:rsidDel="00571A20">
        <w:t xml:space="preserve"> </w:t>
      </w:r>
      <w:r w:rsidR="0004449D">
        <w:t>2024, (</w:t>
      </w:r>
      <w:hyperlink r:id="rId33" w:history="1">
        <w:r w:rsidR="0004449D" w:rsidRPr="006871C1">
          <w:rPr>
            <w:rStyle w:val="Hyperlink"/>
          </w:rPr>
          <w:t>actcabs.com.au</w:t>
        </w:r>
      </w:hyperlink>
      <w:r w:rsidR="0004449D">
        <w:t>)</w:t>
      </w:r>
      <w:r>
        <w:t xml:space="preserve">. </w:t>
      </w:r>
      <w:r w:rsidR="006A553E" w:rsidRPr="00707AED">
        <w:rPr>
          <w:b/>
          <w:vertAlign w:val="superscript"/>
        </w:rPr>
        <w:t>b</w:t>
      </w:r>
      <w:r w:rsidR="006A553E">
        <w:t> </w:t>
      </w:r>
      <w:r w:rsidR="0004449D">
        <w:t xml:space="preserve">Point to point transport (Fares) Order 2023 under the </w:t>
      </w:r>
      <w:r w:rsidR="0004449D" w:rsidRPr="008C7633">
        <w:rPr>
          <w:i/>
        </w:rPr>
        <w:t>Point to Point Transport (Taxis and Hire Vehicles) Act 2016</w:t>
      </w:r>
      <w:r w:rsidR="0004449D">
        <w:t xml:space="preserve">, Accessed </w:t>
      </w:r>
      <w:r w:rsidR="00571A20">
        <w:t>18 July</w:t>
      </w:r>
      <w:r w:rsidR="0004449D">
        <w:t xml:space="preserve"> 2024, Rank and hail taxi fares and charges | </w:t>
      </w:r>
      <w:hyperlink r:id="rId34" w:history="1">
        <w:r w:rsidR="0004449D" w:rsidRPr="00155028">
          <w:rPr>
            <w:rStyle w:val="Hyperlink"/>
          </w:rPr>
          <w:t>transportnsw.info</w:t>
        </w:r>
      </w:hyperlink>
      <w:r w:rsidR="006647C5">
        <w:t xml:space="preserve">. </w:t>
      </w:r>
      <w:r w:rsidR="00CD5E0D" w:rsidRPr="002351DE">
        <w:rPr>
          <w:b/>
          <w:vertAlign w:val="superscript"/>
        </w:rPr>
        <w:t>c</w:t>
      </w:r>
      <w:r w:rsidR="00CD5E0D">
        <w:t> </w:t>
      </w:r>
      <w:r w:rsidR="0004449D">
        <w:t xml:space="preserve">Northern Territory, Taxi areas, meters and fares, Accessed </w:t>
      </w:r>
      <w:r w:rsidR="00571A20">
        <w:t>18 July</w:t>
      </w:r>
      <w:r w:rsidR="0004449D">
        <w:t xml:space="preserve"> 2024, Taxi areas, meters and fares | </w:t>
      </w:r>
      <w:hyperlink r:id="rId35" w:history="1">
        <w:r w:rsidR="0004449D" w:rsidRPr="00B74720">
          <w:rPr>
            <w:rStyle w:val="Hyperlink"/>
          </w:rPr>
          <w:t>NT.GOV.AU</w:t>
        </w:r>
      </w:hyperlink>
      <w:r w:rsidR="00CD5E0D">
        <w:t xml:space="preserve">. </w:t>
      </w:r>
      <w:r w:rsidR="003226F8" w:rsidRPr="002351DE">
        <w:rPr>
          <w:b/>
          <w:vertAlign w:val="superscript"/>
        </w:rPr>
        <w:t>d</w:t>
      </w:r>
      <w:r w:rsidR="003226F8">
        <w:t> </w:t>
      </w:r>
      <w:r w:rsidR="0004449D">
        <w:t xml:space="preserve">Queensland Government Department of Transport and Main Roads, Maximum taxi fares notices (No. 1) 2023 under </w:t>
      </w:r>
      <w:r w:rsidR="0004449D" w:rsidRPr="008C7633">
        <w:rPr>
          <w:i/>
        </w:rPr>
        <w:t>Transport Operations (Passenger Transport) Act 1994</w:t>
      </w:r>
      <w:r w:rsidR="0004449D">
        <w:t xml:space="preserve">, Accessed </w:t>
      </w:r>
      <w:r w:rsidR="00571A20">
        <w:t>18 July</w:t>
      </w:r>
      <w:r w:rsidR="0004449D">
        <w:t xml:space="preserve"> 2024 | </w:t>
      </w:r>
      <w:hyperlink r:id="rId36" w:history="1">
        <w:r w:rsidR="0004449D" w:rsidRPr="00FD7549">
          <w:rPr>
            <w:rStyle w:val="Hyperlink"/>
          </w:rPr>
          <w:t>publications.qld.gov.au</w:t>
        </w:r>
      </w:hyperlink>
      <w:r w:rsidR="00347ED2">
        <w:t xml:space="preserve">. </w:t>
      </w:r>
      <w:r w:rsidR="00511481" w:rsidRPr="002351DE">
        <w:rPr>
          <w:b/>
          <w:vertAlign w:val="superscript"/>
        </w:rPr>
        <w:t>e</w:t>
      </w:r>
      <w:r w:rsidR="00511481">
        <w:t> </w:t>
      </w:r>
      <w:r w:rsidR="0004449D">
        <w:t xml:space="preserve">South Australia, Taxis, Accessed </w:t>
      </w:r>
      <w:r w:rsidR="00571A20">
        <w:t>18 July</w:t>
      </w:r>
      <w:r w:rsidR="0004449D">
        <w:t xml:space="preserve"> 2024, </w:t>
      </w:r>
      <w:hyperlink w:history="1">
        <w:r w:rsidR="007734CC" w:rsidRPr="007734CC">
          <w:rPr>
            <w:rStyle w:val="Hyperlink"/>
          </w:rPr>
          <w:t>SA.GOV.AU – Taxis (www.sa.gov.au)</w:t>
        </w:r>
      </w:hyperlink>
      <w:r w:rsidR="0041355D">
        <w:t>.</w:t>
      </w:r>
      <w:r w:rsidR="00511481">
        <w:t xml:space="preserve"> </w:t>
      </w:r>
      <w:r w:rsidR="005575A8" w:rsidRPr="002351DE">
        <w:rPr>
          <w:b/>
          <w:vertAlign w:val="superscript"/>
        </w:rPr>
        <w:t>f</w:t>
      </w:r>
      <w:r w:rsidR="005575A8">
        <w:t> </w:t>
      </w:r>
      <w:r w:rsidR="0004449D">
        <w:t xml:space="preserve">Tasmania Transport Services, Calculating your fare, Accessed </w:t>
      </w:r>
      <w:r w:rsidR="00F0431A">
        <w:t>18 July</w:t>
      </w:r>
      <w:r w:rsidR="0004449D">
        <w:t xml:space="preserve"> 2024, </w:t>
      </w:r>
      <w:hyperlink r:id="rId37" w:history="1">
        <w:r w:rsidR="0004449D" w:rsidRPr="000609B7">
          <w:rPr>
            <w:rStyle w:val="Hyperlink"/>
          </w:rPr>
          <w:t>Calculating your fare – Transport Services</w:t>
        </w:r>
      </w:hyperlink>
      <w:r w:rsidR="008C209F">
        <w:t xml:space="preserve">. </w:t>
      </w:r>
      <w:r w:rsidR="008C209F" w:rsidRPr="002351DE">
        <w:rPr>
          <w:b/>
          <w:vertAlign w:val="superscript"/>
        </w:rPr>
        <w:t>g</w:t>
      </w:r>
      <w:r w:rsidR="008C209F">
        <w:t> </w:t>
      </w:r>
      <w:r w:rsidR="0004449D">
        <w:t>Essential Services Commission 2023, Unbooked Taxi Fare Annual Adjustment 2023: Commission assessment, 24 August |</w:t>
      </w:r>
      <w:r w:rsidR="001644A9">
        <w:t xml:space="preserve"> </w:t>
      </w:r>
      <w:hyperlink r:id="rId38" w:history="1">
        <w:r w:rsidR="0004449D" w:rsidRPr="001644A9">
          <w:rPr>
            <w:rStyle w:val="Hyperlink"/>
          </w:rPr>
          <w:t>esc.vic.gov.au</w:t>
        </w:r>
      </w:hyperlink>
      <w:r w:rsidR="008C209F">
        <w:t xml:space="preserve">. </w:t>
      </w:r>
      <w:r w:rsidR="008C209F" w:rsidRPr="002351DE">
        <w:rPr>
          <w:b/>
          <w:vertAlign w:val="superscript"/>
        </w:rPr>
        <w:t>h</w:t>
      </w:r>
      <w:r w:rsidR="006D786E">
        <w:t> </w:t>
      </w:r>
      <w:r w:rsidR="0004449D">
        <w:t xml:space="preserve">  Western Australia Department of Transport, On-demand rank or hail fares, Accessed </w:t>
      </w:r>
      <w:r w:rsidR="00F0431A">
        <w:t>18 July</w:t>
      </w:r>
      <w:r w:rsidR="0004449D">
        <w:t xml:space="preserve"> 2024, </w:t>
      </w:r>
      <w:hyperlink r:id="rId39" w:history="1">
        <w:r w:rsidR="0004449D" w:rsidRPr="009E3B42">
          <w:rPr>
            <w:rStyle w:val="Hyperlink"/>
          </w:rPr>
          <w:t>On-demand rank or hail (taxi) fares (transport.wa.gov.au</w:t>
        </w:r>
      </w:hyperlink>
      <w:r w:rsidR="0004449D">
        <w:t>)</w:t>
      </w:r>
      <w:r w:rsidR="00957641">
        <w:t>.</w:t>
      </w:r>
    </w:p>
    <w:p w14:paraId="56874AB1" w14:textId="77777777" w:rsidR="00DE730F" w:rsidRDefault="00DE730F">
      <w:pPr>
        <w:spacing w:before="0" w:line="259" w:lineRule="auto"/>
        <w:rPr>
          <w:rFonts w:asciiTheme="majorHAnsi" w:eastAsiaTheme="majorEastAsia" w:hAnsiTheme="majorHAnsi" w:cstheme="majorBidi"/>
          <w:b/>
          <w:color w:val="4986A0" w:themeColor="text2"/>
          <w:szCs w:val="24"/>
          <w:lang w:val="en-US"/>
        </w:rPr>
      </w:pPr>
      <w:r>
        <w:br w:type="page"/>
      </w:r>
    </w:p>
    <w:p w14:paraId="17D2B87A" w14:textId="20F7FBC6" w:rsidR="009E3B42" w:rsidRDefault="009E3B42" w:rsidP="009E3B42">
      <w:pPr>
        <w:pStyle w:val="Figure-Table-BoxHeading"/>
        <w:keepNext/>
        <w:keepLines/>
      </w:pPr>
      <w:r w:rsidRPr="76FEA507">
        <w:rPr>
          <w:lang w:val="en-AU"/>
        </w:rPr>
        <w:lastRenderedPageBreak/>
        <w:t xml:space="preserve">Table </w:t>
      </w:r>
      <w:r w:rsidR="008764D4" w:rsidRPr="76FEA507">
        <w:rPr>
          <w:lang w:val="en-AU"/>
        </w:rPr>
        <w:t>C</w:t>
      </w:r>
      <w:r w:rsidRPr="76FEA507">
        <w:rPr>
          <w:lang w:val="en-AU"/>
        </w:rPr>
        <w:t>.3</w:t>
      </w:r>
      <w:r>
        <w:tab/>
      </w:r>
      <w:r w:rsidR="00167C17" w:rsidRPr="76FEA507">
        <w:rPr>
          <w:lang w:val="en-AU"/>
        </w:rPr>
        <w:t xml:space="preserve">Peak period </w:t>
      </w:r>
      <w:r w:rsidR="00593992" w:rsidRPr="76FEA507">
        <w:rPr>
          <w:lang w:val="en-AU"/>
        </w:rPr>
        <w:t xml:space="preserve">maximum </w:t>
      </w:r>
      <w:r w:rsidR="00167C17" w:rsidRPr="76FEA507">
        <w:rPr>
          <w:lang w:val="en-AU"/>
        </w:rPr>
        <w:t xml:space="preserve">fares in urban areas, as </w:t>
      </w:r>
      <w:r w:rsidR="00433B6A" w:rsidRPr="76FEA507">
        <w:rPr>
          <w:lang w:val="en-AU"/>
        </w:rPr>
        <w:t xml:space="preserve">at </w:t>
      </w:r>
      <w:r w:rsidR="00F52DD1" w:rsidRPr="76FEA507">
        <w:rPr>
          <w:lang w:val="en-AU"/>
        </w:rPr>
        <w:t>July</w:t>
      </w:r>
      <w:r w:rsidR="00167C17" w:rsidRPr="76FEA507">
        <w:rPr>
          <w:lang w:val="en-AU"/>
        </w:rPr>
        <w:t xml:space="preserve"> 2024</w:t>
      </w:r>
    </w:p>
    <w:tbl>
      <w:tblPr>
        <w:tblStyle w:val="TableGrid"/>
        <w:tblW w:w="0" w:type="auto"/>
        <w:tblLook w:val="04A0" w:firstRow="1" w:lastRow="0" w:firstColumn="1" w:lastColumn="0" w:noHBand="0" w:noVBand="1"/>
      </w:tblPr>
      <w:tblGrid>
        <w:gridCol w:w="2835"/>
        <w:gridCol w:w="2267"/>
        <w:gridCol w:w="2268"/>
        <w:gridCol w:w="2268"/>
      </w:tblGrid>
      <w:tr w:rsidR="009E3B42" w14:paraId="47092FD4" w14:textId="77777777" w:rsidTr="0F3B4C48">
        <w:trPr>
          <w:cnfStyle w:val="100000000000" w:firstRow="1" w:lastRow="0" w:firstColumn="0" w:lastColumn="0" w:oddVBand="0" w:evenVBand="0" w:oddHBand="0" w:evenHBand="0" w:firstRowFirstColumn="0" w:firstRowLastColumn="0" w:lastRowFirstColumn="0" w:lastRowLastColumn="0"/>
        </w:trPr>
        <w:tc>
          <w:tcPr>
            <w:tcW w:w="2835" w:type="dxa"/>
          </w:tcPr>
          <w:p w14:paraId="09FBD453" w14:textId="77777777" w:rsidR="009E3B42" w:rsidRDefault="009E3B42">
            <w:pPr>
              <w:pStyle w:val="TableHeading"/>
            </w:pPr>
            <w:r w:rsidRPr="0F3B4C48">
              <w:rPr>
                <w:lang w:val="en-AU"/>
              </w:rPr>
              <w:t xml:space="preserve">Jurisdiction </w:t>
            </w:r>
          </w:p>
        </w:tc>
        <w:tc>
          <w:tcPr>
            <w:tcW w:w="2267" w:type="dxa"/>
            <w:vAlign w:val="center"/>
          </w:tcPr>
          <w:p w14:paraId="1D0D29E1" w14:textId="77777777" w:rsidR="009E3B42" w:rsidRDefault="009E3B42" w:rsidP="002351DE">
            <w:pPr>
              <w:pStyle w:val="TableHeading"/>
              <w:ind w:right="113"/>
              <w:jc w:val="right"/>
            </w:pPr>
            <w:r w:rsidRPr="0F3B4C48">
              <w:rPr>
                <w:lang w:val="en-AU"/>
              </w:rPr>
              <w:t>Flagfall</w:t>
            </w:r>
          </w:p>
        </w:tc>
        <w:tc>
          <w:tcPr>
            <w:tcW w:w="2268" w:type="dxa"/>
            <w:vAlign w:val="center"/>
          </w:tcPr>
          <w:p w14:paraId="1D0C5948" w14:textId="77777777" w:rsidR="009E3B42" w:rsidRDefault="009E3B42" w:rsidP="002351DE">
            <w:pPr>
              <w:pStyle w:val="TableHeading"/>
              <w:ind w:right="113"/>
              <w:jc w:val="right"/>
            </w:pPr>
            <w:r>
              <w:t>Distance rate</w:t>
            </w:r>
          </w:p>
        </w:tc>
        <w:tc>
          <w:tcPr>
            <w:tcW w:w="2268" w:type="dxa"/>
            <w:vAlign w:val="center"/>
          </w:tcPr>
          <w:p w14:paraId="7DC9F000" w14:textId="77777777" w:rsidR="009E3B42" w:rsidRDefault="009E3B42" w:rsidP="002351DE">
            <w:pPr>
              <w:pStyle w:val="TableHeading"/>
              <w:ind w:right="113"/>
              <w:jc w:val="right"/>
            </w:pPr>
            <w:r>
              <w:t>Waiting rate</w:t>
            </w:r>
          </w:p>
        </w:tc>
      </w:tr>
      <w:tr w:rsidR="00752CBC" w14:paraId="7ADE2559"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467CAD5C" w14:textId="77777777" w:rsidR="00752CBC" w:rsidRDefault="00752CBC" w:rsidP="00752CBC">
            <w:pPr>
              <w:pStyle w:val="TableBody"/>
            </w:pPr>
            <w:r w:rsidRPr="0F3B4C48">
              <w:rPr>
                <w:lang w:val="en-AU"/>
              </w:rPr>
              <w:t>Australian Capital Territory</w:t>
            </w:r>
            <w:r w:rsidRPr="0F3B4C48">
              <w:rPr>
                <w:b/>
                <w:bCs/>
                <w:vertAlign w:val="superscript"/>
                <w:lang w:val="en-AU"/>
              </w:rPr>
              <w:t>a</w:t>
            </w:r>
            <w:r w:rsidRPr="0F3B4C48">
              <w:rPr>
                <w:lang w:val="en-AU"/>
              </w:rPr>
              <w:t xml:space="preserve"> </w:t>
            </w:r>
          </w:p>
        </w:tc>
        <w:tc>
          <w:tcPr>
            <w:tcW w:w="2267" w:type="dxa"/>
            <w:vAlign w:val="center"/>
          </w:tcPr>
          <w:p w14:paraId="381377FE" w14:textId="3148DED3" w:rsidR="00752CBC" w:rsidRDefault="00752CBC" w:rsidP="002351DE">
            <w:pPr>
              <w:pStyle w:val="TableBody"/>
              <w:ind w:right="113"/>
              <w:jc w:val="right"/>
            </w:pPr>
            <w:r w:rsidRPr="008A5E65">
              <w:t>$5.85</w:t>
            </w:r>
          </w:p>
        </w:tc>
        <w:tc>
          <w:tcPr>
            <w:tcW w:w="2268" w:type="dxa"/>
            <w:vAlign w:val="center"/>
          </w:tcPr>
          <w:p w14:paraId="5DEF0F62" w14:textId="2FBE6CCA" w:rsidR="00752CBC" w:rsidRDefault="00752CBC" w:rsidP="002351DE">
            <w:pPr>
              <w:pStyle w:val="TableBody"/>
              <w:ind w:right="113"/>
              <w:jc w:val="right"/>
            </w:pPr>
            <w:r w:rsidRPr="008A5E65">
              <w:t>$2.75</w:t>
            </w:r>
          </w:p>
        </w:tc>
        <w:tc>
          <w:tcPr>
            <w:tcW w:w="2268" w:type="dxa"/>
            <w:vAlign w:val="center"/>
          </w:tcPr>
          <w:p w14:paraId="372E00B6" w14:textId="16899416" w:rsidR="00752CBC" w:rsidRDefault="00752CBC" w:rsidP="002351DE">
            <w:pPr>
              <w:pStyle w:val="TableBody"/>
              <w:ind w:right="113"/>
              <w:jc w:val="right"/>
            </w:pPr>
            <w:r w:rsidRPr="008A5E65">
              <w:t>101.2</w:t>
            </w:r>
            <w:r w:rsidR="00072A0B">
              <w:t xml:space="preserve"> </w:t>
            </w:r>
            <w:r w:rsidRPr="008A5E65">
              <w:t>c/minute</w:t>
            </w:r>
          </w:p>
        </w:tc>
      </w:tr>
      <w:tr w:rsidR="00752CBC" w14:paraId="0D5EA83C"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374BC25D" w14:textId="77777777" w:rsidR="00752CBC" w:rsidRDefault="00752CBC" w:rsidP="00752CBC">
            <w:pPr>
              <w:pStyle w:val="TableBody"/>
            </w:pPr>
            <w:r w:rsidRPr="0F3B4C48">
              <w:rPr>
                <w:lang w:val="en-AU"/>
              </w:rPr>
              <w:t>New South Wales</w:t>
            </w:r>
            <w:r w:rsidRPr="0F3B4C48">
              <w:rPr>
                <w:b/>
                <w:bCs/>
                <w:vertAlign w:val="superscript"/>
                <w:lang w:val="en-AU"/>
              </w:rPr>
              <w:t>b</w:t>
            </w:r>
            <w:r w:rsidRPr="0F3B4C48">
              <w:rPr>
                <w:lang w:val="en-AU"/>
              </w:rPr>
              <w:t xml:space="preserve"> </w:t>
            </w:r>
          </w:p>
        </w:tc>
        <w:tc>
          <w:tcPr>
            <w:tcW w:w="2267" w:type="dxa"/>
            <w:vAlign w:val="center"/>
          </w:tcPr>
          <w:p w14:paraId="706C4D83" w14:textId="258FF5CC" w:rsidR="00752CBC" w:rsidRDefault="00752CBC" w:rsidP="002351DE">
            <w:pPr>
              <w:pStyle w:val="TableBody"/>
              <w:ind w:right="113"/>
              <w:jc w:val="right"/>
            </w:pPr>
            <w:r w:rsidRPr="008A5E65">
              <w:t>$6.10</w:t>
            </w:r>
          </w:p>
        </w:tc>
        <w:tc>
          <w:tcPr>
            <w:tcW w:w="2268" w:type="dxa"/>
            <w:vAlign w:val="center"/>
          </w:tcPr>
          <w:p w14:paraId="05E691BB" w14:textId="7B996544" w:rsidR="00752CBC" w:rsidRDefault="00752CBC" w:rsidP="002351DE">
            <w:pPr>
              <w:pStyle w:val="TableBody"/>
              <w:ind w:right="113"/>
              <w:jc w:val="right"/>
            </w:pPr>
            <w:r w:rsidRPr="008A5E65">
              <w:t>$2.73</w:t>
            </w:r>
          </w:p>
        </w:tc>
        <w:tc>
          <w:tcPr>
            <w:tcW w:w="2268" w:type="dxa"/>
            <w:vAlign w:val="center"/>
          </w:tcPr>
          <w:p w14:paraId="79715F37" w14:textId="60ED13BA" w:rsidR="00752CBC" w:rsidRDefault="00752CBC" w:rsidP="002351DE">
            <w:pPr>
              <w:pStyle w:val="TableBody"/>
              <w:ind w:right="113"/>
              <w:jc w:val="right"/>
            </w:pPr>
            <w:r w:rsidRPr="008A5E65">
              <w:t>94.4</w:t>
            </w:r>
            <w:r w:rsidR="00072A0B">
              <w:t xml:space="preserve"> </w:t>
            </w:r>
            <w:r w:rsidRPr="008A5E65">
              <w:t>c/minute</w:t>
            </w:r>
          </w:p>
        </w:tc>
      </w:tr>
      <w:tr w:rsidR="00752CBC" w14:paraId="7121F868"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0368C4F7" w14:textId="77777777" w:rsidR="00752CBC" w:rsidRDefault="00752CBC" w:rsidP="00752CBC">
            <w:pPr>
              <w:pStyle w:val="TableBody"/>
            </w:pPr>
            <w:r w:rsidRPr="0F3B4C48">
              <w:rPr>
                <w:lang w:val="en-AU"/>
              </w:rPr>
              <w:t>Northern Territory</w:t>
            </w:r>
            <w:r w:rsidRPr="0F3B4C48">
              <w:rPr>
                <w:b/>
                <w:bCs/>
                <w:vertAlign w:val="superscript"/>
                <w:lang w:val="en-AU"/>
              </w:rPr>
              <w:t>c</w:t>
            </w:r>
            <w:r w:rsidRPr="0F3B4C48">
              <w:rPr>
                <w:lang w:val="en-AU"/>
              </w:rPr>
              <w:t xml:space="preserve"> </w:t>
            </w:r>
          </w:p>
        </w:tc>
        <w:tc>
          <w:tcPr>
            <w:tcW w:w="2267" w:type="dxa"/>
            <w:vAlign w:val="center"/>
          </w:tcPr>
          <w:p w14:paraId="6558EFED" w14:textId="20862E64" w:rsidR="00752CBC" w:rsidRDefault="00752CBC" w:rsidP="002351DE">
            <w:pPr>
              <w:pStyle w:val="TableBody"/>
              <w:ind w:right="113"/>
              <w:jc w:val="right"/>
            </w:pPr>
            <w:r w:rsidRPr="008A5E65">
              <w:t>$6.90</w:t>
            </w:r>
          </w:p>
        </w:tc>
        <w:tc>
          <w:tcPr>
            <w:tcW w:w="2268" w:type="dxa"/>
            <w:vAlign w:val="center"/>
          </w:tcPr>
          <w:p w14:paraId="1FF939C8" w14:textId="74C54FC8" w:rsidR="00752CBC" w:rsidRDefault="00752CBC" w:rsidP="002351DE">
            <w:pPr>
              <w:pStyle w:val="TableBody"/>
              <w:ind w:right="113"/>
              <w:jc w:val="right"/>
            </w:pPr>
            <w:r w:rsidRPr="008A5E65">
              <w:t>$2.</w:t>
            </w:r>
            <w:r w:rsidR="00287716">
              <w:t>27</w:t>
            </w:r>
          </w:p>
        </w:tc>
        <w:tc>
          <w:tcPr>
            <w:tcW w:w="2268" w:type="dxa"/>
            <w:vAlign w:val="center"/>
          </w:tcPr>
          <w:p w14:paraId="372A699A" w14:textId="744242ED" w:rsidR="00752CBC" w:rsidRDefault="00000370" w:rsidP="002351DE">
            <w:pPr>
              <w:pStyle w:val="TableBody"/>
              <w:ind w:right="113"/>
              <w:jc w:val="right"/>
            </w:pPr>
            <w:r>
              <w:t>111</w:t>
            </w:r>
            <w:r w:rsidR="00752CBC" w:rsidRPr="008A5E65">
              <w:t>.1</w:t>
            </w:r>
            <w:r w:rsidR="00072A0B">
              <w:t xml:space="preserve"> </w:t>
            </w:r>
            <w:r w:rsidR="00752CBC" w:rsidRPr="008A5E65">
              <w:t>c/minute</w:t>
            </w:r>
          </w:p>
        </w:tc>
      </w:tr>
      <w:tr w:rsidR="00752CBC" w14:paraId="674D966C"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3F43A837" w14:textId="77777777" w:rsidR="00752CBC" w:rsidRDefault="00752CBC" w:rsidP="00752CBC">
            <w:pPr>
              <w:pStyle w:val="TableBody"/>
            </w:pPr>
            <w:r w:rsidRPr="0F3B4C48">
              <w:rPr>
                <w:lang w:val="en-AU"/>
              </w:rPr>
              <w:t>Queensland</w:t>
            </w:r>
            <w:r w:rsidRPr="0F3B4C48">
              <w:rPr>
                <w:b/>
                <w:bCs/>
                <w:vertAlign w:val="superscript"/>
                <w:lang w:val="en-AU"/>
              </w:rPr>
              <w:t>d</w:t>
            </w:r>
            <w:r w:rsidRPr="0F3B4C48">
              <w:rPr>
                <w:lang w:val="en-AU"/>
              </w:rPr>
              <w:t xml:space="preserve"> </w:t>
            </w:r>
          </w:p>
        </w:tc>
        <w:tc>
          <w:tcPr>
            <w:tcW w:w="2267" w:type="dxa"/>
            <w:vAlign w:val="center"/>
          </w:tcPr>
          <w:p w14:paraId="21991854" w14:textId="0F8B59C0" w:rsidR="00752CBC" w:rsidRDefault="00752CBC" w:rsidP="002351DE">
            <w:pPr>
              <w:pStyle w:val="TableBody"/>
              <w:ind w:right="113"/>
              <w:jc w:val="right"/>
            </w:pPr>
            <w:r w:rsidRPr="008A5E65">
              <w:t>$5.</w:t>
            </w:r>
            <w:r w:rsidR="00872F2D">
              <w:t>8</w:t>
            </w:r>
            <w:r w:rsidRPr="008A5E65">
              <w:t>0</w:t>
            </w:r>
          </w:p>
        </w:tc>
        <w:tc>
          <w:tcPr>
            <w:tcW w:w="2268" w:type="dxa"/>
            <w:vAlign w:val="center"/>
          </w:tcPr>
          <w:p w14:paraId="094719E6" w14:textId="684555FB" w:rsidR="00752CBC" w:rsidRDefault="00752CBC" w:rsidP="002351DE">
            <w:pPr>
              <w:pStyle w:val="TableBody"/>
              <w:ind w:right="113"/>
              <w:jc w:val="right"/>
            </w:pPr>
            <w:r w:rsidRPr="008A5E65">
              <w:t>$2.</w:t>
            </w:r>
            <w:r w:rsidR="00926992">
              <w:t>62</w:t>
            </w:r>
          </w:p>
        </w:tc>
        <w:tc>
          <w:tcPr>
            <w:tcW w:w="2268" w:type="dxa"/>
            <w:vAlign w:val="center"/>
          </w:tcPr>
          <w:p w14:paraId="07B935B2" w14:textId="569516C9" w:rsidR="00752CBC" w:rsidRDefault="00752CBC" w:rsidP="002351DE">
            <w:pPr>
              <w:pStyle w:val="TableBody"/>
              <w:ind w:right="113"/>
              <w:jc w:val="right"/>
            </w:pPr>
            <w:r w:rsidRPr="008A5E65">
              <w:t>9</w:t>
            </w:r>
            <w:r w:rsidR="00C3683B">
              <w:t>8</w:t>
            </w:r>
            <w:r w:rsidRPr="008A5E65">
              <w:t>.0</w:t>
            </w:r>
            <w:r w:rsidR="00072A0B">
              <w:t xml:space="preserve"> </w:t>
            </w:r>
            <w:r w:rsidRPr="008A5E65">
              <w:t>c/minute</w:t>
            </w:r>
          </w:p>
        </w:tc>
      </w:tr>
      <w:tr w:rsidR="00752CBC" w14:paraId="3BE933B6"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2690A63F" w14:textId="77777777" w:rsidR="00752CBC" w:rsidRDefault="00752CBC" w:rsidP="00752CBC">
            <w:pPr>
              <w:pStyle w:val="TableBody"/>
            </w:pPr>
            <w:r w:rsidRPr="0F3B4C48">
              <w:rPr>
                <w:lang w:val="en-AU"/>
              </w:rPr>
              <w:t>South Australia</w:t>
            </w:r>
            <w:r w:rsidRPr="0F3B4C48">
              <w:rPr>
                <w:b/>
                <w:bCs/>
                <w:vertAlign w:val="superscript"/>
                <w:lang w:val="en-AU"/>
              </w:rPr>
              <w:t>e</w:t>
            </w:r>
            <w:r w:rsidRPr="0F3B4C48">
              <w:rPr>
                <w:lang w:val="en-AU"/>
              </w:rPr>
              <w:t xml:space="preserve">  </w:t>
            </w:r>
          </w:p>
        </w:tc>
        <w:tc>
          <w:tcPr>
            <w:tcW w:w="2267" w:type="dxa"/>
            <w:vAlign w:val="center"/>
          </w:tcPr>
          <w:p w14:paraId="16467FC7" w14:textId="2F02BD80" w:rsidR="00752CBC" w:rsidRDefault="00752CBC" w:rsidP="002351DE">
            <w:pPr>
              <w:pStyle w:val="TableBody"/>
              <w:ind w:right="113"/>
              <w:jc w:val="right"/>
            </w:pPr>
            <w:r w:rsidRPr="008A5E65">
              <w:t>$5.20</w:t>
            </w:r>
          </w:p>
        </w:tc>
        <w:tc>
          <w:tcPr>
            <w:tcW w:w="2268" w:type="dxa"/>
            <w:vAlign w:val="center"/>
          </w:tcPr>
          <w:p w14:paraId="29A0B44F" w14:textId="26070606" w:rsidR="00752CBC" w:rsidRDefault="00752CBC" w:rsidP="002351DE">
            <w:pPr>
              <w:pStyle w:val="TableBody"/>
              <w:ind w:right="113"/>
              <w:jc w:val="right"/>
            </w:pPr>
            <w:r w:rsidRPr="008A5E65">
              <w:t>$2.43</w:t>
            </w:r>
          </w:p>
        </w:tc>
        <w:tc>
          <w:tcPr>
            <w:tcW w:w="2268" w:type="dxa"/>
            <w:vAlign w:val="center"/>
          </w:tcPr>
          <w:p w14:paraId="15320B53" w14:textId="30ADCFB5" w:rsidR="00752CBC" w:rsidRDefault="00752CBC" w:rsidP="002351DE">
            <w:pPr>
              <w:pStyle w:val="TableBody"/>
              <w:ind w:right="113"/>
              <w:jc w:val="right"/>
            </w:pPr>
            <w:r w:rsidRPr="008A5E65">
              <w:t>74.3</w:t>
            </w:r>
            <w:r w:rsidR="00072A0B">
              <w:t xml:space="preserve"> </w:t>
            </w:r>
            <w:r w:rsidRPr="008A5E65">
              <w:t>c/minute</w:t>
            </w:r>
          </w:p>
        </w:tc>
      </w:tr>
      <w:tr w:rsidR="00752CBC" w14:paraId="5D67409D"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7C71AEAC" w14:textId="77777777" w:rsidR="00752CBC" w:rsidRDefault="00752CBC" w:rsidP="00752CBC">
            <w:pPr>
              <w:pStyle w:val="TableBody"/>
            </w:pPr>
            <w:r w:rsidRPr="0F3B4C48">
              <w:rPr>
                <w:lang w:val="en-AU"/>
              </w:rPr>
              <w:t>Tasmania</w:t>
            </w:r>
            <w:r w:rsidRPr="0F3B4C48">
              <w:rPr>
                <w:b/>
                <w:bCs/>
                <w:vertAlign w:val="superscript"/>
                <w:lang w:val="en-AU"/>
              </w:rPr>
              <w:t xml:space="preserve">f </w:t>
            </w:r>
          </w:p>
        </w:tc>
        <w:tc>
          <w:tcPr>
            <w:tcW w:w="2267" w:type="dxa"/>
            <w:vAlign w:val="center"/>
          </w:tcPr>
          <w:p w14:paraId="3046E95B" w14:textId="383FA9E2" w:rsidR="00752CBC" w:rsidRDefault="00752CBC" w:rsidP="002351DE">
            <w:pPr>
              <w:pStyle w:val="TableBody"/>
              <w:ind w:right="113"/>
              <w:jc w:val="right"/>
            </w:pPr>
            <w:r w:rsidRPr="008A5E65">
              <w:t>$3.90</w:t>
            </w:r>
          </w:p>
        </w:tc>
        <w:tc>
          <w:tcPr>
            <w:tcW w:w="2268" w:type="dxa"/>
            <w:vAlign w:val="center"/>
          </w:tcPr>
          <w:p w14:paraId="2B731F0D" w14:textId="2A9E4087" w:rsidR="00752CBC" w:rsidRDefault="00752CBC" w:rsidP="002351DE">
            <w:pPr>
              <w:pStyle w:val="TableBody"/>
              <w:ind w:right="113"/>
              <w:jc w:val="right"/>
            </w:pPr>
            <w:r w:rsidRPr="008A5E65">
              <w:t>$2.54</w:t>
            </w:r>
          </w:p>
        </w:tc>
        <w:tc>
          <w:tcPr>
            <w:tcW w:w="2268" w:type="dxa"/>
            <w:vAlign w:val="center"/>
          </w:tcPr>
          <w:p w14:paraId="7A7B0B23" w14:textId="4F375B72" w:rsidR="00752CBC" w:rsidRDefault="00752CBC" w:rsidP="002351DE">
            <w:pPr>
              <w:pStyle w:val="TableBody"/>
              <w:ind w:right="113"/>
              <w:jc w:val="right"/>
            </w:pPr>
            <w:r w:rsidRPr="008A5E65">
              <w:t>64.0</w:t>
            </w:r>
            <w:r w:rsidR="00072A0B">
              <w:t xml:space="preserve"> </w:t>
            </w:r>
            <w:r w:rsidRPr="008A5E65">
              <w:t>c/minute</w:t>
            </w:r>
          </w:p>
        </w:tc>
      </w:tr>
      <w:tr w:rsidR="00752CBC" w14:paraId="1D251B91" w14:textId="77777777" w:rsidTr="0F3B4C48">
        <w:trPr>
          <w:cnfStyle w:val="000000100000" w:firstRow="0" w:lastRow="0" w:firstColumn="0" w:lastColumn="0" w:oddVBand="0" w:evenVBand="0" w:oddHBand="1" w:evenHBand="0" w:firstRowFirstColumn="0" w:firstRowLastColumn="0" w:lastRowFirstColumn="0" w:lastRowLastColumn="0"/>
        </w:trPr>
        <w:tc>
          <w:tcPr>
            <w:tcW w:w="2835" w:type="dxa"/>
          </w:tcPr>
          <w:p w14:paraId="5D26AD76" w14:textId="6318C144" w:rsidR="00752CBC" w:rsidRDefault="00752CBC" w:rsidP="00752CBC">
            <w:pPr>
              <w:pStyle w:val="TableBody"/>
            </w:pPr>
            <w:r w:rsidRPr="0F3B4C48">
              <w:rPr>
                <w:lang w:val="en-AU"/>
              </w:rPr>
              <w:t>Victoria</w:t>
            </w:r>
            <w:r w:rsidRPr="0F3B4C48">
              <w:rPr>
                <w:b/>
                <w:bCs/>
                <w:vertAlign w:val="superscript"/>
                <w:lang w:val="en-AU"/>
              </w:rPr>
              <w:t>g</w:t>
            </w:r>
            <w:r w:rsidRPr="0F3B4C48">
              <w:rPr>
                <w:lang w:val="en-AU"/>
              </w:rPr>
              <w:t xml:space="preserve"> </w:t>
            </w:r>
          </w:p>
        </w:tc>
        <w:tc>
          <w:tcPr>
            <w:tcW w:w="2267" w:type="dxa"/>
            <w:vAlign w:val="center"/>
          </w:tcPr>
          <w:p w14:paraId="2FD96D52" w14:textId="7CF25527" w:rsidR="00752CBC" w:rsidRDefault="00752CBC" w:rsidP="002351DE">
            <w:pPr>
              <w:pStyle w:val="TableBody"/>
              <w:ind w:right="113"/>
              <w:jc w:val="right"/>
            </w:pPr>
            <w:r w:rsidRPr="008A5E65">
              <w:t>$6.05</w:t>
            </w:r>
          </w:p>
        </w:tc>
        <w:tc>
          <w:tcPr>
            <w:tcW w:w="2268" w:type="dxa"/>
            <w:vAlign w:val="center"/>
          </w:tcPr>
          <w:p w14:paraId="4343BA61" w14:textId="2B8D7D50" w:rsidR="00752CBC" w:rsidRDefault="00752CBC" w:rsidP="002351DE">
            <w:pPr>
              <w:pStyle w:val="TableBody"/>
              <w:ind w:right="113"/>
              <w:jc w:val="right"/>
            </w:pPr>
            <w:r w:rsidRPr="008A5E65">
              <w:t>$2.09</w:t>
            </w:r>
          </w:p>
        </w:tc>
        <w:tc>
          <w:tcPr>
            <w:tcW w:w="2268" w:type="dxa"/>
            <w:vAlign w:val="center"/>
          </w:tcPr>
          <w:p w14:paraId="1852020B" w14:textId="2B75BC5F" w:rsidR="00752CBC" w:rsidRDefault="00752CBC" w:rsidP="002351DE">
            <w:pPr>
              <w:pStyle w:val="TableBody"/>
              <w:ind w:right="113"/>
              <w:jc w:val="right"/>
            </w:pPr>
            <w:r w:rsidRPr="008A5E65">
              <w:t>65.8</w:t>
            </w:r>
            <w:r w:rsidR="00072A0B">
              <w:t xml:space="preserve"> </w:t>
            </w:r>
            <w:r w:rsidRPr="008A5E65">
              <w:t>c/minute</w:t>
            </w:r>
          </w:p>
        </w:tc>
      </w:tr>
      <w:tr w:rsidR="00752CBC" w14:paraId="135E1D89" w14:textId="77777777" w:rsidTr="0F3B4C48">
        <w:trPr>
          <w:cnfStyle w:val="000000010000" w:firstRow="0" w:lastRow="0" w:firstColumn="0" w:lastColumn="0" w:oddVBand="0" w:evenVBand="0" w:oddHBand="0" w:evenHBand="1" w:firstRowFirstColumn="0" w:firstRowLastColumn="0" w:lastRowFirstColumn="0" w:lastRowLastColumn="0"/>
        </w:trPr>
        <w:tc>
          <w:tcPr>
            <w:tcW w:w="2835" w:type="dxa"/>
          </w:tcPr>
          <w:p w14:paraId="339F4CAA" w14:textId="77777777" w:rsidR="00752CBC" w:rsidRDefault="00752CBC" w:rsidP="00752CBC">
            <w:pPr>
              <w:pStyle w:val="TableBody"/>
            </w:pPr>
            <w:r w:rsidRPr="0F3B4C48">
              <w:rPr>
                <w:lang w:val="en-AU"/>
              </w:rPr>
              <w:t>Western Australia</w:t>
            </w:r>
            <w:r w:rsidRPr="0F3B4C48">
              <w:rPr>
                <w:b/>
                <w:bCs/>
                <w:vertAlign w:val="superscript"/>
                <w:lang w:val="en-AU"/>
              </w:rPr>
              <w:t>h</w:t>
            </w:r>
            <w:r w:rsidRPr="0F3B4C48">
              <w:rPr>
                <w:lang w:val="en-AU"/>
              </w:rPr>
              <w:t xml:space="preserve"> </w:t>
            </w:r>
          </w:p>
        </w:tc>
        <w:tc>
          <w:tcPr>
            <w:tcW w:w="2267" w:type="dxa"/>
            <w:vAlign w:val="center"/>
          </w:tcPr>
          <w:p w14:paraId="014CD813" w14:textId="335472D4" w:rsidR="00752CBC" w:rsidRDefault="00752CBC" w:rsidP="002351DE">
            <w:pPr>
              <w:pStyle w:val="TableBody"/>
              <w:ind w:right="113"/>
              <w:jc w:val="right"/>
            </w:pPr>
            <w:r w:rsidRPr="008A5E65">
              <w:t>$7.</w:t>
            </w:r>
            <w:r w:rsidR="00501CCA">
              <w:t>7</w:t>
            </w:r>
            <w:r w:rsidRPr="008A5E65">
              <w:t>0</w:t>
            </w:r>
          </w:p>
        </w:tc>
        <w:tc>
          <w:tcPr>
            <w:tcW w:w="2268" w:type="dxa"/>
            <w:vAlign w:val="center"/>
          </w:tcPr>
          <w:p w14:paraId="7C09FADC" w14:textId="35609EEF" w:rsidR="00752CBC" w:rsidRDefault="00752CBC" w:rsidP="002351DE">
            <w:pPr>
              <w:pStyle w:val="TableBody"/>
              <w:ind w:right="113"/>
              <w:jc w:val="right"/>
            </w:pPr>
            <w:r w:rsidRPr="008A5E65">
              <w:t>$2.</w:t>
            </w:r>
            <w:r w:rsidR="004D028F">
              <w:t>13</w:t>
            </w:r>
          </w:p>
        </w:tc>
        <w:tc>
          <w:tcPr>
            <w:tcW w:w="2268" w:type="dxa"/>
            <w:vAlign w:val="center"/>
          </w:tcPr>
          <w:p w14:paraId="25E9BF56" w14:textId="6C4BB7CC" w:rsidR="00752CBC" w:rsidRDefault="003857B2" w:rsidP="002351DE">
            <w:pPr>
              <w:pStyle w:val="TableBody"/>
              <w:ind w:right="113"/>
              <w:jc w:val="right"/>
            </w:pPr>
            <w:r>
              <w:t>101.7</w:t>
            </w:r>
            <w:r w:rsidR="00072A0B">
              <w:t xml:space="preserve"> </w:t>
            </w:r>
            <w:r w:rsidR="00752CBC" w:rsidRPr="008A5E65">
              <w:t>c/minute</w:t>
            </w:r>
          </w:p>
        </w:tc>
      </w:tr>
    </w:tbl>
    <w:p w14:paraId="6B455955" w14:textId="12D0BDBC" w:rsidR="00DE730F" w:rsidRDefault="00DE730F" w:rsidP="00DE730F">
      <w:pPr>
        <w:pStyle w:val="Source"/>
        <w:jc w:val="left"/>
      </w:pPr>
      <w:r w:rsidRPr="00CC2330">
        <w:rPr>
          <w:b/>
          <w:bCs/>
          <w:vertAlign w:val="superscript"/>
        </w:rPr>
        <w:t>a</w:t>
      </w:r>
      <w:r>
        <w:t xml:space="preserve"> Australian Capital Territory, Road transport (Public Passenger Services) maximum fares for taxi services determination 2023 (No 1), Accessed </w:t>
      </w:r>
      <w:r w:rsidR="00F52DD1">
        <w:t>18 July</w:t>
      </w:r>
      <w:r>
        <w:t xml:space="preserve"> 2024, (</w:t>
      </w:r>
      <w:hyperlink r:id="rId40" w:history="1">
        <w:r w:rsidRPr="006871C1">
          <w:rPr>
            <w:rStyle w:val="Hyperlink"/>
          </w:rPr>
          <w:t>actcabs.com.au</w:t>
        </w:r>
      </w:hyperlink>
      <w:r>
        <w:t xml:space="preserve">). </w:t>
      </w:r>
      <w:r w:rsidRPr="00CC2330">
        <w:rPr>
          <w:b/>
          <w:bCs/>
          <w:vertAlign w:val="superscript"/>
        </w:rPr>
        <w:t>b</w:t>
      </w:r>
      <w:r>
        <w:t xml:space="preserve"> Point to point transport (Fares) Order 2023 under the </w:t>
      </w:r>
      <w:r w:rsidRPr="000C5CF8">
        <w:rPr>
          <w:i/>
        </w:rPr>
        <w:t>Point to Point Transport (Taxis and Hire Vehicles) Act 2016</w:t>
      </w:r>
      <w:r>
        <w:t xml:space="preserve">, Accessed </w:t>
      </w:r>
      <w:r w:rsidR="00F52DD1">
        <w:t>18 July</w:t>
      </w:r>
      <w:r>
        <w:t xml:space="preserve"> 2024, Rank and hail taxi fares and charges | </w:t>
      </w:r>
      <w:hyperlink r:id="rId41" w:history="1">
        <w:r w:rsidRPr="00155028">
          <w:rPr>
            <w:rStyle w:val="Hyperlink"/>
          </w:rPr>
          <w:t>transportnsw.info</w:t>
        </w:r>
      </w:hyperlink>
      <w:r>
        <w:t xml:space="preserve">. </w:t>
      </w:r>
      <w:r w:rsidRPr="00CC2330">
        <w:rPr>
          <w:b/>
          <w:bCs/>
          <w:vertAlign w:val="superscript"/>
        </w:rPr>
        <w:t>c</w:t>
      </w:r>
      <w:r>
        <w:t xml:space="preserve"> Northern Territory, Taxi areas, meters and fares, Accessed </w:t>
      </w:r>
      <w:r w:rsidR="00F52DD1">
        <w:t>18 July</w:t>
      </w:r>
      <w:r>
        <w:t xml:space="preserve"> 2024, Taxi areas, meters and fares | </w:t>
      </w:r>
      <w:hyperlink r:id="rId42" w:history="1">
        <w:r w:rsidRPr="00B74720">
          <w:rPr>
            <w:rStyle w:val="Hyperlink"/>
          </w:rPr>
          <w:t>NT.GOV.AU</w:t>
        </w:r>
      </w:hyperlink>
      <w:r>
        <w:t xml:space="preserve">. </w:t>
      </w:r>
      <w:r w:rsidRPr="00CC2330">
        <w:rPr>
          <w:b/>
          <w:bCs/>
          <w:vertAlign w:val="superscript"/>
        </w:rPr>
        <w:t>d</w:t>
      </w:r>
      <w:r>
        <w:t xml:space="preserve"> Queensland Government Department of Transport and Main Roads, Maximum taxi fares notices (No. 1) 2023 under </w:t>
      </w:r>
      <w:r w:rsidRPr="000C5CF8">
        <w:rPr>
          <w:i/>
        </w:rPr>
        <w:t>Transport Operations (Passenger Transport) Act 1994</w:t>
      </w:r>
      <w:r>
        <w:t xml:space="preserve">, Accessed </w:t>
      </w:r>
      <w:r w:rsidR="00F52DD1">
        <w:t>18 July</w:t>
      </w:r>
      <w:r>
        <w:t xml:space="preserve"> 2024 | </w:t>
      </w:r>
      <w:hyperlink r:id="rId43" w:history="1">
        <w:r w:rsidRPr="00FD7549">
          <w:rPr>
            <w:rStyle w:val="Hyperlink"/>
          </w:rPr>
          <w:t>publications.qld.gov.au</w:t>
        </w:r>
      </w:hyperlink>
      <w:r>
        <w:t xml:space="preserve">. </w:t>
      </w:r>
      <w:r w:rsidRPr="00CC2330">
        <w:rPr>
          <w:b/>
          <w:bCs/>
          <w:vertAlign w:val="superscript"/>
        </w:rPr>
        <w:t>e</w:t>
      </w:r>
      <w:r>
        <w:t> South Australia, Taxis, Accessed 20 May 2024,</w:t>
      </w:r>
      <w:r w:rsidRPr="00193D2A">
        <w:t xml:space="preserve"> </w:t>
      </w:r>
      <w:hyperlink w:history="1">
        <w:r w:rsidRPr="007734CC">
          <w:rPr>
            <w:rStyle w:val="Hyperlink"/>
          </w:rPr>
          <w:t>SA.GOV.AU – Taxis (www.sa.gov.au)</w:t>
        </w:r>
      </w:hyperlink>
      <w:r>
        <w:t xml:space="preserve">. </w:t>
      </w:r>
      <w:r w:rsidRPr="00CC2330">
        <w:rPr>
          <w:b/>
          <w:bCs/>
          <w:vertAlign w:val="superscript"/>
        </w:rPr>
        <w:t>f</w:t>
      </w:r>
      <w:r>
        <w:t xml:space="preserve"> Tasmania Transport Services, Calculating your fare, Accessed </w:t>
      </w:r>
      <w:r w:rsidR="00F52DD1">
        <w:t>18 July</w:t>
      </w:r>
      <w:r>
        <w:t xml:space="preserve"> 2024, </w:t>
      </w:r>
      <w:hyperlink r:id="rId44" w:history="1">
        <w:r w:rsidRPr="000609B7">
          <w:rPr>
            <w:rStyle w:val="Hyperlink"/>
          </w:rPr>
          <w:t>Calculating your fare – Transport Services</w:t>
        </w:r>
      </w:hyperlink>
      <w:r>
        <w:t xml:space="preserve">. </w:t>
      </w:r>
      <w:r w:rsidRPr="00CC2330">
        <w:rPr>
          <w:b/>
          <w:bCs/>
          <w:vertAlign w:val="superscript"/>
        </w:rPr>
        <w:t>g</w:t>
      </w:r>
      <w:r>
        <w:t xml:space="preserve"> Essential Services Commission 2023, Unbooked Taxi Fare Annual Adjustment 2023: Commission assessment, 24 August, | </w:t>
      </w:r>
      <w:hyperlink r:id="rId45" w:history="1">
        <w:r w:rsidRPr="001644A9">
          <w:rPr>
            <w:rStyle w:val="Hyperlink"/>
          </w:rPr>
          <w:t>esc.vic.gov.au</w:t>
        </w:r>
      </w:hyperlink>
      <w:r>
        <w:t xml:space="preserve">. </w:t>
      </w:r>
      <w:r w:rsidRPr="00CC2330">
        <w:rPr>
          <w:b/>
          <w:bCs/>
          <w:vertAlign w:val="superscript"/>
        </w:rPr>
        <w:t>h</w:t>
      </w:r>
      <w:r>
        <w:t xml:space="preserve">  Western Australia Department of Transport, On-demand rank or hail fares, Accessed </w:t>
      </w:r>
      <w:r w:rsidR="00F52DD1">
        <w:t>18 July</w:t>
      </w:r>
      <w:r>
        <w:t xml:space="preserve"> 2024, </w:t>
      </w:r>
      <w:hyperlink r:id="rId46" w:history="1">
        <w:r w:rsidRPr="009E3B42">
          <w:rPr>
            <w:rStyle w:val="Hyperlink"/>
          </w:rPr>
          <w:t>On-demand rank or hail (taxi) fares (transport.wa.gov.au</w:t>
        </w:r>
      </w:hyperlink>
      <w:r>
        <w:t>).</w:t>
      </w:r>
    </w:p>
    <w:p w14:paraId="1C223DF6" w14:textId="3B35CCA1" w:rsidR="00103F62" w:rsidRDefault="00103F62" w:rsidP="002351DE">
      <w:pPr>
        <w:pStyle w:val="Heading3"/>
      </w:pPr>
      <w:bookmarkStart w:id="225" w:name="_Toc167780326"/>
      <w:bookmarkStart w:id="226" w:name="_Toc173691410"/>
      <w:bookmarkStart w:id="227" w:name="_Toc174692689"/>
      <w:r>
        <w:t>Approach</w:t>
      </w:r>
      <w:r w:rsidR="00EA5317">
        <w:t>es</w:t>
      </w:r>
      <w:r>
        <w:t xml:space="preserve"> to setting maximum taxi fares differ</w:t>
      </w:r>
      <w:bookmarkEnd w:id="225"/>
      <w:bookmarkEnd w:id="226"/>
      <w:bookmarkEnd w:id="227"/>
    </w:p>
    <w:p w14:paraId="68AFC5C1" w14:textId="77777777" w:rsidR="00103F62" w:rsidRDefault="00103F62" w:rsidP="002351DE">
      <w:r>
        <w:t xml:space="preserve">Approaches to setting maximum taxi fares vary across jurisdictions, but the most commonly used approach is either to index fares directly to CPI inflation, or to use a taxi cost index to adjust fares by changes in taxi operating costs over time. </w:t>
      </w:r>
    </w:p>
    <w:p w14:paraId="3A427094" w14:textId="6028F1DC" w:rsidR="00103F62" w:rsidRDefault="00103F62" w:rsidP="002351DE">
      <w:r>
        <w:t xml:space="preserve">In Victoria, fares are adjusted using a taxi cost index. A comparison of fare setting methodologies is shown in </w:t>
      </w:r>
      <w:r w:rsidR="003C252F">
        <w:t>T</w:t>
      </w:r>
      <w:r>
        <w:t xml:space="preserve">able </w:t>
      </w:r>
      <w:r w:rsidR="008764D4">
        <w:t>C</w:t>
      </w:r>
      <w:r>
        <w:t xml:space="preserve">.4, including the years fares were last increased. </w:t>
      </w:r>
    </w:p>
    <w:p w14:paraId="18988C9D" w14:textId="77777777" w:rsidR="00381390" w:rsidRDefault="00381390">
      <w:pPr>
        <w:spacing w:before="0" w:line="259" w:lineRule="auto"/>
        <w:rPr>
          <w:rFonts w:asciiTheme="majorHAnsi" w:eastAsiaTheme="majorEastAsia" w:hAnsiTheme="majorHAnsi" w:cstheme="majorBidi"/>
          <w:b/>
          <w:color w:val="4986A0" w:themeColor="text2"/>
          <w:szCs w:val="24"/>
          <w:lang w:val="en-US"/>
        </w:rPr>
      </w:pPr>
      <w:r>
        <w:br w:type="page"/>
      </w:r>
    </w:p>
    <w:p w14:paraId="3F3FA1AC" w14:textId="6B82B0DA" w:rsidR="00FD4F42" w:rsidRDefault="00103F62" w:rsidP="00103F62">
      <w:pPr>
        <w:pStyle w:val="Figure-Table-BoxHeading"/>
        <w:ind w:left="0" w:firstLine="0"/>
      </w:pPr>
      <w:r w:rsidRPr="76FEA507">
        <w:rPr>
          <w:lang w:val="en-AU"/>
        </w:rPr>
        <w:lastRenderedPageBreak/>
        <w:t xml:space="preserve">Table </w:t>
      </w:r>
      <w:r w:rsidR="008764D4" w:rsidRPr="76FEA507">
        <w:rPr>
          <w:lang w:val="en-AU"/>
        </w:rPr>
        <w:t>C</w:t>
      </w:r>
      <w:r w:rsidRPr="76FEA507">
        <w:rPr>
          <w:lang w:val="en-AU"/>
        </w:rPr>
        <w:t>.4</w:t>
      </w:r>
      <w:r>
        <w:tab/>
      </w:r>
      <w:r w:rsidRPr="76FEA507">
        <w:rPr>
          <w:lang w:val="en-AU"/>
        </w:rPr>
        <w:t xml:space="preserve">Approach to setting maximum fares, as </w:t>
      </w:r>
      <w:r w:rsidR="00564C55" w:rsidRPr="76FEA507">
        <w:rPr>
          <w:lang w:val="en-AU"/>
        </w:rPr>
        <w:t xml:space="preserve">at </w:t>
      </w:r>
      <w:r w:rsidR="00042A98" w:rsidRPr="76FEA507">
        <w:rPr>
          <w:lang w:val="en-AU"/>
        </w:rPr>
        <w:t>July</w:t>
      </w:r>
      <w:r w:rsidRPr="76FEA507">
        <w:rPr>
          <w:lang w:val="en-AU"/>
        </w:rPr>
        <w:t xml:space="preserve"> 2024</w:t>
      </w:r>
    </w:p>
    <w:tbl>
      <w:tblPr>
        <w:tblStyle w:val="TableGrid"/>
        <w:tblW w:w="0" w:type="auto"/>
        <w:tblLook w:val="04A0" w:firstRow="1" w:lastRow="0" w:firstColumn="1" w:lastColumn="0" w:noHBand="0" w:noVBand="1"/>
      </w:tblPr>
      <w:tblGrid>
        <w:gridCol w:w="3212"/>
        <w:gridCol w:w="3213"/>
        <w:gridCol w:w="3213"/>
      </w:tblGrid>
      <w:tr w:rsidR="00D532E0" w14:paraId="6A186ABF" w14:textId="77777777" w:rsidTr="0F3B4C48">
        <w:trPr>
          <w:cnfStyle w:val="100000000000" w:firstRow="1" w:lastRow="0" w:firstColumn="0" w:lastColumn="0" w:oddVBand="0" w:evenVBand="0" w:oddHBand="0" w:evenHBand="0" w:firstRowFirstColumn="0" w:firstRowLastColumn="0" w:lastRowFirstColumn="0" w:lastRowLastColumn="0"/>
        </w:trPr>
        <w:tc>
          <w:tcPr>
            <w:tcW w:w="3212" w:type="dxa"/>
          </w:tcPr>
          <w:p w14:paraId="616A4474" w14:textId="69520360" w:rsidR="00D532E0" w:rsidRDefault="00D532E0" w:rsidP="002351DE">
            <w:pPr>
              <w:pStyle w:val="TableHeading"/>
            </w:pPr>
            <w:r w:rsidRPr="0F3B4C48">
              <w:rPr>
                <w:lang w:val="en-AU"/>
              </w:rPr>
              <w:t xml:space="preserve">Jurisdiction </w:t>
            </w:r>
          </w:p>
        </w:tc>
        <w:tc>
          <w:tcPr>
            <w:tcW w:w="3213" w:type="dxa"/>
            <w:vAlign w:val="center"/>
          </w:tcPr>
          <w:p w14:paraId="44D111B3" w14:textId="42228A1B" w:rsidR="00D532E0" w:rsidRDefault="00D532E0" w:rsidP="002351DE">
            <w:pPr>
              <w:pStyle w:val="TableHeading"/>
              <w:jc w:val="center"/>
            </w:pPr>
            <w:r w:rsidRPr="000E6891">
              <w:t xml:space="preserve">Last </w:t>
            </w:r>
            <w:r w:rsidR="00A734AA">
              <w:t>i</w:t>
            </w:r>
            <w:r w:rsidRPr="000E6891">
              <w:t>ncrease to maximum fares</w:t>
            </w:r>
          </w:p>
        </w:tc>
        <w:tc>
          <w:tcPr>
            <w:tcW w:w="3213" w:type="dxa"/>
            <w:vAlign w:val="center"/>
          </w:tcPr>
          <w:p w14:paraId="23A0C7A9" w14:textId="7EE2E7D9" w:rsidR="00D532E0" w:rsidRDefault="00D532E0" w:rsidP="002351DE">
            <w:pPr>
              <w:pStyle w:val="TableHeading"/>
              <w:jc w:val="center"/>
            </w:pPr>
            <w:r w:rsidRPr="000E6891">
              <w:t>Approach to setting fares</w:t>
            </w:r>
          </w:p>
        </w:tc>
      </w:tr>
      <w:tr w:rsidR="00E33042" w14:paraId="33172D44" w14:textId="77777777" w:rsidTr="0F3B4C48">
        <w:trPr>
          <w:cnfStyle w:val="000000100000" w:firstRow="0" w:lastRow="0" w:firstColumn="0" w:lastColumn="0" w:oddVBand="0" w:evenVBand="0" w:oddHBand="1" w:evenHBand="0" w:firstRowFirstColumn="0" w:firstRowLastColumn="0" w:lastRowFirstColumn="0" w:lastRowLastColumn="0"/>
        </w:trPr>
        <w:tc>
          <w:tcPr>
            <w:tcW w:w="3212" w:type="dxa"/>
          </w:tcPr>
          <w:p w14:paraId="45C3FEBF" w14:textId="493C4038" w:rsidR="00E33042" w:rsidRDefault="00E33042" w:rsidP="002351DE">
            <w:pPr>
              <w:pStyle w:val="TableBody"/>
            </w:pPr>
            <w:r w:rsidRPr="00CC3700">
              <w:t>Australian Capital Territory</w:t>
            </w:r>
          </w:p>
        </w:tc>
        <w:tc>
          <w:tcPr>
            <w:tcW w:w="3213" w:type="dxa"/>
            <w:vAlign w:val="center"/>
          </w:tcPr>
          <w:p w14:paraId="0B10CBAB" w14:textId="2EC3A6EA" w:rsidR="00E33042" w:rsidRDefault="00E33042" w:rsidP="002351DE">
            <w:pPr>
              <w:pStyle w:val="TableBody"/>
              <w:jc w:val="center"/>
            </w:pPr>
            <w:r w:rsidRPr="00CC3700">
              <w:t>2023</w:t>
            </w:r>
          </w:p>
        </w:tc>
        <w:tc>
          <w:tcPr>
            <w:tcW w:w="3213" w:type="dxa"/>
            <w:vAlign w:val="center"/>
          </w:tcPr>
          <w:p w14:paraId="1E621047" w14:textId="53B60C72" w:rsidR="00E33042" w:rsidRDefault="00E33042" w:rsidP="002351DE">
            <w:pPr>
              <w:pStyle w:val="TableBody"/>
              <w:jc w:val="center"/>
            </w:pPr>
            <w:r w:rsidRPr="00CC3700">
              <w:t>CPI</w:t>
            </w:r>
          </w:p>
        </w:tc>
      </w:tr>
      <w:tr w:rsidR="00E33042" w14:paraId="3C6B6E8D" w14:textId="77777777" w:rsidTr="0F3B4C48">
        <w:trPr>
          <w:cnfStyle w:val="000000010000" w:firstRow="0" w:lastRow="0" w:firstColumn="0" w:lastColumn="0" w:oddVBand="0" w:evenVBand="0" w:oddHBand="0" w:evenHBand="1" w:firstRowFirstColumn="0" w:firstRowLastColumn="0" w:lastRowFirstColumn="0" w:lastRowLastColumn="0"/>
        </w:trPr>
        <w:tc>
          <w:tcPr>
            <w:tcW w:w="3212" w:type="dxa"/>
          </w:tcPr>
          <w:p w14:paraId="1B304965" w14:textId="0A084CFB" w:rsidR="00E33042" w:rsidRDefault="00E33042" w:rsidP="002351DE">
            <w:pPr>
              <w:pStyle w:val="TableBody"/>
            </w:pPr>
            <w:r w:rsidRPr="00CC3700">
              <w:t>Tasmania</w:t>
            </w:r>
          </w:p>
        </w:tc>
        <w:tc>
          <w:tcPr>
            <w:tcW w:w="3213" w:type="dxa"/>
            <w:vAlign w:val="center"/>
          </w:tcPr>
          <w:p w14:paraId="267C6A4E" w14:textId="7B7DEB4F" w:rsidR="00E33042" w:rsidRDefault="00E33042" w:rsidP="002351DE">
            <w:pPr>
              <w:pStyle w:val="TableBody"/>
              <w:jc w:val="center"/>
            </w:pPr>
            <w:r w:rsidRPr="00CC3700">
              <w:t>2022</w:t>
            </w:r>
          </w:p>
        </w:tc>
        <w:tc>
          <w:tcPr>
            <w:tcW w:w="3213" w:type="dxa"/>
            <w:vAlign w:val="center"/>
          </w:tcPr>
          <w:p w14:paraId="0E06F82C" w14:textId="28B92365" w:rsidR="00E33042" w:rsidRDefault="00E33042" w:rsidP="002351DE">
            <w:pPr>
              <w:pStyle w:val="TableBody"/>
              <w:jc w:val="center"/>
            </w:pPr>
            <w:r w:rsidRPr="00CC3700">
              <w:t>Index</w:t>
            </w:r>
          </w:p>
        </w:tc>
      </w:tr>
      <w:tr w:rsidR="00E33042" w14:paraId="37C18A1C" w14:textId="77777777" w:rsidTr="0F3B4C48">
        <w:trPr>
          <w:cnfStyle w:val="000000100000" w:firstRow="0" w:lastRow="0" w:firstColumn="0" w:lastColumn="0" w:oddVBand="0" w:evenVBand="0" w:oddHBand="1" w:evenHBand="0" w:firstRowFirstColumn="0" w:firstRowLastColumn="0" w:lastRowFirstColumn="0" w:lastRowLastColumn="0"/>
        </w:trPr>
        <w:tc>
          <w:tcPr>
            <w:tcW w:w="3212" w:type="dxa"/>
          </w:tcPr>
          <w:p w14:paraId="007CE467" w14:textId="618FB088" w:rsidR="00E33042" w:rsidRDefault="00E33042" w:rsidP="002351DE">
            <w:pPr>
              <w:pStyle w:val="TableBody"/>
            </w:pPr>
            <w:r w:rsidRPr="00CC3700">
              <w:t>Western Australia</w:t>
            </w:r>
          </w:p>
        </w:tc>
        <w:tc>
          <w:tcPr>
            <w:tcW w:w="3213" w:type="dxa"/>
            <w:vAlign w:val="center"/>
          </w:tcPr>
          <w:p w14:paraId="5252FA57" w14:textId="2C51C451" w:rsidR="00E33042" w:rsidRDefault="00E33042" w:rsidP="002351DE">
            <w:pPr>
              <w:pStyle w:val="TableBody"/>
              <w:jc w:val="center"/>
            </w:pPr>
            <w:r w:rsidRPr="00CC3700">
              <w:t>202</w:t>
            </w:r>
            <w:r w:rsidR="00F32007">
              <w:t>4</w:t>
            </w:r>
          </w:p>
        </w:tc>
        <w:tc>
          <w:tcPr>
            <w:tcW w:w="3213" w:type="dxa"/>
            <w:vAlign w:val="center"/>
          </w:tcPr>
          <w:p w14:paraId="545ABAEA" w14:textId="66AB5F07" w:rsidR="00E33042" w:rsidRDefault="00E33042" w:rsidP="002351DE">
            <w:pPr>
              <w:pStyle w:val="TableBody"/>
              <w:jc w:val="center"/>
            </w:pPr>
            <w:r w:rsidRPr="00CC3700">
              <w:t>Index</w:t>
            </w:r>
          </w:p>
        </w:tc>
      </w:tr>
      <w:tr w:rsidR="00E33042" w14:paraId="735B732B" w14:textId="77777777" w:rsidTr="0F3B4C48">
        <w:trPr>
          <w:cnfStyle w:val="000000010000" w:firstRow="0" w:lastRow="0" w:firstColumn="0" w:lastColumn="0" w:oddVBand="0" w:evenVBand="0" w:oddHBand="0" w:evenHBand="1" w:firstRowFirstColumn="0" w:firstRowLastColumn="0" w:lastRowFirstColumn="0" w:lastRowLastColumn="0"/>
        </w:trPr>
        <w:tc>
          <w:tcPr>
            <w:tcW w:w="3212" w:type="dxa"/>
          </w:tcPr>
          <w:p w14:paraId="16DC2B9E" w14:textId="57697525" w:rsidR="00E33042" w:rsidRDefault="00E33042" w:rsidP="002351DE">
            <w:pPr>
              <w:pStyle w:val="TableBody"/>
            </w:pPr>
            <w:r w:rsidRPr="00CC3700">
              <w:t>Northern Territory</w:t>
            </w:r>
          </w:p>
        </w:tc>
        <w:tc>
          <w:tcPr>
            <w:tcW w:w="3213" w:type="dxa"/>
            <w:vAlign w:val="center"/>
          </w:tcPr>
          <w:p w14:paraId="1781FEE7" w14:textId="7DEC77DB" w:rsidR="00E33042" w:rsidRDefault="00E33042" w:rsidP="002351DE">
            <w:pPr>
              <w:pStyle w:val="TableBody"/>
              <w:jc w:val="center"/>
            </w:pPr>
            <w:r w:rsidRPr="00CC3700">
              <w:t>202</w:t>
            </w:r>
            <w:r w:rsidR="00AD2F5B">
              <w:t>4</w:t>
            </w:r>
          </w:p>
        </w:tc>
        <w:tc>
          <w:tcPr>
            <w:tcW w:w="3213" w:type="dxa"/>
            <w:vAlign w:val="center"/>
          </w:tcPr>
          <w:p w14:paraId="711CA7BA" w14:textId="75B295A6" w:rsidR="00E33042" w:rsidRDefault="00E33042" w:rsidP="002351DE">
            <w:pPr>
              <w:pStyle w:val="TableBody"/>
              <w:jc w:val="center"/>
            </w:pPr>
            <w:r w:rsidRPr="00CC3700">
              <w:t>CPI</w:t>
            </w:r>
          </w:p>
        </w:tc>
      </w:tr>
      <w:tr w:rsidR="00E33042" w14:paraId="3503AD01" w14:textId="77777777" w:rsidTr="0F3B4C48">
        <w:trPr>
          <w:cnfStyle w:val="000000100000" w:firstRow="0" w:lastRow="0" w:firstColumn="0" w:lastColumn="0" w:oddVBand="0" w:evenVBand="0" w:oddHBand="1" w:evenHBand="0" w:firstRowFirstColumn="0" w:firstRowLastColumn="0" w:lastRowFirstColumn="0" w:lastRowLastColumn="0"/>
        </w:trPr>
        <w:tc>
          <w:tcPr>
            <w:tcW w:w="3212" w:type="dxa"/>
          </w:tcPr>
          <w:p w14:paraId="165E2858" w14:textId="5F240A59" w:rsidR="00E33042" w:rsidRDefault="00E33042" w:rsidP="002351DE">
            <w:pPr>
              <w:pStyle w:val="TableBody"/>
            </w:pPr>
            <w:r w:rsidRPr="00CC3700">
              <w:t xml:space="preserve">South Australia </w:t>
            </w:r>
          </w:p>
        </w:tc>
        <w:tc>
          <w:tcPr>
            <w:tcW w:w="3213" w:type="dxa"/>
            <w:vAlign w:val="center"/>
          </w:tcPr>
          <w:p w14:paraId="353E64DA" w14:textId="04ADDAB8" w:rsidR="00E33042" w:rsidRDefault="00E33042" w:rsidP="002351DE">
            <w:pPr>
              <w:pStyle w:val="TableBody"/>
              <w:jc w:val="center"/>
            </w:pPr>
            <w:r w:rsidRPr="00CC3700">
              <w:t>2023</w:t>
            </w:r>
          </w:p>
        </w:tc>
        <w:tc>
          <w:tcPr>
            <w:tcW w:w="3213" w:type="dxa"/>
            <w:vAlign w:val="center"/>
          </w:tcPr>
          <w:p w14:paraId="35AFD178" w14:textId="1CAC64EA" w:rsidR="00E33042" w:rsidRDefault="00E33042" w:rsidP="002351DE">
            <w:pPr>
              <w:pStyle w:val="TableBody"/>
              <w:jc w:val="center"/>
            </w:pPr>
            <w:r w:rsidRPr="00CC3700">
              <w:t>Index</w:t>
            </w:r>
          </w:p>
        </w:tc>
      </w:tr>
      <w:tr w:rsidR="00E33042" w14:paraId="715018C9" w14:textId="77777777" w:rsidTr="0F3B4C48">
        <w:trPr>
          <w:cnfStyle w:val="000000010000" w:firstRow="0" w:lastRow="0" w:firstColumn="0" w:lastColumn="0" w:oddVBand="0" w:evenVBand="0" w:oddHBand="0" w:evenHBand="1" w:firstRowFirstColumn="0" w:firstRowLastColumn="0" w:lastRowFirstColumn="0" w:lastRowLastColumn="0"/>
        </w:trPr>
        <w:tc>
          <w:tcPr>
            <w:tcW w:w="3212" w:type="dxa"/>
          </w:tcPr>
          <w:p w14:paraId="6910D2FB" w14:textId="1CA834F5" w:rsidR="00E33042" w:rsidRDefault="00E33042" w:rsidP="002351DE">
            <w:pPr>
              <w:pStyle w:val="TableBody"/>
            </w:pPr>
            <w:r w:rsidRPr="00CC3700">
              <w:t>New South Wales</w:t>
            </w:r>
          </w:p>
        </w:tc>
        <w:tc>
          <w:tcPr>
            <w:tcW w:w="3213" w:type="dxa"/>
            <w:vAlign w:val="center"/>
          </w:tcPr>
          <w:p w14:paraId="457ADC4C" w14:textId="7C046D92" w:rsidR="00E33042" w:rsidRDefault="00E33042" w:rsidP="002351DE">
            <w:pPr>
              <w:pStyle w:val="TableBody"/>
              <w:jc w:val="center"/>
            </w:pPr>
            <w:r w:rsidRPr="00CC3700">
              <w:t>2022</w:t>
            </w:r>
          </w:p>
        </w:tc>
        <w:tc>
          <w:tcPr>
            <w:tcW w:w="3213" w:type="dxa"/>
            <w:vAlign w:val="center"/>
          </w:tcPr>
          <w:p w14:paraId="156225C8" w14:textId="50EC80AF" w:rsidR="00E33042" w:rsidRDefault="00E33042" w:rsidP="002351DE">
            <w:pPr>
              <w:pStyle w:val="TableBody"/>
              <w:jc w:val="center"/>
            </w:pPr>
            <w:r w:rsidRPr="00CC3700">
              <w:t>Supply model</w:t>
            </w:r>
          </w:p>
        </w:tc>
      </w:tr>
      <w:tr w:rsidR="00E33042" w14:paraId="4343FA0E" w14:textId="77777777" w:rsidTr="0F3B4C48">
        <w:trPr>
          <w:cnfStyle w:val="000000100000" w:firstRow="0" w:lastRow="0" w:firstColumn="0" w:lastColumn="0" w:oddVBand="0" w:evenVBand="0" w:oddHBand="1" w:evenHBand="0" w:firstRowFirstColumn="0" w:firstRowLastColumn="0" w:lastRowFirstColumn="0" w:lastRowLastColumn="0"/>
        </w:trPr>
        <w:tc>
          <w:tcPr>
            <w:tcW w:w="3212" w:type="dxa"/>
          </w:tcPr>
          <w:p w14:paraId="28D3BA87" w14:textId="1C11A327" w:rsidR="00E33042" w:rsidRDefault="00E33042" w:rsidP="002351DE">
            <w:pPr>
              <w:pStyle w:val="TableBody"/>
            </w:pPr>
            <w:r w:rsidRPr="00CC3700">
              <w:t>Queensland</w:t>
            </w:r>
          </w:p>
        </w:tc>
        <w:tc>
          <w:tcPr>
            <w:tcW w:w="3213" w:type="dxa"/>
            <w:vAlign w:val="center"/>
          </w:tcPr>
          <w:p w14:paraId="5DA788E9" w14:textId="60711112" w:rsidR="00E33042" w:rsidRDefault="00E33042" w:rsidP="002351DE">
            <w:pPr>
              <w:pStyle w:val="TableBody"/>
              <w:jc w:val="center"/>
            </w:pPr>
            <w:r w:rsidRPr="00CC3700">
              <w:t>202</w:t>
            </w:r>
            <w:r w:rsidR="007B2406">
              <w:t>4</w:t>
            </w:r>
          </w:p>
        </w:tc>
        <w:tc>
          <w:tcPr>
            <w:tcW w:w="3213" w:type="dxa"/>
            <w:vAlign w:val="center"/>
          </w:tcPr>
          <w:p w14:paraId="7F3C3180" w14:textId="5D4F6A23" w:rsidR="00E33042" w:rsidRDefault="00E33042" w:rsidP="002351DE">
            <w:pPr>
              <w:pStyle w:val="TableBody"/>
              <w:jc w:val="center"/>
            </w:pPr>
            <w:r w:rsidRPr="00CC3700">
              <w:t>Index</w:t>
            </w:r>
          </w:p>
        </w:tc>
      </w:tr>
      <w:tr w:rsidR="00E33042" w14:paraId="071406BD" w14:textId="77777777" w:rsidTr="0F3B4C48">
        <w:trPr>
          <w:cnfStyle w:val="000000010000" w:firstRow="0" w:lastRow="0" w:firstColumn="0" w:lastColumn="0" w:oddVBand="0" w:evenVBand="0" w:oddHBand="0" w:evenHBand="1" w:firstRowFirstColumn="0" w:firstRowLastColumn="0" w:lastRowFirstColumn="0" w:lastRowLastColumn="0"/>
        </w:trPr>
        <w:tc>
          <w:tcPr>
            <w:tcW w:w="3212" w:type="dxa"/>
          </w:tcPr>
          <w:p w14:paraId="21DCBCFC" w14:textId="4AA7B753" w:rsidR="00E33042" w:rsidRDefault="00E33042" w:rsidP="002351DE">
            <w:pPr>
              <w:pStyle w:val="TableBody"/>
            </w:pPr>
            <w:r w:rsidRPr="00CC3700">
              <w:t>Victoria</w:t>
            </w:r>
          </w:p>
        </w:tc>
        <w:tc>
          <w:tcPr>
            <w:tcW w:w="3213" w:type="dxa"/>
            <w:vAlign w:val="center"/>
          </w:tcPr>
          <w:p w14:paraId="2C4AD77B" w14:textId="1F30D999" w:rsidR="00E33042" w:rsidRDefault="00E33042" w:rsidP="002351DE">
            <w:pPr>
              <w:pStyle w:val="TableBody"/>
              <w:jc w:val="center"/>
            </w:pPr>
            <w:r w:rsidRPr="00CC3700">
              <w:t>2023</w:t>
            </w:r>
          </w:p>
        </w:tc>
        <w:tc>
          <w:tcPr>
            <w:tcW w:w="3213" w:type="dxa"/>
            <w:vAlign w:val="center"/>
          </w:tcPr>
          <w:p w14:paraId="4E394B8C" w14:textId="30189262" w:rsidR="00E33042" w:rsidRDefault="00E33042" w:rsidP="002351DE">
            <w:pPr>
              <w:pStyle w:val="TableBody"/>
              <w:jc w:val="center"/>
            </w:pPr>
            <w:r w:rsidRPr="00CC3700">
              <w:t>Taxi cost index</w:t>
            </w:r>
          </w:p>
        </w:tc>
      </w:tr>
    </w:tbl>
    <w:p w14:paraId="1CD06354" w14:textId="77777777" w:rsidR="009E3B42" w:rsidRDefault="009E3B42" w:rsidP="00374CDF">
      <w:pPr>
        <w:pStyle w:val="Figure-Table-BoxHeading"/>
        <w:ind w:left="0" w:firstLine="0"/>
      </w:pPr>
    </w:p>
    <w:p w14:paraId="2880EBB2" w14:textId="77777777" w:rsidR="009E3B42" w:rsidRDefault="009E3B42" w:rsidP="00374CDF">
      <w:pPr>
        <w:pStyle w:val="Figure-Table-BoxHeading"/>
        <w:ind w:left="0" w:firstLine="0"/>
      </w:pPr>
    </w:p>
    <w:p w14:paraId="194E8F7A" w14:textId="77777777" w:rsidR="009E3B42" w:rsidRDefault="009E3B42" w:rsidP="00374CDF">
      <w:pPr>
        <w:pStyle w:val="Figure-Table-BoxHeading"/>
        <w:ind w:left="0" w:firstLine="0"/>
      </w:pPr>
    </w:p>
    <w:p w14:paraId="4ABF428A" w14:textId="77777777" w:rsidR="00FD4F42" w:rsidRDefault="00FD4F42" w:rsidP="00374CDF">
      <w:pPr>
        <w:pStyle w:val="Figure-Table-BoxHeading"/>
        <w:ind w:left="0" w:firstLine="0"/>
        <w:sectPr w:rsidR="00FD4F42" w:rsidSect="0053218D">
          <w:footerReference w:type="default" r:id="rId47"/>
          <w:type w:val="continuous"/>
          <w:pgSz w:w="11906" w:h="16838" w:code="9"/>
          <w:pgMar w:top="1134" w:right="1134" w:bottom="1134" w:left="1134" w:header="709" w:footer="692" w:gutter="0"/>
          <w:cols w:space="708"/>
          <w:docGrid w:linePitch="360"/>
        </w:sectPr>
      </w:pPr>
    </w:p>
    <w:p w14:paraId="2FF045D3" w14:textId="249C40FB" w:rsidR="00865ECE" w:rsidRDefault="00BD1852" w:rsidP="005E2A78">
      <w:pPr>
        <w:pStyle w:val="Heading1"/>
      </w:pPr>
      <w:bookmarkStart w:id="228" w:name="_Toc174692690"/>
      <w:bookmarkEnd w:id="176"/>
      <w:bookmarkEnd w:id="177"/>
      <w:bookmarkEnd w:id="178"/>
      <w:r w:rsidRPr="00BD1852">
        <w:lastRenderedPageBreak/>
        <w:t xml:space="preserve">Appendix </w:t>
      </w:r>
      <w:r w:rsidR="008764D4">
        <w:t>D</w:t>
      </w:r>
      <w:r w:rsidRPr="00BD1852">
        <w:t xml:space="preserve">: </w:t>
      </w:r>
      <w:r w:rsidR="009E2C6F">
        <w:t>Taxi non</w:t>
      </w:r>
      <w:r w:rsidR="009428E4">
        <w:t>-cash payment surcharging in other jurisdictions</w:t>
      </w:r>
      <w:bookmarkEnd w:id="228"/>
    </w:p>
    <w:p w14:paraId="7F4149D4" w14:textId="14D5FFF1" w:rsidR="00363410" w:rsidRDefault="00363410" w:rsidP="00363410">
      <w:r>
        <w:t xml:space="preserve">This </w:t>
      </w:r>
      <w:r w:rsidR="00797BC0">
        <w:t>A</w:t>
      </w:r>
      <w:r w:rsidR="009428E4">
        <w:t>ppendix</w:t>
      </w:r>
      <w:r>
        <w:t xml:space="preserve"> looks at regulation of </w:t>
      </w:r>
      <w:r w:rsidR="00F721F2">
        <w:t>non</w:t>
      </w:r>
      <w:r w:rsidR="00F721F2">
        <w:noBreakHyphen/>
        <w:t>cash</w:t>
      </w:r>
      <w:r>
        <w:t xml:space="preserve"> payments in taxis in other jurisdictions. We note that surcharges for </w:t>
      </w:r>
      <w:r w:rsidR="00F721F2">
        <w:t>non</w:t>
      </w:r>
      <w:r w:rsidR="00F721F2">
        <w:noBreakHyphen/>
        <w:t>cash</w:t>
      </w:r>
      <w:r>
        <w:t xml:space="preserve"> payments are not permitted in the European Union and the United Kingdom. In the United States, surcharges are only permitted for credit card transactions but not debit cards. </w:t>
      </w:r>
    </w:p>
    <w:p w14:paraId="06BA3A56" w14:textId="77777777" w:rsidR="00363410" w:rsidRDefault="00363410" w:rsidP="00E133CC">
      <w:pPr>
        <w:pStyle w:val="Heading3"/>
      </w:pPr>
      <w:bookmarkStart w:id="229" w:name="_Toc166654711"/>
      <w:bookmarkStart w:id="230" w:name="_Toc166662266"/>
      <w:bookmarkStart w:id="231" w:name="_Toc166669830"/>
      <w:bookmarkStart w:id="232" w:name="_Toc166678895"/>
      <w:bookmarkStart w:id="233" w:name="_Toc167345850"/>
      <w:bookmarkStart w:id="234" w:name="_Toc167346544"/>
      <w:bookmarkStart w:id="235" w:name="_Toc167780341"/>
      <w:bookmarkStart w:id="236" w:name="_Toc173691425"/>
      <w:bookmarkStart w:id="237" w:name="_Toc174692691"/>
      <w:r>
        <w:t>The fees charged in other jurisdictions</w:t>
      </w:r>
      <w:bookmarkEnd w:id="229"/>
      <w:bookmarkEnd w:id="230"/>
      <w:bookmarkEnd w:id="231"/>
      <w:bookmarkEnd w:id="232"/>
      <w:bookmarkEnd w:id="233"/>
      <w:bookmarkEnd w:id="234"/>
      <w:bookmarkEnd w:id="235"/>
      <w:bookmarkEnd w:id="236"/>
      <w:bookmarkEnd w:id="237"/>
    </w:p>
    <w:p w14:paraId="315CB382" w14:textId="41DF0B4E" w:rsidR="00363410" w:rsidRDefault="00363410" w:rsidP="00363410">
      <w:r>
        <w:t xml:space="preserve">Table </w:t>
      </w:r>
      <w:r w:rsidR="008764D4">
        <w:t>D</w:t>
      </w:r>
      <w:r>
        <w:t xml:space="preserve">.1 shows the </w:t>
      </w:r>
      <w:r w:rsidR="00F721F2">
        <w:t>non</w:t>
      </w:r>
      <w:r w:rsidR="00F721F2">
        <w:noBreakHyphen/>
        <w:t>cash</w:t>
      </w:r>
      <w:r>
        <w:t xml:space="preserve"> payment surcharges for taxis that apply in Australia and other jurisdictions.</w:t>
      </w:r>
      <w:r w:rsidR="00D16784">
        <w:t xml:space="preserve"> These maximum surcharges apply to all payment methods. Victoria is the only jurisdiction that has a separate surcharge for </w:t>
      </w:r>
      <w:r w:rsidR="00130E29">
        <w:t xml:space="preserve">commercial passenger vehicle </w:t>
      </w:r>
      <w:r w:rsidR="00D16784">
        <w:t>specific instruments.</w:t>
      </w:r>
    </w:p>
    <w:p w14:paraId="092139A7" w14:textId="06C7678A" w:rsidR="0001740F" w:rsidRDefault="00363410" w:rsidP="00BA2121">
      <w:pPr>
        <w:pStyle w:val="Figure-Table-BoxHeading"/>
        <w:keepNext/>
        <w:keepLines/>
        <w:ind w:left="0" w:firstLine="0"/>
      </w:pPr>
      <w:r w:rsidRPr="17F31E41">
        <w:rPr>
          <w:lang w:val="en-AU"/>
        </w:rPr>
        <w:t xml:space="preserve">Table </w:t>
      </w:r>
      <w:r w:rsidR="008764D4">
        <w:rPr>
          <w:lang w:val="en-AU"/>
        </w:rPr>
        <w:t>D</w:t>
      </w:r>
      <w:r w:rsidRPr="17F31E41">
        <w:rPr>
          <w:lang w:val="en-AU"/>
        </w:rPr>
        <w:t>.1</w:t>
      </w:r>
      <w:r w:rsidR="00E133CC">
        <w:tab/>
      </w:r>
      <w:r w:rsidRPr="17F31E41">
        <w:rPr>
          <w:lang w:val="en-AU"/>
        </w:rPr>
        <w:t>Non</w:t>
      </w:r>
      <w:r w:rsidR="00F721F2">
        <w:noBreakHyphen/>
      </w:r>
      <w:r w:rsidRPr="17F31E41">
        <w:rPr>
          <w:lang w:val="en-AU"/>
        </w:rPr>
        <w:t>cash payment surcharges in other jurisdictions</w:t>
      </w:r>
    </w:p>
    <w:tbl>
      <w:tblPr>
        <w:tblStyle w:val="TableGrid"/>
        <w:tblW w:w="0" w:type="auto"/>
        <w:tblLook w:val="04A0" w:firstRow="1" w:lastRow="0" w:firstColumn="1" w:lastColumn="0" w:noHBand="0" w:noVBand="1"/>
      </w:tblPr>
      <w:tblGrid>
        <w:gridCol w:w="2835"/>
        <w:gridCol w:w="1360"/>
        <w:gridCol w:w="1361"/>
        <w:gridCol w:w="1360"/>
        <w:gridCol w:w="1361"/>
        <w:gridCol w:w="1361"/>
      </w:tblGrid>
      <w:tr w:rsidR="0019571D" w14:paraId="14493811" w14:textId="77777777" w:rsidTr="000F6C81">
        <w:trPr>
          <w:cnfStyle w:val="100000000000" w:firstRow="1" w:lastRow="0" w:firstColumn="0" w:lastColumn="0" w:oddVBand="0" w:evenVBand="0" w:oddHBand="0" w:evenHBand="0" w:firstRowFirstColumn="0" w:firstRowLastColumn="0" w:lastRowFirstColumn="0" w:lastRowLastColumn="0"/>
        </w:trPr>
        <w:tc>
          <w:tcPr>
            <w:tcW w:w="2835" w:type="dxa"/>
          </w:tcPr>
          <w:p w14:paraId="4C1DAD87" w14:textId="4CD3024C" w:rsidR="0019571D" w:rsidRDefault="0019571D" w:rsidP="00BA2121">
            <w:pPr>
              <w:pStyle w:val="TableHeading"/>
              <w:keepNext/>
              <w:keepLines/>
            </w:pPr>
            <w:r w:rsidRPr="17F31E41">
              <w:rPr>
                <w:lang w:val="en-AU"/>
              </w:rPr>
              <w:t>Jurisdiction</w:t>
            </w:r>
          </w:p>
        </w:tc>
        <w:tc>
          <w:tcPr>
            <w:tcW w:w="1360" w:type="dxa"/>
            <w:vAlign w:val="center"/>
          </w:tcPr>
          <w:p w14:paraId="2996FDFE" w14:textId="560C08FB" w:rsidR="0019571D" w:rsidRDefault="0019571D" w:rsidP="00BA2121">
            <w:pPr>
              <w:pStyle w:val="TableHeading"/>
              <w:keepNext/>
              <w:keepLines/>
              <w:jc w:val="center"/>
            </w:pPr>
            <w:r w:rsidRPr="00D93840">
              <w:t>0%</w:t>
            </w:r>
          </w:p>
        </w:tc>
        <w:tc>
          <w:tcPr>
            <w:tcW w:w="1361" w:type="dxa"/>
            <w:vAlign w:val="center"/>
          </w:tcPr>
          <w:p w14:paraId="209ACCF8" w14:textId="26C16A30" w:rsidR="0019571D" w:rsidRDefault="0019571D" w:rsidP="00BA2121">
            <w:pPr>
              <w:pStyle w:val="TableHeading"/>
              <w:keepNext/>
              <w:keepLines/>
              <w:jc w:val="center"/>
            </w:pPr>
            <w:r w:rsidRPr="00D93840">
              <w:t>≈2%</w:t>
            </w:r>
          </w:p>
        </w:tc>
        <w:tc>
          <w:tcPr>
            <w:tcW w:w="1360" w:type="dxa"/>
            <w:vAlign w:val="center"/>
          </w:tcPr>
          <w:p w14:paraId="6DB61BCF" w14:textId="65138794" w:rsidR="0019571D" w:rsidRDefault="0019571D" w:rsidP="00BA2121">
            <w:pPr>
              <w:pStyle w:val="TableHeading"/>
              <w:keepNext/>
              <w:keepLines/>
              <w:jc w:val="center"/>
            </w:pPr>
            <w:r w:rsidRPr="00D93840">
              <w:t>≈5%</w:t>
            </w:r>
          </w:p>
        </w:tc>
        <w:tc>
          <w:tcPr>
            <w:tcW w:w="1361" w:type="dxa"/>
            <w:vAlign w:val="center"/>
          </w:tcPr>
          <w:p w14:paraId="7E55CC9B" w14:textId="3945384B" w:rsidR="0019571D" w:rsidRDefault="0019571D" w:rsidP="00BA2121">
            <w:pPr>
              <w:pStyle w:val="TableHeading"/>
              <w:keepNext/>
              <w:keepLines/>
              <w:jc w:val="center"/>
            </w:pPr>
            <w:r w:rsidRPr="00D93840">
              <w:t>≈7%</w:t>
            </w:r>
          </w:p>
        </w:tc>
        <w:tc>
          <w:tcPr>
            <w:tcW w:w="1361" w:type="dxa"/>
            <w:vAlign w:val="center"/>
          </w:tcPr>
          <w:p w14:paraId="3C97529D" w14:textId="2F8D74EE" w:rsidR="0019571D" w:rsidRDefault="0019571D" w:rsidP="00BA2121">
            <w:pPr>
              <w:pStyle w:val="TableHeading"/>
              <w:keepNext/>
              <w:keepLines/>
              <w:jc w:val="center"/>
            </w:pPr>
            <w:r w:rsidRPr="00D93840">
              <w:t>≈10%</w:t>
            </w:r>
          </w:p>
        </w:tc>
      </w:tr>
      <w:tr w:rsidR="00BF78F5" w14:paraId="051A9B6C" w14:textId="77777777" w:rsidTr="000F6C81">
        <w:trPr>
          <w:cnfStyle w:val="000000100000" w:firstRow="0" w:lastRow="0" w:firstColumn="0" w:lastColumn="0" w:oddVBand="0" w:evenVBand="0" w:oddHBand="1" w:evenHBand="0" w:firstRowFirstColumn="0" w:firstRowLastColumn="0" w:lastRowFirstColumn="0" w:lastRowLastColumn="0"/>
        </w:trPr>
        <w:tc>
          <w:tcPr>
            <w:tcW w:w="2835" w:type="dxa"/>
          </w:tcPr>
          <w:p w14:paraId="57F88E49" w14:textId="5D2FF773" w:rsidR="00BF78F5" w:rsidRDefault="00BF78F5" w:rsidP="00BA2121">
            <w:pPr>
              <w:pStyle w:val="TableBody"/>
              <w:keepNext/>
              <w:keepLines/>
            </w:pPr>
            <w:r w:rsidRPr="17F31E41">
              <w:rPr>
                <w:lang w:val="en-AU"/>
              </w:rPr>
              <w:t>Australian Capital Territory</w:t>
            </w:r>
            <w:r w:rsidR="00466FF2" w:rsidRPr="17F31E41">
              <w:rPr>
                <w:vertAlign w:val="superscript"/>
                <w:lang w:val="en-AU"/>
              </w:rPr>
              <w:t>a</w:t>
            </w:r>
          </w:p>
        </w:tc>
        <w:tc>
          <w:tcPr>
            <w:tcW w:w="1360" w:type="dxa"/>
            <w:vAlign w:val="center"/>
          </w:tcPr>
          <w:p w14:paraId="75776381" w14:textId="77777777" w:rsidR="00BF78F5" w:rsidRDefault="00BF78F5" w:rsidP="00BA2121">
            <w:pPr>
              <w:pStyle w:val="TableBody"/>
              <w:keepNext/>
              <w:keepLines/>
              <w:jc w:val="center"/>
            </w:pPr>
          </w:p>
        </w:tc>
        <w:tc>
          <w:tcPr>
            <w:tcW w:w="1361" w:type="dxa"/>
            <w:vAlign w:val="center"/>
          </w:tcPr>
          <w:p w14:paraId="003135AB" w14:textId="77777777" w:rsidR="00BF78F5" w:rsidRDefault="00BF78F5" w:rsidP="00BA2121">
            <w:pPr>
              <w:pStyle w:val="TableBody"/>
              <w:keepNext/>
              <w:keepLines/>
              <w:jc w:val="center"/>
            </w:pPr>
          </w:p>
        </w:tc>
        <w:tc>
          <w:tcPr>
            <w:tcW w:w="1360" w:type="dxa"/>
            <w:vAlign w:val="center"/>
          </w:tcPr>
          <w:p w14:paraId="7AE48083" w14:textId="48411B81" w:rsidR="00BF78F5" w:rsidRDefault="008C002B" w:rsidP="00BA2121">
            <w:pPr>
              <w:pStyle w:val="TableBody"/>
              <w:keepNext/>
              <w:keepLines/>
              <w:jc w:val="center"/>
            </w:pPr>
            <w:r>
              <w:rPr>
                <w:rFonts w:ascii="Wingdings" w:eastAsia="Wingdings" w:hAnsi="Wingdings" w:cs="Wingdings"/>
              </w:rPr>
              <w:t>û</w:t>
            </w:r>
          </w:p>
        </w:tc>
        <w:tc>
          <w:tcPr>
            <w:tcW w:w="1361" w:type="dxa"/>
            <w:vAlign w:val="center"/>
          </w:tcPr>
          <w:p w14:paraId="2B2325EB" w14:textId="77777777" w:rsidR="00BF78F5" w:rsidRDefault="00BF78F5" w:rsidP="00BA2121">
            <w:pPr>
              <w:pStyle w:val="TableBody"/>
              <w:keepNext/>
              <w:keepLines/>
              <w:jc w:val="center"/>
            </w:pPr>
          </w:p>
        </w:tc>
        <w:tc>
          <w:tcPr>
            <w:tcW w:w="1361" w:type="dxa"/>
            <w:vAlign w:val="center"/>
          </w:tcPr>
          <w:p w14:paraId="7E7261B0" w14:textId="77777777" w:rsidR="00BF78F5" w:rsidRDefault="00BF78F5" w:rsidP="00BA2121">
            <w:pPr>
              <w:pStyle w:val="TableBody"/>
              <w:keepNext/>
              <w:keepLines/>
              <w:jc w:val="center"/>
            </w:pPr>
          </w:p>
        </w:tc>
      </w:tr>
      <w:tr w:rsidR="00BF78F5" w14:paraId="13378400" w14:textId="77777777" w:rsidTr="000F6C81">
        <w:trPr>
          <w:cnfStyle w:val="000000010000" w:firstRow="0" w:lastRow="0" w:firstColumn="0" w:lastColumn="0" w:oddVBand="0" w:evenVBand="0" w:oddHBand="0" w:evenHBand="1" w:firstRowFirstColumn="0" w:firstRowLastColumn="0" w:lastRowFirstColumn="0" w:lastRowLastColumn="0"/>
        </w:trPr>
        <w:tc>
          <w:tcPr>
            <w:tcW w:w="2835" w:type="dxa"/>
          </w:tcPr>
          <w:p w14:paraId="68C922B9" w14:textId="1434D0D8" w:rsidR="00BF78F5" w:rsidRDefault="00BF78F5" w:rsidP="00BF78F5">
            <w:pPr>
              <w:pStyle w:val="TableBody"/>
            </w:pPr>
            <w:r w:rsidRPr="17F31E41">
              <w:rPr>
                <w:lang w:val="en-AU"/>
              </w:rPr>
              <w:t>New South Wales</w:t>
            </w:r>
            <w:r w:rsidR="00466FF2" w:rsidRPr="17F31E41">
              <w:rPr>
                <w:b/>
                <w:vertAlign w:val="superscript"/>
                <w:lang w:val="en-AU"/>
              </w:rPr>
              <w:t>b</w:t>
            </w:r>
          </w:p>
        </w:tc>
        <w:tc>
          <w:tcPr>
            <w:tcW w:w="1360" w:type="dxa"/>
            <w:vAlign w:val="center"/>
          </w:tcPr>
          <w:p w14:paraId="0745FEA8" w14:textId="77777777" w:rsidR="00BF78F5" w:rsidRDefault="00BF78F5" w:rsidP="00BF78F5">
            <w:pPr>
              <w:pStyle w:val="TableBody"/>
              <w:jc w:val="center"/>
            </w:pPr>
          </w:p>
        </w:tc>
        <w:tc>
          <w:tcPr>
            <w:tcW w:w="1361" w:type="dxa"/>
            <w:vAlign w:val="center"/>
          </w:tcPr>
          <w:p w14:paraId="234738A4" w14:textId="77777777" w:rsidR="00BF78F5" w:rsidRDefault="00BF78F5" w:rsidP="00BF78F5">
            <w:pPr>
              <w:pStyle w:val="TableBody"/>
              <w:jc w:val="center"/>
            </w:pPr>
          </w:p>
        </w:tc>
        <w:tc>
          <w:tcPr>
            <w:tcW w:w="1360" w:type="dxa"/>
            <w:vAlign w:val="center"/>
          </w:tcPr>
          <w:p w14:paraId="7E54BB99" w14:textId="04C8EDF9" w:rsidR="00BF78F5" w:rsidRDefault="008C002B" w:rsidP="00BF78F5">
            <w:pPr>
              <w:pStyle w:val="TableBody"/>
              <w:jc w:val="center"/>
            </w:pPr>
            <w:r>
              <w:rPr>
                <w:rFonts w:ascii="Wingdings" w:eastAsia="Wingdings" w:hAnsi="Wingdings" w:cs="Wingdings"/>
              </w:rPr>
              <w:t>û</w:t>
            </w:r>
          </w:p>
        </w:tc>
        <w:tc>
          <w:tcPr>
            <w:tcW w:w="1361" w:type="dxa"/>
            <w:vAlign w:val="center"/>
          </w:tcPr>
          <w:p w14:paraId="13ADDC7D" w14:textId="77777777" w:rsidR="00BF78F5" w:rsidRDefault="00BF78F5" w:rsidP="00BF78F5">
            <w:pPr>
              <w:pStyle w:val="TableBody"/>
              <w:jc w:val="center"/>
            </w:pPr>
          </w:p>
        </w:tc>
        <w:tc>
          <w:tcPr>
            <w:tcW w:w="1361" w:type="dxa"/>
            <w:vAlign w:val="center"/>
          </w:tcPr>
          <w:p w14:paraId="0FF05D49" w14:textId="77777777" w:rsidR="00BF78F5" w:rsidRDefault="00BF78F5" w:rsidP="00BF78F5">
            <w:pPr>
              <w:pStyle w:val="TableBody"/>
              <w:jc w:val="center"/>
            </w:pPr>
          </w:p>
        </w:tc>
      </w:tr>
      <w:tr w:rsidR="00BF78F5" w14:paraId="626B2EB8" w14:textId="77777777" w:rsidTr="000F6C81">
        <w:trPr>
          <w:cnfStyle w:val="000000100000" w:firstRow="0" w:lastRow="0" w:firstColumn="0" w:lastColumn="0" w:oddVBand="0" w:evenVBand="0" w:oddHBand="1" w:evenHBand="0" w:firstRowFirstColumn="0" w:firstRowLastColumn="0" w:lastRowFirstColumn="0" w:lastRowLastColumn="0"/>
        </w:trPr>
        <w:tc>
          <w:tcPr>
            <w:tcW w:w="2835" w:type="dxa"/>
          </w:tcPr>
          <w:p w14:paraId="53CFBC9B" w14:textId="493CAEAF" w:rsidR="00BF78F5" w:rsidRDefault="00BF78F5" w:rsidP="00BF78F5">
            <w:pPr>
              <w:pStyle w:val="TableBody"/>
            </w:pPr>
            <w:r w:rsidRPr="17F31E41">
              <w:rPr>
                <w:lang w:val="en-AU"/>
              </w:rPr>
              <w:t>Queensland</w:t>
            </w:r>
            <w:r w:rsidR="00466FF2" w:rsidRPr="17F31E41">
              <w:rPr>
                <w:b/>
                <w:vertAlign w:val="superscript"/>
                <w:lang w:val="en-AU"/>
              </w:rPr>
              <w:t>c</w:t>
            </w:r>
          </w:p>
        </w:tc>
        <w:tc>
          <w:tcPr>
            <w:tcW w:w="1360" w:type="dxa"/>
            <w:vAlign w:val="center"/>
          </w:tcPr>
          <w:p w14:paraId="63836085" w14:textId="77777777" w:rsidR="00BF78F5" w:rsidRDefault="00BF78F5" w:rsidP="00BF78F5">
            <w:pPr>
              <w:pStyle w:val="TableBody"/>
              <w:jc w:val="center"/>
            </w:pPr>
          </w:p>
        </w:tc>
        <w:tc>
          <w:tcPr>
            <w:tcW w:w="1361" w:type="dxa"/>
            <w:vAlign w:val="center"/>
          </w:tcPr>
          <w:p w14:paraId="421AC2D5" w14:textId="77777777" w:rsidR="00BF78F5" w:rsidRDefault="00BF78F5" w:rsidP="00BF78F5">
            <w:pPr>
              <w:pStyle w:val="TableBody"/>
              <w:jc w:val="center"/>
            </w:pPr>
          </w:p>
        </w:tc>
        <w:tc>
          <w:tcPr>
            <w:tcW w:w="1360" w:type="dxa"/>
            <w:vAlign w:val="center"/>
          </w:tcPr>
          <w:p w14:paraId="17B12A2A" w14:textId="2B5E0F39" w:rsidR="00BF78F5" w:rsidRDefault="008C002B" w:rsidP="00BF78F5">
            <w:pPr>
              <w:pStyle w:val="TableBody"/>
              <w:jc w:val="center"/>
            </w:pPr>
            <w:r>
              <w:rPr>
                <w:rFonts w:ascii="Wingdings" w:eastAsia="Wingdings" w:hAnsi="Wingdings" w:cs="Wingdings"/>
              </w:rPr>
              <w:t>û</w:t>
            </w:r>
          </w:p>
        </w:tc>
        <w:tc>
          <w:tcPr>
            <w:tcW w:w="1361" w:type="dxa"/>
            <w:vAlign w:val="center"/>
          </w:tcPr>
          <w:p w14:paraId="02AB5D5C" w14:textId="77777777" w:rsidR="00BF78F5" w:rsidRDefault="00BF78F5" w:rsidP="00BF78F5">
            <w:pPr>
              <w:pStyle w:val="TableBody"/>
              <w:jc w:val="center"/>
            </w:pPr>
          </w:p>
        </w:tc>
        <w:tc>
          <w:tcPr>
            <w:tcW w:w="1361" w:type="dxa"/>
            <w:vAlign w:val="center"/>
          </w:tcPr>
          <w:p w14:paraId="03294C92" w14:textId="77777777" w:rsidR="00BF78F5" w:rsidRDefault="00BF78F5" w:rsidP="00BF78F5">
            <w:pPr>
              <w:pStyle w:val="TableBody"/>
              <w:jc w:val="center"/>
            </w:pPr>
          </w:p>
        </w:tc>
      </w:tr>
      <w:tr w:rsidR="00BF78F5" w14:paraId="51D9A518" w14:textId="77777777" w:rsidTr="000F6C81">
        <w:trPr>
          <w:cnfStyle w:val="000000010000" w:firstRow="0" w:lastRow="0" w:firstColumn="0" w:lastColumn="0" w:oddVBand="0" w:evenVBand="0" w:oddHBand="0" w:evenHBand="1" w:firstRowFirstColumn="0" w:firstRowLastColumn="0" w:lastRowFirstColumn="0" w:lastRowLastColumn="0"/>
        </w:trPr>
        <w:tc>
          <w:tcPr>
            <w:tcW w:w="2835" w:type="dxa"/>
          </w:tcPr>
          <w:p w14:paraId="44EC23BA" w14:textId="38063C9A" w:rsidR="00BF78F5" w:rsidRDefault="00BF78F5" w:rsidP="00BF78F5">
            <w:pPr>
              <w:pStyle w:val="TableBody"/>
            </w:pPr>
            <w:r w:rsidRPr="17F31E41">
              <w:rPr>
                <w:lang w:val="en-AU"/>
              </w:rPr>
              <w:t>Northern Territory</w:t>
            </w:r>
            <w:r w:rsidR="00466FF2" w:rsidRPr="17F31E41">
              <w:rPr>
                <w:b/>
                <w:vertAlign w:val="superscript"/>
                <w:lang w:val="en-AU"/>
              </w:rPr>
              <w:t>d</w:t>
            </w:r>
          </w:p>
        </w:tc>
        <w:tc>
          <w:tcPr>
            <w:tcW w:w="1360" w:type="dxa"/>
            <w:vAlign w:val="center"/>
          </w:tcPr>
          <w:p w14:paraId="3223756E" w14:textId="77777777" w:rsidR="00BF78F5" w:rsidRDefault="00BF78F5" w:rsidP="00BF78F5">
            <w:pPr>
              <w:pStyle w:val="TableBody"/>
              <w:jc w:val="center"/>
            </w:pPr>
          </w:p>
        </w:tc>
        <w:tc>
          <w:tcPr>
            <w:tcW w:w="1361" w:type="dxa"/>
            <w:vAlign w:val="center"/>
          </w:tcPr>
          <w:p w14:paraId="155CD528" w14:textId="77777777" w:rsidR="00BF78F5" w:rsidRDefault="00BF78F5" w:rsidP="00BF78F5">
            <w:pPr>
              <w:pStyle w:val="TableBody"/>
              <w:jc w:val="center"/>
            </w:pPr>
          </w:p>
        </w:tc>
        <w:tc>
          <w:tcPr>
            <w:tcW w:w="1360" w:type="dxa"/>
            <w:vAlign w:val="center"/>
          </w:tcPr>
          <w:p w14:paraId="256A0AFE" w14:textId="527AC629" w:rsidR="00BF78F5" w:rsidRDefault="008C002B" w:rsidP="00BF78F5">
            <w:pPr>
              <w:pStyle w:val="TableBody"/>
              <w:jc w:val="center"/>
            </w:pPr>
            <w:r>
              <w:rPr>
                <w:rFonts w:ascii="Wingdings" w:eastAsia="Wingdings" w:hAnsi="Wingdings" w:cs="Wingdings"/>
              </w:rPr>
              <w:t>û</w:t>
            </w:r>
          </w:p>
        </w:tc>
        <w:tc>
          <w:tcPr>
            <w:tcW w:w="1361" w:type="dxa"/>
            <w:vAlign w:val="center"/>
          </w:tcPr>
          <w:p w14:paraId="7034733C" w14:textId="77777777" w:rsidR="00BF78F5" w:rsidRDefault="00BF78F5" w:rsidP="00BF78F5">
            <w:pPr>
              <w:pStyle w:val="TableBody"/>
              <w:jc w:val="center"/>
            </w:pPr>
          </w:p>
        </w:tc>
        <w:tc>
          <w:tcPr>
            <w:tcW w:w="1361" w:type="dxa"/>
            <w:vAlign w:val="center"/>
          </w:tcPr>
          <w:p w14:paraId="2735B125" w14:textId="77777777" w:rsidR="00BF78F5" w:rsidRDefault="00BF78F5" w:rsidP="00BF78F5">
            <w:pPr>
              <w:pStyle w:val="TableBody"/>
              <w:jc w:val="center"/>
            </w:pPr>
          </w:p>
        </w:tc>
      </w:tr>
      <w:tr w:rsidR="00BF78F5" w14:paraId="500922D8" w14:textId="77777777" w:rsidTr="000F6C81">
        <w:trPr>
          <w:cnfStyle w:val="000000100000" w:firstRow="0" w:lastRow="0" w:firstColumn="0" w:lastColumn="0" w:oddVBand="0" w:evenVBand="0" w:oddHBand="1" w:evenHBand="0" w:firstRowFirstColumn="0" w:firstRowLastColumn="0" w:lastRowFirstColumn="0" w:lastRowLastColumn="0"/>
        </w:trPr>
        <w:tc>
          <w:tcPr>
            <w:tcW w:w="2835" w:type="dxa"/>
          </w:tcPr>
          <w:p w14:paraId="259F5C97" w14:textId="624FAF4B" w:rsidR="00BF78F5" w:rsidRDefault="00BF78F5" w:rsidP="00BF78F5">
            <w:pPr>
              <w:pStyle w:val="TableBody"/>
            </w:pPr>
            <w:r w:rsidRPr="17F31E41">
              <w:rPr>
                <w:lang w:val="en-AU"/>
              </w:rPr>
              <w:t>South Australia</w:t>
            </w:r>
            <w:r w:rsidR="00466FF2" w:rsidRPr="17F31E41">
              <w:rPr>
                <w:b/>
                <w:vertAlign w:val="superscript"/>
                <w:lang w:val="en-AU"/>
              </w:rPr>
              <w:t>e</w:t>
            </w:r>
          </w:p>
        </w:tc>
        <w:tc>
          <w:tcPr>
            <w:tcW w:w="1360" w:type="dxa"/>
            <w:vAlign w:val="center"/>
          </w:tcPr>
          <w:p w14:paraId="6DAFE2A5" w14:textId="77777777" w:rsidR="00BF78F5" w:rsidRDefault="00BF78F5" w:rsidP="00BF78F5">
            <w:pPr>
              <w:pStyle w:val="TableBody"/>
              <w:jc w:val="center"/>
            </w:pPr>
          </w:p>
        </w:tc>
        <w:tc>
          <w:tcPr>
            <w:tcW w:w="1361" w:type="dxa"/>
            <w:vAlign w:val="center"/>
          </w:tcPr>
          <w:p w14:paraId="0F96D353" w14:textId="77777777" w:rsidR="00BF78F5" w:rsidRDefault="00BF78F5" w:rsidP="00BF78F5">
            <w:pPr>
              <w:pStyle w:val="TableBody"/>
              <w:jc w:val="center"/>
            </w:pPr>
          </w:p>
        </w:tc>
        <w:tc>
          <w:tcPr>
            <w:tcW w:w="1360" w:type="dxa"/>
            <w:vAlign w:val="center"/>
          </w:tcPr>
          <w:p w14:paraId="2835C28A" w14:textId="4B110589" w:rsidR="00BF78F5" w:rsidRDefault="008C002B" w:rsidP="00BF78F5">
            <w:pPr>
              <w:pStyle w:val="TableBody"/>
              <w:jc w:val="center"/>
            </w:pPr>
            <w:r>
              <w:rPr>
                <w:rFonts w:ascii="Wingdings" w:eastAsia="Wingdings" w:hAnsi="Wingdings" w:cs="Wingdings"/>
              </w:rPr>
              <w:t>û</w:t>
            </w:r>
          </w:p>
        </w:tc>
        <w:tc>
          <w:tcPr>
            <w:tcW w:w="1361" w:type="dxa"/>
            <w:vAlign w:val="center"/>
          </w:tcPr>
          <w:p w14:paraId="3174E221" w14:textId="77777777" w:rsidR="00BF78F5" w:rsidRDefault="00BF78F5" w:rsidP="00BF78F5">
            <w:pPr>
              <w:pStyle w:val="TableBody"/>
              <w:jc w:val="center"/>
            </w:pPr>
          </w:p>
        </w:tc>
        <w:tc>
          <w:tcPr>
            <w:tcW w:w="1361" w:type="dxa"/>
            <w:vAlign w:val="center"/>
          </w:tcPr>
          <w:p w14:paraId="6C13D617" w14:textId="77777777" w:rsidR="00BF78F5" w:rsidRDefault="00BF78F5" w:rsidP="00BF78F5">
            <w:pPr>
              <w:pStyle w:val="TableBody"/>
              <w:jc w:val="center"/>
            </w:pPr>
          </w:p>
        </w:tc>
      </w:tr>
      <w:tr w:rsidR="00BF78F5" w14:paraId="46F8AD35" w14:textId="77777777" w:rsidTr="000F6C81">
        <w:trPr>
          <w:cnfStyle w:val="000000010000" w:firstRow="0" w:lastRow="0" w:firstColumn="0" w:lastColumn="0" w:oddVBand="0" w:evenVBand="0" w:oddHBand="0" w:evenHBand="1" w:firstRowFirstColumn="0" w:firstRowLastColumn="0" w:lastRowFirstColumn="0" w:lastRowLastColumn="0"/>
        </w:trPr>
        <w:tc>
          <w:tcPr>
            <w:tcW w:w="2835" w:type="dxa"/>
          </w:tcPr>
          <w:p w14:paraId="098AA74B" w14:textId="2604B7CD" w:rsidR="00BF78F5" w:rsidRDefault="00BF78F5" w:rsidP="00BF78F5">
            <w:pPr>
              <w:pStyle w:val="TableBody"/>
            </w:pPr>
            <w:r w:rsidRPr="17F31E41">
              <w:rPr>
                <w:lang w:val="en-AU"/>
              </w:rPr>
              <w:t>Tasmania</w:t>
            </w:r>
            <w:r w:rsidR="00466FF2" w:rsidRPr="17F31E41">
              <w:rPr>
                <w:b/>
                <w:vertAlign w:val="superscript"/>
                <w:lang w:val="en-AU"/>
              </w:rPr>
              <w:t>f</w:t>
            </w:r>
          </w:p>
        </w:tc>
        <w:tc>
          <w:tcPr>
            <w:tcW w:w="1360" w:type="dxa"/>
            <w:vAlign w:val="center"/>
          </w:tcPr>
          <w:p w14:paraId="27408E29" w14:textId="77777777" w:rsidR="00BF78F5" w:rsidRDefault="00BF78F5" w:rsidP="00BF78F5">
            <w:pPr>
              <w:pStyle w:val="TableBody"/>
              <w:jc w:val="center"/>
            </w:pPr>
          </w:p>
        </w:tc>
        <w:tc>
          <w:tcPr>
            <w:tcW w:w="1361" w:type="dxa"/>
            <w:vAlign w:val="center"/>
          </w:tcPr>
          <w:p w14:paraId="729A9149" w14:textId="77777777" w:rsidR="00BF78F5" w:rsidRDefault="00BF78F5" w:rsidP="00BF78F5">
            <w:pPr>
              <w:pStyle w:val="TableBody"/>
              <w:jc w:val="center"/>
            </w:pPr>
          </w:p>
        </w:tc>
        <w:tc>
          <w:tcPr>
            <w:tcW w:w="1360" w:type="dxa"/>
            <w:vAlign w:val="center"/>
          </w:tcPr>
          <w:p w14:paraId="2EC487EB" w14:textId="670E2F29" w:rsidR="00BF78F5" w:rsidRDefault="008C002B" w:rsidP="00BF78F5">
            <w:pPr>
              <w:pStyle w:val="TableBody"/>
              <w:jc w:val="center"/>
            </w:pPr>
            <w:r>
              <w:rPr>
                <w:rFonts w:ascii="Wingdings" w:eastAsia="Wingdings" w:hAnsi="Wingdings" w:cs="Wingdings"/>
              </w:rPr>
              <w:t>û</w:t>
            </w:r>
          </w:p>
        </w:tc>
        <w:tc>
          <w:tcPr>
            <w:tcW w:w="1361" w:type="dxa"/>
            <w:vAlign w:val="center"/>
          </w:tcPr>
          <w:p w14:paraId="449F1983" w14:textId="77777777" w:rsidR="00BF78F5" w:rsidRDefault="00BF78F5" w:rsidP="00BF78F5">
            <w:pPr>
              <w:pStyle w:val="TableBody"/>
              <w:jc w:val="center"/>
            </w:pPr>
          </w:p>
        </w:tc>
        <w:tc>
          <w:tcPr>
            <w:tcW w:w="1361" w:type="dxa"/>
            <w:vAlign w:val="center"/>
          </w:tcPr>
          <w:p w14:paraId="26A299F2" w14:textId="77777777" w:rsidR="00BF78F5" w:rsidRDefault="00BF78F5" w:rsidP="00BF78F5">
            <w:pPr>
              <w:pStyle w:val="TableBody"/>
              <w:jc w:val="center"/>
            </w:pPr>
          </w:p>
        </w:tc>
      </w:tr>
      <w:tr w:rsidR="00BF78F5" w14:paraId="77577439" w14:textId="77777777" w:rsidTr="000F6C81">
        <w:trPr>
          <w:cnfStyle w:val="000000100000" w:firstRow="0" w:lastRow="0" w:firstColumn="0" w:lastColumn="0" w:oddVBand="0" w:evenVBand="0" w:oddHBand="1" w:evenHBand="0" w:firstRowFirstColumn="0" w:firstRowLastColumn="0" w:lastRowFirstColumn="0" w:lastRowLastColumn="0"/>
        </w:trPr>
        <w:tc>
          <w:tcPr>
            <w:tcW w:w="2835" w:type="dxa"/>
          </w:tcPr>
          <w:p w14:paraId="4D19B15B" w14:textId="1E0BE800" w:rsidR="00BF78F5" w:rsidRDefault="00BF78F5" w:rsidP="00BF78F5">
            <w:pPr>
              <w:pStyle w:val="TableBody"/>
            </w:pPr>
            <w:r w:rsidRPr="17F31E41">
              <w:rPr>
                <w:lang w:val="en-AU"/>
              </w:rPr>
              <w:t>Western Australia</w:t>
            </w:r>
            <w:r w:rsidR="00466FF2" w:rsidRPr="17F31E41">
              <w:rPr>
                <w:b/>
                <w:vertAlign w:val="superscript"/>
                <w:lang w:val="en-AU"/>
              </w:rPr>
              <w:t>g</w:t>
            </w:r>
          </w:p>
        </w:tc>
        <w:tc>
          <w:tcPr>
            <w:tcW w:w="1360" w:type="dxa"/>
            <w:vAlign w:val="center"/>
          </w:tcPr>
          <w:p w14:paraId="6DB5C77F" w14:textId="77777777" w:rsidR="00BF78F5" w:rsidRDefault="00BF78F5" w:rsidP="00BF78F5">
            <w:pPr>
              <w:pStyle w:val="TableBody"/>
              <w:jc w:val="center"/>
            </w:pPr>
          </w:p>
        </w:tc>
        <w:tc>
          <w:tcPr>
            <w:tcW w:w="1361" w:type="dxa"/>
            <w:vAlign w:val="center"/>
          </w:tcPr>
          <w:p w14:paraId="71B3525D" w14:textId="77777777" w:rsidR="00BF78F5" w:rsidRDefault="00BF78F5" w:rsidP="00BF78F5">
            <w:pPr>
              <w:pStyle w:val="TableBody"/>
              <w:jc w:val="center"/>
            </w:pPr>
          </w:p>
        </w:tc>
        <w:tc>
          <w:tcPr>
            <w:tcW w:w="1360" w:type="dxa"/>
            <w:vAlign w:val="center"/>
          </w:tcPr>
          <w:p w14:paraId="076BA41D" w14:textId="2634224B" w:rsidR="00BF78F5" w:rsidRDefault="008C002B" w:rsidP="00BF78F5">
            <w:pPr>
              <w:pStyle w:val="TableBody"/>
              <w:jc w:val="center"/>
            </w:pPr>
            <w:r>
              <w:rPr>
                <w:rFonts w:ascii="Wingdings" w:eastAsia="Wingdings" w:hAnsi="Wingdings" w:cs="Wingdings"/>
              </w:rPr>
              <w:t>û</w:t>
            </w:r>
          </w:p>
        </w:tc>
        <w:tc>
          <w:tcPr>
            <w:tcW w:w="1361" w:type="dxa"/>
            <w:vAlign w:val="center"/>
          </w:tcPr>
          <w:p w14:paraId="4783966C" w14:textId="77777777" w:rsidR="00BF78F5" w:rsidRDefault="00BF78F5" w:rsidP="00BF78F5">
            <w:pPr>
              <w:pStyle w:val="TableBody"/>
              <w:jc w:val="center"/>
            </w:pPr>
          </w:p>
        </w:tc>
        <w:tc>
          <w:tcPr>
            <w:tcW w:w="1361" w:type="dxa"/>
            <w:vAlign w:val="center"/>
          </w:tcPr>
          <w:p w14:paraId="1E2E7551" w14:textId="77777777" w:rsidR="00BF78F5" w:rsidRDefault="00BF78F5" w:rsidP="00BF78F5">
            <w:pPr>
              <w:pStyle w:val="TableBody"/>
              <w:jc w:val="center"/>
            </w:pPr>
          </w:p>
        </w:tc>
      </w:tr>
      <w:tr w:rsidR="00BF78F5" w14:paraId="69CD28DC" w14:textId="77777777" w:rsidTr="000F6C81">
        <w:trPr>
          <w:cnfStyle w:val="000000010000" w:firstRow="0" w:lastRow="0" w:firstColumn="0" w:lastColumn="0" w:oddVBand="0" w:evenVBand="0" w:oddHBand="0" w:evenHBand="1" w:firstRowFirstColumn="0" w:firstRowLastColumn="0" w:lastRowFirstColumn="0" w:lastRowLastColumn="0"/>
        </w:trPr>
        <w:tc>
          <w:tcPr>
            <w:tcW w:w="2835" w:type="dxa"/>
          </w:tcPr>
          <w:p w14:paraId="711299B4" w14:textId="49D00823" w:rsidR="00BF78F5" w:rsidRDefault="00BF78F5" w:rsidP="00BF78F5">
            <w:pPr>
              <w:pStyle w:val="TableBody"/>
            </w:pPr>
            <w:r w:rsidRPr="17F31E41">
              <w:rPr>
                <w:lang w:val="en-AU"/>
              </w:rPr>
              <w:t>Singapore</w:t>
            </w:r>
            <w:r w:rsidR="00466FF2" w:rsidRPr="17F31E41">
              <w:rPr>
                <w:b/>
                <w:vertAlign w:val="superscript"/>
                <w:lang w:val="en-AU"/>
              </w:rPr>
              <w:t>h</w:t>
            </w:r>
          </w:p>
        </w:tc>
        <w:tc>
          <w:tcPr>
            <w:tcW w:w="1360" w:type="dxa"/>
            <w:vAlign w:val="center"/>
          </w:tcPr>
          <w:p w14:paraId="719F76EA" w14:textId="77777777" w:rsidR="00BF78F5" w:rsidRDefault="00BF78F5" w:rsidP="00BF78F5">
            <w:pPr>
              <w:pStyle w:val="TableBody"/>
              <w:jc w:val="center"/>
            </w:pPr>
          </w:p>
        </w:tc>
        <w:tc>
          <w:tcPr>
            <w:tcW w:w="1361" w:type="dxa"/>
            <w:vAlign w:val="center"/>
          </w:tcPr>
          <w:p w14:paraId="0DA1D7D6" w14:textId="77777777" w:rsidR="00BF78F5" w:rsidRDefault="00BF78F5" w:rsidP="00BF78F5">
            <w:pPr>
              <w:pStyle w:val="TableBody"/>
              <w:jc w:val="center"/>
            </w:pPr>
          </w:p>
        </w:tc>
        <w:tc>
          <w:tcPr>
            <w:tcW w:w="1360" w:type="dxa"/>
            <w:vAlign w:val="center"/>
          </w:tcPr>
          <w:p w14:paraId="14E1E4B7" w14:textId="77777777" w:rsidR="00BF78F5" w:rsidRDefault="00BF78F5" w:rsidP="00BF78F5">
            <w:pPr>
              <w:pStyle w:val="TableBody"/>
              <w:jc w:val="center"/>
            </w:pPr>
          </w:p>
        </w:tc>
        <w:tc>
          <w:tcPr>
            <w:tcW w:w="1361" w:type="dxa"/>
            <w:vAlign w:val="center"/>
          </w:tcPr>
          <w:p w14:paraId="39100E42" w14:textId="77777777" w:rsidR="00BF78F5" w:rsidRDefault="00BF78F5" w:rsidP="00BF78F5">
            <w:pPr>
              <w:pStyle w:val="TableBody"/>
              <w:jc w:val="center"/>
            </w:pPr>
          </w:p>
        </w:tc>
        <w:tc>
          <w:tcPr>
            <w:tcW w:w="1361" w:type="dxa"/>
            <w:vAlign w:val="center"/>
          </w:tcPr>
          <w:p w14:paraId="37FFC248" w14:textId="6F2D8AF2" w:rsidR="00BF78F5" w:rsidRDefault="008C002B" w:rsidP="00BF78F5">
            <w:pPr>
              <w:pStyle w:val="TableBody"/>
              <w:jc w:val="center"/>
            </w:pPr>
            <w:r>
              <w:rPr>
                <w:rFonts w:ascii="Wingdings" w:eastAsia="Wingdings" w:hAnsi="Wingdings" w:cs="Wingdings"/>
              </w:rPr>
              <w:t>û</w:t>
            </w:r>
          </w:p>
        </w:tc>
      </w:tr>
      <w:tr w:rsidR="00BF78F5" w14:paraId="3BAAD4DC" w14:textId="77777777" w:rsidTr="000F6C81">
        <w:trPr>
          <w:cnfStyle w:val="000000100000" w:firstRow="0" w:lastRow="0" w:firstColumn="0" w:lastColumn="0" w:oddVBand="0" w:evenVBand="0" w:oddHBand="1" w:evenHBand="0" w:firstRowFirstColumn="0" w:firstRowLastColumn="0" w:lastRowFirstColumn="0" w:lastRowLastColumn="0"/>
        </w:trPr>
        <w:tc>
          <w:tcPr>
            <w:tcW w:w="2835" w:type="dxa"/>
          </w:tcPr>
          <w:p w14:paraId="7EA55E8E" w14:textId="41C0B601" w:rsidR="00BF78F5" w:rsidRDefault="00391F44" w:rsidP="00BF78F5">
            <w:pPr>
              <w:pStyle w:val="TableBody"/>
            </w:pPr>
            <w:r>
              <w:rPr>
                <w:lang w:val="en-AU"/>
              </w:rPr>
              <w:t>London</w:t>
            </w:r>
            <w:r w:rsidR="00466FF2" w:rsidRPr="17F31E41">
              <w:rPr>
                <w:b/>
                <w:vertAlign w:val="superscript"/>
                <w:lang w:val="en-AU"/>
              </w:rPr>
              <w:t>i</w:t>
            </w:r>
          </w:p>
        </w:tc>
        <w:tc>
          <w:tcPr>
            <w:tcW w:w="1360" w:type="dxa"/>
            <w:vAlign w:val="center"/>
          </w:tcPr>
          <w:p w14:paraId="2929573D" w14:textId="4D6691BD" w:rsidR="00BF78F5" w:rsidRDefault="008C002B" w:rsidP="00BF78F5">
            <w:pPr>
              <w:pStyle w:val="TableBody"/>
              <w:jc w:val="center"/>
            </w:pPr>
            <w:r>
              <w:rPr>
                <w:rFonts w:ascii="Wingdings" w:eastAsia="Wingdings" w:hAnsi="Wingdings" w:cs="Wingdings"/>
              </w:rPr>
              <w:t>û</w:t>
            </w:r>
          </w:p>
        </w:tc>
        <w:tc>
          <w:tcPr>
            <w:tcW w:w="1361" w:type="dxa"/>
            <w:vAlign w:val="center"/>
          </w:tcPr>
          <w:p w14:paraId="32047722" w14:textId="77777777" w:rsidR="00BF78F5" w:rsidRDefault="00BF78F5" w:rsidP="00BF78F5">
            <w:pPr>
              <w:pStyle w:val="TableBody"/>
              <w:jc w:val="center"/>
            </w:pPr>
          </w:p>
        </w:tc>
        <w:tc>
          <w:tcPr>
            <w:tcW w:w="1360" w:type="dxa"/>
            <w:vAlign w:val="center"/>
          </w:tcPr>
          <w:p w14:paraId="705B2120" w14:textId="77777777" w:rsidR="00BF78F5" w:rsidRDefault="00BF78F5" w:rsidP="00BF78F5">
            <w:pPr>
              <w:pStyle w:val="TableBody"/>
              <w:jc w:val="center"/>
            </w:pPr>
          </w:p>
        </w:tc>
        <w:tc>
          <w:tcPr>
            <w:tcW w:w="1361" w:type="dxa"/>
            <w:vAlign w:val="center"/>
          </w:tcPr>
          <w:p w14:paraId="7312B74B" w14:textId="77777777" w:rsidR="00BF78F5" w:rsidRDefault="00BF78F5" w:rsidP="00BF78F5">
            <w:pPr>
              <w:pStyle w:val="TableBody"/>
              <w:jc w:val="center"/>
            </w:pPr>
          </w:p>
        </w:tc>
        <w:tc>
          <w:tcPr>
            <w:tcW w:w="1361" w:type="dxa"/>
            <w:vAlign w:val="center"/>
          </w:tcPr>
          <w:p w14:paraId="300E9D07" w14:textId="77777777" w:rsidR="00BF78F5" w:rsidRDefault="00BF78F5" w:rsidP="00BF78F5">
            <w:pPr>
              <w:pStyle w:val="TableBody"/>
              <w:jc w:val="center"/>
            </w:pPr>
          </w:p>
        </w:tc>
      </w:tr>
      <w:tr w:rsidR="00BF78F5" w14:paraId="1627EFAB" w14:textId="77777777" w:rsidTr="000F6C81">
        <w:trPr>
          <w:cnfStyle w:val="000000010000" w:firstRow="0" w:lastRow="0" w:firstColumn="0" w:lastColumn="0" w:oddVBand="0" w:evenVBand="0" w:oddHBand="0" w:evenHBand="1" w:firstRowFirstColumn="0" w:firstRowLastColumn="0" w:lastRowFirstColumn="0" w:lastRowLastColumn="0"/>
        </w:trPr>
        <w:tc>
          <w:tcPr>
            <w:tcW w:w="2835" w:type="dxa"/>
          </w:tcPr>
          <w:p w14:paraId="23B4C20F" w14:textId="254BF930" w:rsidR="00BF78F5" w:rsidRDefault="00BF78F5" w:rsidP="00BF78F5">
            <w:pPr>
              <w:pStyle w:val="TableBody"/>
              <w:rPr>
                <w:b/>
                <w:vertAlign w:val="superscript"/>
                <w:lang w:val="en-AU"/>
              </w:rPr>
            </w:pPr>
            <w:r w:rsidRPr="17F31E41">
              <w:rPr>
                <w:lang w:val="en-AU"/>
              </w:rPr>
              <w:t>Chicago</w:t>
            </w:r>
            <w:r w:rsidR="00466FF2" w:rsidRPr="17F31E41">
              <w:rPr>
                <w:b/>
                <w:vertAlign w:val="superscript"/>
                <w:lang w:val="en-AU"/>
              </w:rPr>
              <w:t>j</w:t>
            </w:r>
          </w:p>
        </w:tc>
        <w:tc>
          <w:tcPr>
            <w:tcW w:w="1360" w:type="dxa"/>
            <w:vAlign w:val="center"/>
          </w:tcPr>
          <w:p w14:paraId="68856D86" w14:textId="72F1E03D" w:rsidR="00BF78F5" w:rsidRDefault="008C002B" w:rsidP="00BF78F5">
            <w:pPr>
              <w:pStyle w:val="TableBody"/>
              <w:jc w:val="center"/>
            </w:pPr>
            <w:r>
              <w:rPr>
                <w:rFonts w:ascii="Wingdings" w:eastAsia="Wingdings" w:hAnsi="Wingdings" w:cs="Wingdings"/>
              </w:rPr>
              <w:t>û</w:t>
            </w:r>
          </w:p>
        </w:tc>
        <w:tc>
          <w:tcPr>
            <w:tcW w:w="1361" w:type="dxa"/>
            <w:vAlign w:val="center"/>
          </w:tcPr>
          <w:p w14:paraId="61C790BC" w14:textId="77777777" w:rsidR="00BF78F5" w:rsidRDefault="00BF78F5" w:rsidP="00BF78F5">
            <w:pPr>
              <w:pStyle w:val="TableBody"/>
              <w:jc w:val="center"/>
            </w:pPr>
          </w:p>
        </w:tc>
        <w:tc>
          <w:tcPr>
            <w:tcW w:w="1360" w:type="dxa"/>
            <w:vAlign w:val="center"/>
          </w:tcPr>
          <w:p w14:paraId="40085B15" w14:textId="77777777" w:rsidR="00BF78F5" w:rsidRDefault="00BF78F5" w:rsidP="00BF78F5">
            <w:pPr>
              <w:pStyle w:val="TableBody"/>
              <w:jc w:val="center"/>
            </w:pPr>
          </w:p>
        </w:tc>
        <w:tc>
          <w:tcPr>
            <w:tcW w:w="1361" w:type="dxa"/>
            <w:vAlign w:val="center"/>
          </w:tcPr>
          <w:p w14:paraId="1B9B05DB" w14:textId="77777777" w:rsidR="00BF78F5" w:rsidRDefault="00BF78F5" w:rsidP="00BF78F5">
            <w:pPr>
              <w:pStyle w:val="TableBody"/>
              <w:jc w:val="center"/>
            </w:pPr>
          </w:p>
        </w:tc>
        <w:tc>
          <w:tcPr>
            <w:tcW w:w="1361" w:type="dxa"/>
            <w:vAlign w:val="center"/>
          </w:tcPr>
          <w:p w14:paraId="253C5224" w14:textId="77777777" w:rsidR="00BF78F5" w:rsidRDefault="00BF78F5" w:rsidP="00BF78F5">
            <w:pPr>
              <w:pStyle w:val="TableBody"/>
              <w:jc w:val="center"/>
            </w:pPr>
          </w:p>
        </w:tc>
      </w:tr>
      <w:tr w:rsidR="00BF78F5" w14:paraId="4ED6CA99" w14:textId="77777777" w:rsidTr="000F6C81">
        <w:trPr>
          <w:cnfStyle w:val="000000100000" w:firstRow="0" w:lastRow="0" w:firstColumn="0" w:lastColumn="0" w:oddVBand="0" w:evenVBand="0" w:oddHBand="1" w:evenHBand="0" w:firstRowFirstColumn="0" w:firstRowLastColumn="0" w:lastRowFirstColumn="0" w:lastRowLastColumn="0"/>
        </w:trPr>
        <w:tc>
          <w:tcPr>
            <w:tcW w:w="2835" w:type="dxa"/>
          </w:tcPr>
          <w:p w14:paraId="15223CA1" w14:textId="6EA3673F" w:rsidR="00BF78F5" w:rsidRDefault="00BF78F5" w:rsidP="00BF78F5">
            <w:pPr>
              <w:pStyle w:val="TableBody"/>
            </w:pPr>
            <w:r w:rsidRPr="17F31E41">
              <w:rPr>
                <w:lang w:val="en-AU"/>
              </w:rPr>
              <w:t>Las Vegas</w:t>
            </w:r>
            <w:r w:rsidR="00466FF2" w:rsidRPr="17F31E41">
              <w:rPr>
                <w:b/>
                <w:vertAlign w:val="superscript"/>
                <w:lang w:val="en-AU"/>
              </w:rPr>
              <w:t>k</w:t>
            </w:r>
          </w:p>
        </w:tc>
        <w:tc>
          <w:tcPr>
            <w:tcW w:w="1360" w:type="dxa"/>
            <w:vAlign w:val="center"/>
          </w:tcPr>
          <w:p w14:paraId="5D7CA73B" w14:textId="77777777" w:rsidR="00BF78F5" w:rsidRDefault="00BF78F5" w:rsidP="00BF78F5">
            <w:pPr>
              <w:pStyle w:val="TableBody"/>
              <w:jc w:val="center"/>
            </w:pPr>
          </w:p>
        </w:tc>
        <w:tc>
          <w:tcPr>
            <w:tcW w:w="1361" w:type="dxa"/>
            <w:vAlign w:val="center"/>
          </w:tcPr>
          <w:p w14:paraId="12286BDC" w14:textId="44348988" w:rsidR="00BF78F5" w:rsidRDefault="008C002B" w:rsidP="00BF78F5">
            <w:pPr>
              <w:pStyle w:val="TableBody"/>
              <w:jc w:val="center"/>
            </w:pPr>
            <w:r>
              <w:rPr>
                <w:rFonts w:ascii="Wingdings" w:eastAsia="Wingdings" w:hAnsi="Wingdings" w:cs="Wingdings"/>
              </w:rPr>
              <w:t>û</w:t>
            </w:r>
          </w:p>
        </w:tc>
        <w:tc>
          <w:tcPr>
            <w:tcW w:w="1360" w:type="dxa"/>
            <w:vAlign w:val="center"/>
          </w:tcPr>
          <w:p w14:paraId="33BEA034" w14:textId="77777777" w:rsidR="00BF78F5" w:rsidRDefault="00BF78F5" w:rsidP="00BF78F5">
            <w:pPr>
              <w:pStyle w:val="TableBody"/>
              <w:jc w:val="center"/>
            </w:pPr>
          </w:p>
        </w:tc>
        <w:tc>
          <w:tcPr>
            <w:tcW w:w="1361" w:type="dxa"/>
            <w:vAlign w:val="center"/>
          </w:tcPr>
          <w:p w14:paraId="3314B718" w14:textId="77777777" w:rsidR="00BF78F5" w:rsidRDefault="00BF78F5" w:rsidP="00BF78F5">
            <w:pPr>
              <w:pStyle w:val="TableBody"/>
              <w:jc w:val="center"/>
            </w:pPr>
          </w:p>
        </w:tc>
        <w:tc>
          <w:tcPr>
            <w:tcW w:w="1361" w:type="dxa"/>
            <w:vAlign w:val="center"/>
          </w:tcPr>
          <w:p w14:paraId="3CC0E325" w14:textId="77777777" w:rsidR="00BF78F5" w:rsidRDefault="00BF78F5" w:rsidP="00BF78F5">
            <w:pPr>
              <w:pStyle w:val="TableBody"/>
              <w:jc w:val="center"/>
            </w:pPr>
          </w:p>
        </w:tc>
      </w:tr>
      <w:tr w:rsidR="00BF78F5" w14:paraId="19170D76" w14:textId="77777777" w:rsidTr="000F6C81">
        <w:trPr>
          <w:cnfStyle w:val="000000010000" w:firstRow="0" w:lastRow="0" w:firstColumn="0" w:lastColumn="0" w:oddVBand="0" w:evenVBand="0" w:oddHBand="0" w:evenHBand="1" w:firstRowFirstColumn="0" w:firstRowLastColumn="0" w:lastRowFirstColumn="0" w:lastRowLastColumn="0"/>
        </w:trPr>
        <w:tc>
          <w:tcPr>
            <w:tcW w:w="2835" w:type="dxa"/>
          </w:tcPr>
          <w:p w14:paraId="2127265A" w14:textId="0DBCE0AA" w:rsidR="00BF78F5" w:rsidRDefault="00BF78F5" w:rsidP="00BF78F5">
            <w:pPr>
              <w:pStyle w:val="TableBody"/>
            </w:pPr>
            <w:r w:rsidRPr="17F31E41">
              <w:rPr>
                <w:lang w:val="en-AU"/>
              </w:rPr>
              <w:t>New York</w:t>
            </w:r>
            <w:r w:rsidR="00466FF2" w:rsidRPr="17F31E41">
              <w:rPr>
                <w:b/>
                <w:vertAlign w:val="superscript"/>
                <w:lang w:val="en-AU"/>
              </w:rPr>
              <w:t>l</w:t>
            </w:r>
          </w:p>
        </w:tc>
        <w:tc>
          <w:tcPr>
            <w:tcW w:w="1360" w:type="dxa"/>
            <w:vAlign w:val="center"/>
          </w:tcPr>
          <w:p w14:paraId="75F70B35" w14:textId="2E8D0C89" w:rsidR="00BF78F5" w:rsidRDefault="008C002B" w:rsidP="00BF78F5">
            <w:pPr>
              <w:pStyle w:val="TableBody"/>
              <w:jc w:val="center"/>
            </w:pPr>
            <w:r>
              <w:rPr>
                <w:rFonts w:ascii="Wingdings" w:eastAsia="Wingdings" w:hAnsi="Wingdings" w:cs="Wingdings"/>
              </w:rPr>
              <w:t>û</w:t>
            </w:r>
          </w:p>
        </w:tc>
        <w:tc>
          <w:tcPr>
            <w:tcW w:w="1361" w:type="dxa"/>
            <w:vAlign w:val="center"/>
          </w:tcPr>
          <w:p w14:paraId="2175D928" w14:textId="77777777" w:rsidR="00BF78F5" w:rsidRDefault="00BF78F5" w:rsidP="00BF78F5">
            <w:pPr>
              <w:pStyle w:val="TableBody"/>
              <w:jc w:val="center"/>
            </w:pPr>
          </w:p>
        </w:tc>
        <w:tc>
          <w:tcPr>
            <w:tcW w:w="1360" w:type="dxa"/>
            <w:vAlign w:val="center"/>
          </w:tcPr>
          <w:p w14:paraId="41189265" w14:textId="77777777" w:rsidR="00BF78F5" w:rsidRDefault="00BF78F5" w:rsidP="00BF78F5">
            <w:pPr>
              <w:pStyle w:val="TableBody"/>
              <w:jc w:val="center"/>
            </w:pPr>
          </w:p>
        </w:tc>
        <w:tc>
          <w:tcPr>
            <w:tcW w:w="1361" w:type="dxa"/>
            <w:vAlign w:val="center"/>
          </w:tcPr>
          <w:p w14:paraId="66B515BD" w14:textId="77777777" w:rsidR="00BF78F5" w:rsidRDefault="00BF78F5" w:rsidP="00BF78F5">
            <w:pPr>
              <w:pStyle w:val="TableBody"/>
              <w:jc w:val="center"/>
            </w:pPr>
          </w:p>
        </w:tc>
        <w:tc>
          <w:tcPr>
            <w:tcW w:w="1361" w:type="dxa"/>
            <w:vAlign w:val="center"/>
          </w:tcPr>
          <w:p w14:paraId="4C0FE6D3" w14:textId="77777777" w:rsidR="00BF78F5" w:rsidRDefault="00BF78F5" w:rsidP="00BF78F5">
            <w:pPr>
              <w:pStyle w:val="TableBody"/>
              <w:jc w:val="center"/>
            </w:pPr>
          </w:p>
        </w:tc>
      </w:tr>
      <w:tr w:rsidR="00BF78F5" w14:paraId="35866997" w14:textId="77777777" w:rsidTr="000F6C81">
        <w:trPr>
          <w:cnfStyle w:val="000000100000" w:firstRow="0" w:lastRow="0" w:firstColumn="0" w:lastColumn="0" w:oddVBand="0" w:evenVBand="0" w:oddHBand="1" w:evenHBand="0" w:firstRowFirstColumn="0" w:firstRowLastColumn="0" w:lastRowFirstColumn="0" w:lastRowLastColumn="0"/>
        </w:trPr>
        <w:tc>
          <w:tcPr>
            <w:tcW w:w="2835" w:type="dxa"/>
          </w:tcPr>
          <w:p w14:paraId="246C356C" w14:textId="22038824" w:rsidR="00BF78F5" w:rsidRDefault="00BF78F5" w:rsidP="00BF78F5">
            <w:pPr>
              <w:pStyle w:val="TableBody"/>
            </w:pPr>
            <w:r w:rsidRPr="17F31E41">
              <w:rPr>
                <w:lang w:val="en-AU"/>
              </w:rPr>
              <w:t>Quebec</w:t>
            </w:r>
            <w:r w:rsidR="00466FF2" w:rsidRPr="17F31E41">
              <w:rPr>
                <w:b/>
                <w:vertAlign w:val="superscript"/>
                <w:lang w:val="en-AU"/>
              </w:rPr>
              <w:t>m</w:t>
            </w:r>
          </w:p>
        </w:tc>
        <w:tc>
          <w:tcPr>
            <w:tcW w:w="1360" w:type="dxa"/>
            <w:vAlign w:val="center"/>
          </w:tcPr>
          <w:p w14:paraId="664A23A2" w14:textId="7426AD59" w:rsidR="00BF78F5" w:rsidRDefault="008C002B" w:rsidP="00BF78F5">
            <w:pPr>
              <w:pStyle w:val="TableBody"/>
              <w:jc w:val="center"/>
            </w:pPr>
            <w:r>
              <w:rPr>
                <w:rFonts w:ascii="Wingdings" w:eastAsia="Wingdings" w:hAnsi="Wingdings" w:cs="Wingdings"/>
              </w:rPr>
              <w:t>û</w:t>
            </w:r>
          </w:p>
        </w:tc>
        <w:tc>
          <w:tcPr>
            <w:tcW w:w="1361" w:type="dxa"/>
            <w:vAlign w:val="center"/>
          </w:tcPr>
          <w:p w14:paraId="4545EEEB" w14:textId="77777777" w:rsidR="00BF78F5" w:rsidRDefault="00BF78F5" w:rsidP="00BF78F5">
            <w:pPr>
              <w:pStyle w:val="TableBody"/>
              <w:jc w:val="center"/>
            </w:pPr>
          </w:p>
        </w:tc>
        <w:tc>
          <w:tcPr>
            <w:tcW w:w="1360" w:type="dxa"/>
            <w:vAlign w:val="center"/>
          </w:tcPr>
          <w:p w14:paraId="26EB8AE2" w14:textId="77777777" w:rsidR="00BF78F5" w:rsidRDefault="00BF78F5" w:rsidP="00BF78F5">
            <w:pPr>
              <w:pStyle w:val="TableBody"/>
              <w:jc w:val="center"/>
            </w:pPr>
          </w:p>
        </w:tc>
        <w:tc>
          <w:tcPr>
            <w:tcW w:w="1361" w:type="dxa"/>
            <w:vAlign w:val="center"/>
          </w:tcPr>
          <w:p w14:paraId="353BCDF4" w14:textId="77777777" w:rsidR="00BF78F5" w:rsidRDefault="00BF78F5" w:rsidP="00BF78F5">
            <w:pPr>
              <w:pStyle w:val="TableBody"/>
              <w:jc w:val="center"/>
            </w:pPr>
          </w:p>
        </w:tc>
        <w:tc>
          <w:tcPr>
            <w:tcW w:w="1361" w:type="dxa"/>
            <w:vAlign w:val="center"/>
          </w:tcPr>
          <w:p w14:paraId="5258D8EA" w14:textId="77777777" w:rsidR="00BF78F5" w:rsidRDefault="00BF78F5" w:rsidP="00BF78F5">
            <w:pPr>
              <w:pStyle w:val="TableBody"/>
              <w:jc w:val="center"/>
            </w:pPr>
          </w:p>
        </w:tc>
      </w:tr>
      <w:tr w:rsidR="00BF78F5" w14:paraId="4015FA4F" w14:textId="77777777" w:rsidTr="000F6C81">
        <w:trPr>
          <w:cnfStyle w:val="000000010000" w:firstRow="0" w:lastRow="0" w:firstColumn="0" w:lastColumn="0" w:oddVBand="0" w:evenVBand="0" w:oddHBand="0" w:evenHBand="1" w:firstRowFirstColumn="0" w:firstRowLastColumn="0" w:lastRowFirstColumn="0" w:lastRowLastColumn="0"/>
        </w:trPr>
        <w:tc>
          <w:tcPr>
            <w:tcW w:w="2835" w:type="dxa"/>
          </w:tcPr>
          <w:p w14:paraId="008DA4DE" w14:textId="43A1F7D0" w:rsidR="00BF78F5" w:rsidRDefault="00BF78F5" w:rsidP="00BF78F5">
            <w:pPr>
              <w:pStyle w:val="TableBody"/>
            </w:pPr>
            <w:r w:rsidRPr="17F31E41">
              <w:rPr>
                <w:lang w:val="en-AU"/>
              </w:rPr>
              <w:t>European Union</w:t>
            </w:r>
            <w:r w:rsidR="00627077">
              <w:rPr>
                <w:vertAlign w:val="superscript"/>
                <w:lang w:val="en-AU"/>
              </w:rPr>
              <w:t>n</w:t>
            </w:r>
          </w:p>
        </w:tc>
        <w:tc>
          <w:tcPr>
            <w:tcW w:w="1360" w:type="dxa"/>
            <w:vAlign w:val="center"/>
          </w:tcPr>
          <w:p w14:paraId="54FA9869" w14:textId="224F3B51" w:rsidR="00BF78F5" w:rsidRDefault="008C002B" w:rsidP="00BF78F5">
            <w:pPr>
              <w:pStyle w:val="TableBody"/>
              <w:jc w:val="center"/>
            </w:pPr>
            <w:r>
              <w:rPr>
                <w:rFonts w:ascii="Wingdings" w:eastAsia="Wingdings" w:hAnsi="Wingdings" w:cs="Wingdings"/>
              </w:rPr>
              <w:t>û</w:t>
            </w:r>
          </w:p>
        </w:tc>
        <w:tc>
          <w:tcPr>
            <w:tcW w:w="1361" w:type="dxa"/>
            <w:vAlign w:val="center"/>
          </w:tcPr>
          <w:p w14:paraId="2CB5E417" w14:textId="77777777" w:rsidR="00BF78F5" w:rsidRDefault="00BF78F5" w:rsidP="00BF78F5">
            <w:pPr>
              <w:pStyle w:val="TableBody"/>
              <w:jc w:val="center"/>
            </w:pPr>
          </w:p>
        </w:tc>
        <w:tc>
          <w:tcPr>
            <w:tcW w:w="1360" w:type="dxa"/>
            <w:vAlign w:val="center"/>
          </w:tcPr>
          <w:p w14:paraId="58FC1388" w14:textId="77777777" w:rsidR="00BF78F5" w:rsidRDefault="00BF78F5" w:rsidP="00BF78F5">
            <w:pPr>
              <w:pStyle w:val="TableBody"/>
              <w:jc w:val="center"/>
            </w:pPr>
          </w:p>
        </w:tc>
        <w:tc>
          <w:tcPr>
            <w:tcW w:w="1361" w:type="dxa"/>
            <w:vAlign w:val="center"/>
          </w:tcPr>
          <w:p w14:paraId="598625B1" w14:textId="77777777" w:rsidR="00BF78F5" w:rsidRDefault="00BF78F5" w:rsidP="00BF78F5">
            <w:pPr>
              <w:pStyle w:val="TableBody"/>
              <w:jc w:val="center"/>
            </w:pPr>
          </w:p>
        </w:tc>
        <w:tc>
          <w:tcPr>
            <w:tcW w:w="1361" w:type="dxa"/>
            <w:vAlign w:val="center"/>
          </w:tcPr>
          <w:p w14:paraId="0A60D69D" w14:textId="77777777" w:rsidR="00BF78F5" w:rsidRDefault="00BF78F5" w:rsidP="00BF78F5">
            <w:pPr>
              <w:pStyle w:val="TableBody"/>
              <w:jc w:val="center"/>
            </w:pPr>
          </w:p>
        </w:tc>
      </w:tr>
    </w:tbl>
    <w:p w14:paraId="3B8DAB67" w14:textId="68D41274" w:rsidR="0001740F" w:rsidRDefault="00422EDC" w:rsidP="00BA2121">
      <w:pPr>
        <w:pStyle w:val="Source"/>
        <w:jc w:val="left"/>
      </w:pPr>
      <w:r w:rsidRPr="00422EDC">
        <w:rPr>
          <w:b/>
          <w:bCs/>
          <w:vertAlign w:val="superscript"/>
        </w:rPr>
        <w:t>a </w:t>
      </w:r>
      <w:r w:rsidR="007541BC" w:rsidRPr="007541BC">
        <w:t xml:space="preserve">Australian Capital Territory: </w:t>
      </w:r>
      <w:hyperlink r:id="rId48" w:history="1">
        <w:r w:rsidRPr="00F332FD">
          <w:rPr>
            <w:rStyle w:val="Hyperlink"/>
          </w:rPr>
          <w:t xml:space="preserve">https://www.canberratimes.com.au/story/6045011/canberra-taxi-surcharges-to-be-capped-to-curb-exorbitant-card-fees/ </w:t>
        </w:r>
      </w:hyperlink>
      <w:r w:rsidRPr="005244F1">
        <w:t>(last accessed 21 March 2024)</w:t>
      </w:r>
      <w:r w:rsidR="003F3F6A">
        <w:t xml:space="preserve">. </w:t>
      </w:r>
      <w:r w:rsidR="003F3F6A" w:rsidRPr="003F3F6A">
        <w:rPr>
          <w:b/>
          <w:bCs/>
          <w:vertAlign w:val="superscript"/>
        </w:rPr>
        <w:t>b</w:t>
      </w:r>
      <w:r w:rsidR="003F3F6A">
        <w:t> </w:t>
      </w:r>
      <w:r w:rsidR="005A2072">
        <w:t xml:space="preserve">New South Wales: </w:t>
      </w:r>
      <w:hyperlink r:id="rId49" w:history="1">
        <w:r w:rsidR="00BB7525" w:rsidRPr="008D4FA2">
          <w:rPr>
            <w:rStyle w:val="Hyperlink"/>
          </w:rPr>
          <w:t>https://www.transport.nsw.gov.au/system/files/media/documents/2023/Point-to-Point-Transport_Fares_Order.pdf</w:t>
        </w:r>
      </w:hyperlink>
      <w:r w:rsidR="00BB7525" w:rsidRPr="000A74F0">
        <w:t xml:space="preserve"> </w:t>
      </w:r>
      <w:r w:rsidR="00BB7525" w:rsidRPr="000A74F0">
        <w:lastRenderedPageBreak/>
        <w:t xml:space="preserve">(accessed </w:t>
      </w:r>
      <w:r w:rsidR="00FC07CB">
        <w:t>18 July</w:t>
      </w:r>
      <w:r w:rsidR="00BB7525" w:rsidRPr="000A74F0">
        <w:t xml:space="preserve"> 2024)</w:t>
      </w:r>
      <w:r w:rsidR="00BB7525">
        <w:t xml:space="preserve">. </w:t>
      </w:r>
      <w:r w:rsidR="001D5577" w:rsidRPr="001D5577">
        <w:rPr>
          <w:b/>
          <w:bCs/>
          <w:vertAlign w:val="superscript"/>
        </w:rPr>
        <w:t>c</w:t>
      </w:r>
      <w:r w:rsidR="001D5577">
        <w:rPr>
          <w:b/>
          <w:bCs/>
          <w:vertAlign w:val="superscript"/>
        </w:rPr>
        <w:t> </w:t>
      </w:r>
      <w:r w:rsidR="005C2108" w:rsidRPr="005C2108">
        <w:t xml:space="preserve">Queensland: </w:t>
      </w:r>
      <w:hyperlink r:id="rId50" w:history="1">
        <w:r w:rsidR="001D5577" w:rsidRPr="00E628BA">
          <w:rPr>
            <w:rStyle w:val="Hyperlink"/>
          </w:rPr>
          <w:t>https://www.tmr.qld.gov.au/business-industry/Taxi-and-limousine/Industry-information/Industry-regulations/Maximum-payment-surcharge</w:t>
        </w:r>
      </w:hyperlink>
      <w:r w:rsidR="001D5577" w:rsidRPr="0036305F">
        <w:t xml:space="preserve"> (accessed </w:t>
      </w:r>
      <w:r w:rsidR="008574A6">
        <w:t>18 July</w:t>
      </w:r>
      <w:r w:rsidR="001D5577" w:rsidRPr="0036305F">
        <w:t xml:space="preserve"> 2024)</w:t>
      </w:r>
      <w:r w:rsidR="00124CE5">
        <w:t xml:space="preserve">. </w:t>
      </w:r>
      <w:r w:rsidR="00124CE5" w:rsidRPr="00E47016">
        <w:rPr>
          <w:b/>
          <w:bCs/>
          <w:vertAlign w:val="superscript"/>
        </w:rPr>
        <w:t>d</w:t>
      </w:r>
      <w:r w:rsidR="00124CE5">
        <w:t> </w:t>
      </w:r>
      <w:r w:rsidR="00D06692">
        <w:t xml:space="preserve">Northern Territory: </w:t>
      </w:r>
      <w:hyperlink r:id="rId51" w:history="1">
        <w:r w:rsidR="00E47016" w:rsidRPr="007707A2">
          <w:rPr>
            <w:rStyle w:val="Hyperlink"/>
          </w:rPr>
          <w:t>https://nt.gov.au/driving/industry/commercial-passenger-vehicles/taxi-areas-meters-and-fares</w:t>
        </w:r>
      </w:hyperlink>
      <w:r w:rsidR="00E47016" w:rsidRPr="00A63AD4">
        <w:t xml:space="preserve"> (accessed </w:t>
      </w:r>
      <w:r w:rsidR="00532431">
        <w:t>18 July</w:t>
      </w:r>
      <w:r w:rsidR="00E47016" w:rsidRPr="00A63AD4">
        <w:t xml:space="preserve"> 2024)</w:t>
      </w:r>
      <w:r w:rsidR="00E47016">
        <w:t xml:space="preserve">. </w:t>
      </w:r>
      <w:r w:rsidR="007F1A5F" w:rsidRPr="007F1A5F">
        <w:rPr>
          <w:b/>
          <w:bCs/>
          <w:vertAlign w:val="superscript"/>
        </w:rPr>
        <w:t>e</w:t>
      </w:r>
      <w:r w:rsidR="007F1A5F">
        <w:t> </w:t>
      </w:r>
      <w:r w:rsidR="00383D7B">
        <w:t xml:space="preserve">South Australia: </w:t>
      </w:r>
      <w:hyperlink r:id="rId52" w:history="1">
        <w:r w:rsidR="007F1A5F" w:rsidRPr="00B4114A">
          <w:rPr>
            <w:rStyle w:val="Hyperlink"/>
          </w:rPr>
          <w:t>https://www.sa.gov.au/topics/driving-and-transport/industry-services/taxi-and-passenger-transport/taxis</w:t>
        </w:r>
      </w:hyperlink>
      <w:r w:rsidR="007F1A5F" w:rsidRPr="00121361">
        <w:t xml:space="preserve"> (accessed </w:t>
      </w:r>
      <w:r w:rsidR="00532431">
        <w:t>18 July</w:t>
      </w:r>
      <w:r w:rsidR="007F1A5F" w:rsidRPr="00121361">
        <w:t xml:space="preserve"> 2024</w:t>
      </w:r>
      <w:r w:rsidR="00532431">
        <w:t>)</w:t>
      </w:r>
      <w:r w:rsidR="00727A64">
        <w:t>.</w:t>
      </w:r>
      <w:r w:rsidR="00727A64" w:rsidRPr="00BA52C1">
        <w:rPr>
          <w:b/>
          <w:bCs/>
          <w:vertAlign w:val="superscript"/>
        </w:rPr>
        <w:t>f</w:t>
      </w:r>
      <w:r w:rsidR="00BA52C1">
        <w:t> </w:t>
      </w:r>
      <w:r w:rsidR="00CE10A5">
        <w:t xml:space="preserve">Tasmania: </w:t>
      </w:r>
      <w:hyperlink r:id="rId53" w:history="1">
        <w:r w:rsidR="00BA52C1" w:rsidRPr="003F374D">
          <w:rPr>
            <w:rStyle w:val="Hyperlink"/>
          </w:rPr>
          <w:t>https://www.transport.tas.gov.au/public_transport/taxis_and_ride_sourcing/calculating_your_fare/accordion/what_other_fees_and_charges_apply_to_taxis</w:t>
        </w:r>
      </w:hyperlink>
      <w:r w:rsidR="00BA52C1" w:rsidRPr="00187550">
        <w:t xml:space="preserve"> (accessed </w:t>
      </w:r>
      <w:r w:rsidR="00675963">
        <w:t>18 July</w:t>
      </w:r>
      <w:r w:rsidR="00BA52C1" w:rsidRPr="00187550">
        <w:t xml:space="preserve"> 2024)</w:t>
      </w:r>
      <w:r w:rsidR="00BA52C1">
        <w:t>.</w:t>
      </w:r>
      <w:r w:rsidR="00100584">
        <w:t xml:space="preserve"> </w:t>
      </w:r>
      <w:r w:rsidR="00BA52C1" w:rsidRPr="00BA52C1">
        <w:rPr>
          <w:b/>
          <w:bCs/>
          <w:vertAlign w:val="superscript"/>
        </w:rPr>
        <w:t>g</w:t>
      </w:r>
      <w:r w:rsidR="00BA52C1">
        <w:t> </w:t>
      </w:r>
      <w:r w:rsidR="00144693">
        <w:t xml:space="preserve">Western Australia: </w:t>
      </w:r>
      <w:hyperlink r:id="rId54" w:history="1">
        <w:r w:rsidR="00BA52C1" w:rsidRPr="00017E50">
          <w:rPr>
            <w:rStyle w:val="Hyperlink"/>
          </w:rPr>
          <w:t>https://www.transport.wa.gov.au/On-demandTransport/on-demand-rank-or-hail-taxi-fares.asp</w:t>
        </w:r>
      </w:hyperlink>
      <w:r w:rsidR="00BA52C1" w:rsidRPr="00C85277">
        <w:t xml:space="preserve"> (accessed </w:t>
      </w:r>
      <w:r w:rsidR="003876F6">
        <w:t>18 July</w:t>
      </w:r>
      <w:r w:rsidR="00BA52C1" w:rsidRPr="00C85277">
        <w:t xml:space="preserve"> 2024)</w:t>
      </w:r>
      <w:r w:rsidR="00BA52C1">
        <w:t>.</w:t>
      </w:r>
      <w:r w:rsidR="00A54D61">
        <w:t xml:space="preserve"> </w:t>
      </w:r>
      <w:r w:rsidR="00A54D61" w:rsidRPr="00A54D61">
        <w:rPr>
          <w:b/>
          <w:bCs/>
          <w:vertAlign w:val="superscript"/>
        </w:rPr>
        <w:t>h</w:t>
      </w:r>
      <w:r w:rsidR="00A54D61">
        <w:t> </w:t>
      </w:r>
      <w:r w:rsidR="00E7201D">
        <w:t>Singapore</w:t>
      </w:r>
      <w:r w:rsidR="00A70311">
        <w:t xml:space="preserve">: </w:t>
      </w:r>
      <w:hyperlink r:id="rId55" w:history="1">
        <w:r w:rsidR="00C77388" w:rsidRPr="00A70311">
          <w:rPr>
            <w:rStyle w:val="Hyperlink"/>
          </w:rPr>
          <w:t>https://www.cdgtaxi.com.sg/ride-with-us/fares/</w:t>
        </w:r>
      </w:hyperlink>
      <w:r w:rsidR="00C77388" w:rsidRPr="00C77388">
        <w:t xml:space="preserve"> (last accessed </w:t>
      </w:r>
      <w:r w:rsidR="001904A2">
        <w:t>18 July</w:t>
      </w:r>
      <w:r w:rsidR="00C77388" w:rsidRPr="00C77388">
        <w:t xml:space="preserve"> 2024)</w:t>
      </w:r>
      <w:r w:rsidR="00C77388">
        <w:t xml:space="preserve">. </w:t>
      </w:r>
      <w:r w:rsidR="00C77388" w:rsidRPr="00C77388">
        <w:rPr>
          <w:b/>
          <w:bCs/>
          <w:vertAlign w:val="superscript"/>
        </w:rPr>
        <w:t>i </w:t>
      </w:r>
      <w:r w:rsidR="00391F44">
        <w:t>London</w:t>
      </w:r>
      <w:r w:rsidR="00093A23" w:rsidRPr="00093A23">
        <w:t xml:space="preserve">: </w:t>
      </w:r>
      <w:hyperlink r:id="rId56" w:history="1">
        <w:r w:rsidR="00093A23" w:rsidRPr="00DC2526">
          <w:rPr>
            <w:rStyle w:val="Hyperlink"/>
          </w:rPr>
          <w:t>https://tfl.gov.uk/modes/taxis-and-minicabs/taxi-fares</w:t>
        </w:r>
      </w:hyperlink>
      <w:r w:rsidR="00B343FE" w:rsidRPr="00B343FE">
        <w:t xml:space="preserve"> (last accessed</w:t>
      </w:r>
      <w:r w:rsidR="006C2668">
        <w:t xml:space="preserve"> 18 July</w:t>
      </w:r>
      <w:r w:rsidR="00B343FE" w:rsidRPr="00B343FE">
        <w:t xml:space="preserve"> 2024)</w:t>
      </w:r>
      <w:r w:rsidR="00254A09">
        <w:t xml:space="preserve">. </w:t>
      </w:r>
      <w:r w:rsidR="00254A09" w:rsidRPr="00254A09">
        <w:rPr>
          <w:b/>
          <w:bCs/>
          <w:vertAlign w:val="superscript"/>
        </w:rPr>
        <w:t>j</w:t>
      </w:r>
      <w:r w:rsidR="00254A09">
        <w:t> </w:t>
      </w:r>
      <w:r w:rsidR="00100584">
        <w:t>Chicago</w:t>
      </w:r>
      <w:r w:rsidR="00554E2D">
        <w:t xml:space="preserve">: </w:t>
      </w:r>
      <w:hyperlink r:id="rId57" w:history="1">
        <w:r w:rsidR="00554E2D" w:rsidRPr="00E2010D">
          <w:rPr>
            <w:rStyle w:val="Hyperlink"/>
          </w:rPr>
          <w:t>https://311.chicago.gov/s/article/Paying-for-a-cab-with-a-credit-or-debit-card-brochure?language=en_US</w:t>
        </w:r>
      </w:hyperlink>
      <w:r w:rsidR="00554E2D" w:rsidRPr="00554E2D">
        <w:t xml:space="preserve"> (last accessed </w:t>
      </w:r>
      <w:r w:rsidR="00DA5753">
        <w:t>18 July</w:t>
      </w:r>
      <w:r w:rsidR="00554E2D" w:rsidRPr="00554E2D">
        <w:t xml:space="preserve"> 2024)</w:t>
      </w:r>
      <w:r w:rsidR="00B72439">
        <w:t xml:space="preserve">. </w:t>
      </w:r>
      <w:r w:rsidR="00B72439" w:rsidRPr="00B72439">
        <w:rPr>
          <w:b/>
          <w:bCs/>
          <w:vertAlign w:val="superscript"/>
        </w:rPr>
        <w:t>k</w:t>
      </w:r>
      <w:r w:rsidR="00B72439">
        <w:t> </w:t>
      </w:r>
      <w:r w:rsidR="00100584">
        <w:t>Las Vegas</w:t>
      </w:r>
      <w:r w:rsidR="00CD1D7C">
        <w:t xml:space="preserve">: </w:t>
      </w:r>
      <w:hyperlink r:id="rId58" w:history="1">
        <w:r w:rsidR="00CD1D7C" w:rsidRPr="00D63207">
          <w:rPr>
            <w:rStyle w:val="Hyperlink"/>
          </w:rPr>
          <w:t>https://taxi.nv.gov/Rider_Info/Approximate_Fare_Information/</w:t>
        </w:r>
      </w:hyperlink>
      <w:r w:rsidR="00CD1D7C" w:rsidRPr="00CD1D7C">
        <w:t xml:space="preserve"> (last accessed </w:t>
      </w:r>
      <w:r w:rsidR="002E7AD2">
        <w:t>18 July</w:t>
      </w:r>
      <w:r w:rsidR="00CD1D7C" w:rsidRPr="00CD1D7C">
        <w:t xml:space="preserve"> 2024)</w:t>
      </w:r>
      <w:r w:rsidR="00AB69A0">
        <w:t xml:space="preserve">. </w:t>
      </w:r>
      <w:r w:rsidR="00AB69A0" w:rsidRPr="00AB69A0">
        <w:rPr>
          <w:b/>
          <w:bCs/>
          <w:vertAlign w:val="superscript"/>
        </w:rPr>
        <w:t>l</w:t>
      </w:r>
      <w:r w:rsidR="00AB69A0">
        <w:t> </w:t>
      </w:r>
      <w:r w:rsidR="00100584">
        <w:t>New York</w:t>
      </w:r>
      <w:r w:rsidR="007F3D75">
        <w:t xml:space="preserve">: </w:t>
      </w:r>
      <w:hyperlink r:id="rId59" w:history="1">
        <w:r w:rsidR="007F3D75" w:rsidRPr="00C749D5">
          <w:rPr>
            <w:rStyle w:val="Hyperlink"/>
          </w:rPr>
          <w:t>https://www1.nyc.gov/site/tlc/passengers/taxi-fare.page</w:t>
        </w:r>
      </w:hyperlink>
      <w:r w:rsidR="007F3D75" w:rsidRPr="007F3D75">
        <w:t xml:space="preserve"> (last accessed </w:t>
      </w:r>
      <w:r w:rsidR="00FE673E">
        <w:t>18 July</w:t>
      </w:r>
      <w:r w:rsidR="007F3D75" w:rsidRPr="007F3D75">
        <w:t xml:space="preserve"> 2024)</w:t>
      </w:r>
      <w:r w:rsidR="007F3D75">
        <w:t xml:space="preserve">. </w:t>
      </w:r>
      <w:r w:rsidR="007F3D75" w:rsidRPr="00D90154">
        <w:rPr>
          <w:b/>
          <w:bCs/>
          <w:vertAlign w:val="superscript"/>
        </w:rPr>
        <w:t>m</w:t>
      </w:r>
      <w:r w:rsidR="007F3D75">
        <w:t> </w:t>
      </w:r>
      <w:r w:rsidR="00100584">
        <w:t>Quebec</w:t>
      </w:r>
      <w:r w:rsidR="00D90154">
        <w:t>:</w:t>
      </w:r>
      <w:r w:rsidR="00D411CB" w:rsidRPr="00D411CB">
        <w:t xml:space="preserve"> https://www.opc.gouv.qc.ca/en/consumer/topic/price-discount/advertised-price/debit-credit-card/</w:t>
      </w:r>
      <w:r w:rsidR="00D90154">
        <w:t xml:space="preserve"> </w:t>
      </w:r>
      <w:r w:rsidR="005F7062" w:rsidRPr="005F7062">
        <w:t xml:space="preserve">(last accessed </w:t>
      </w:r>
      <w:r w:rsidR="00620CE3">
        <w:t>18 July</w:t>
      </w:r>
      <w:r w:rsidR="005F7062" w:rsidRPr="005F7062">
        <w:t xml:space="preserve"> 2024)</w:t>
      </w:r>
      <w:r w:rsidR="005F7062">
        <w:t xml:space="preserve">. </w:t>
      </w:r>
      <w:r w:rsidR="00FC545E" w:rsidRPr="00FC545E">
        <w:rPr>
          <w:b/>
          <w:bCs/>
          <w:vertAlign w:val="superscript"/>
        </w:rPr>
        <w:t>n</w:t>
      </w:r>
      <w:r w:rsidR="00FC545E">
        <w:t> </w:t>
      </w:r>
      <w:r w:rsidR="00100584">
        <w:t>European Union</w:t>
      </w:r>
      <w:r w:rsidR="00FC545E">
        <w:t xml:space="preserve">: </w:t>
      </w:r>
      <w:r w:rsidR="004C1A81" w:rsidRPr="004C1A81">
        <w:t>https://europa.eu/youreurope/business/finance-funding/making-receiving-payments/electronic-cash-payments.</w:t>
      </w:r>
      <w:r w:rsidR="000613B7" w:rsidRPr="000613B7">
        <w:t xml:space="preserve">(last accessed </w:t>
      </w:r>
      <w:r w:rsidR="004C1A81">
        <w:t>18 July</w:t>
      </w:r>
      <w:r w:rsidR="000613B7" w:rsidRPr="000613B7">
        <w:t xml:space="preserve"> 2024)</w:t>
      </w:r>
      <w:r w:rsidR="000613B7">
        <w:t>.</w:t>
      </w:r>
    </w:p>
    <w:p w14:paraId="03418FFE" w14:textId="7436EE66" w:rsidR="00512E01" w:rsidRDefault="00035930" w:rsidP="00BD1852">
      <w:r>
        <w:t xml:space="preserve">GM Cabs submission </w:t>
      </w:r>
      <w:r w:rsidR="0096232E">
        <w:t>on</w:t>
      </w:r>
      <w:r>
        <w:t xml:space="preserve"> our draft decision noted that some of the jurisdictions that</w:t>
      </w:r>
      <w:r w:rsidR="005438DF">
        <w:t xml:space="preserve"> removed surcharging provided a one-off increase in taxi fares to </w:t>
      </w:r>
      <w:r w:rsidR="00C03A31">
        <w:t>recover the cost of providing</w:t>
      </w:r>
      <w:r w:rsidR="005438DF">
        <w:t xml:space="preserve"> non-cash payment s</w:t>
      </w:r>
      <w:r w:rsidR="00C03A31">
        <w:t>ervices</w:t>
      </w:r>
      <w:r w:rsidR="005438DF">
        <w:t>.</w:t>
      </w:r>
      <w:r w:rsidR="005438DF">
        <w:rPr>
          <w:rStyle w:val="FootnoteReference"/>
        </w:rPr>
        <w:footnoteReference w:id="81"/>
      </w:r>
    </w:p>
    <w:p w14:paraId="016FC56D" w14:textId="0816A82F" w:rsidR="00F55928" w:rsidRPr="00BD1852" w:rsidRDefault="00F55928" w:rsidP="00BD1852">
      <w:pPr>
        <w:sectPr w:rsidR="00F55928" w:rsidRPr="00BD1852" w:rsidSect="0053218D">
          <w:footerReference w:type="default" r:id="rId60"/>
          <w:pgSz w:w="11906" w:h="16838" w:code="9"/>
          <w:pgMar w:top="1134" w:right="1134" w:bottom="1134" w:left="1134" w:header="709" w:footer="692" w:gutter="0"/>
          <w:cols w:space="708"/>
          <w:docGrid w:linePitch="360"/>
        </w:sectPr>
      </w:pPr>
    </w:p>
    <w:p w14:paraId="37F58DDC" w14:textId="3C2950B2" w:rsidR="00772EB1" w:rsidRPr="00710792" w:rsidRDefault="00EA25E9" w:rsidP="00772EB1">
      <w:pPr>
        <w:pStyle w:val="Heading1"/>
        <w:rPr>
          <w:rFonts w:eastAsiaTheme="minorHAnsi"/>
        </w:rPr>
      </w:pPr>
      <w:bookmarkStart w:id="238" w:name="_Toc174692692"/>
      <w:r w:rsidRPr="00EA25E9">
        <w:lastRenderedPageBreak/>
        <w:t xml:space="preserve">Appendix </w:t>
      </w:r>
      <w:r w:rsidR="008764D4">
        <w:t>E</w:t>
      </w:r>
      <w:r w:rsidRPr="00EA25E9">
        <w:t>: Taxi cost index</w:t>
      </w:r>
      <w:r w:rsidR="00652CCB">
        <w:t>es</w:t>
      </w:r>
      <w:bookmarkEnd w:id="238"/>
    </w:p>
    <w:p w14:paraId="2180546D" w14:textId="6D3AAAC9" w:rsidR="00146595" w:rsidRDefault="00146595" w:rsidP="00146595">
      <w:r>
        <w:t>A cost index provides a way to estimate and track the cost of a good or service over time. We use</w:t>
      </w:r>
      <w:r w:rsidR="006A0CAF">
        <w:t>d</w:t>
      </w:r>
      <w:r>
        <w:t xml:space="preserve"> </w:t>
      </w:r>
      <w:r w:rsidR="00131966">
        <w:t xml:space="preserve">two </w:t>
      </w:r>
      <w:r>
        <w:t>taxi cost index</w:t>
      </w:r>
      <w:r w:rsidR="00131966">
        <w:t>es</w:t>
      </w:r>
      <w:r>
        <w:t xml:space="preserve"> to </w:t>
      </w:r>
      <w:r w:rsidR="007B7DCE">
        <w:t>estimate</w:t>
      </w:r>
      <w:r>
        <w:t xml:space="preserve"> changes in the cost of operating a taxi over time</w:t>
      </w:r>
      <w:r w:rsidR="00131966">
        <w:t xml:space="preserve"> </w:t>
      </w:r>
      <w:r w:rsidR="00933DC8">
        <w:t>– one for</w:t>
      </w:r>
      <w:r w:rsidR="00513549">
        <w:t xml:space="preserve"> </w:t>
      </w:r>
      <w:r w:rsidR="00C34073">
        <w:t>conventional taxis and one for wheelchair accessible taxis</w:t>
      </w:r>
      <w:r>
        <w:t xml:space="preserve">. </w:t>
      </w:r>
    </w:p>
    <w:p w14:paraId="1C3061A3" w14:textId="1E0E703C" w:rsidR="00D60BCD" w:rsidRDefault="00E02195" w:rsidP="00E02195">
      <w:r>
        <w:t xml:space="preserve">This </w:t>
      </w:r>
      <w:r w:rsidR="00E8005D">
        <w:t>A</w:t>
      </w:r>
      <w:r>
        <w:t xml:space="preserve">ppendix </w:t>
      </w:r>
      <w:r w:rsidR="00D60BCD">
        <w:t>discusses how we constructed the taxi cost index</w:t>
      </w:r>
      <w:r w:rsidR="00C34073">
        <w:t>es</w:t>
      </w:r>
      <w:r w:rsidR="00D60BCD">
        <w:t xml:space="preserve"> and how we used </w:t>
      </w:r>
      <w:r w:rsidR="00C34073">
        <w:t xml:space="preserve">them </w:t>
      </w:r>
      <w:r w:rsidR="00D60BCD">
        <w:t xml:space="preserve">to </w:t>
      </w:r>
      <w:r w:rsidR="007B7DCE">
        <w:t>estimat</w:t>
      </w:r>
      <w:r w:rsidR="00D60BCD">
        <w:t xml:space="preserve">e </w:t>
      </w:r>
      <w:r w:rsidR="008C1B70">
        <w:t xml:space="preserve">the </w:t>
      </w:r>
      <w:r w:rsidR="00F53FF3">
        <w:t xml:space="preserve">change in </w:t>
      </w:r>
      <w:r w:rsidR="0006644A">
        <w:t xml:space="preserve">the </w:t>
      </w:r>
      <w:r w:rsidR="00F53FF3">
        <w:t xml:space="preserve">costs of operating </w:t>
      </w:r>
      <w:r w:rsidR="0006644A">
        <w:t>conventional and wheelchair accessible</w:t>
      </w:r>
      <w:r w:rsidR="00F53FF3">
        <w:t xml:space="preserve"> taxi</w:t>
      </w:r>
      <w:r w:rsidR="0006644A">
        <w:t>s</w:t>
      </w:r>
      <w:r w:rsidR="00F53FF3">
        <w:t xml:space="preserve"> since our last review. </w:t>
      </w:r>
    </w:p>
    <w:p w14:paraId="2FF976E6" w14:textId="482A12DB" w:rsidR="00922773" w:rsidRDefault="00922773" w:rsidP="00146595">
      <w:pPr>
        <w:pStyle w:val="Pull-out"/>
      </w:pPr>
      <w:r>
        <w:t>Under the Essential Services Commission Act, we must have regard to the efficient costs of operating a taxi. We estimated efficient costs using the costs for an ‘average taxi’ recognising that actual average costs can differ significantly between different operators depending on factors such as size and operating model.</w:t>
      </w:r>
    </w:p>
    <w:p w14:paraId="215019D8" w14:textId="366A6B08" w:rsidR="00551D6B" w:rsidRDefault="00551D6B" w:rsidP="00551D6B">
      <w:pPr>
        <w:pStyle w:val="Heading3"/>
      </w:pPr>
      <w:bookmarkStart w:id="239" w:name="_Toc173691427"/>
      <w:bookmarkStart w:id="240" w:name="_Toc174692693"/>
      <w:r>
        <w:t>Constructing the taxi cost index</w:t>
      </w:r>
      <w:r w:rsidR="0006644A">
        <w:t>es</w:t>
      </w:r>
      <w:r w:rsidR="00B8647A">
        <w:t xml:space="preserve"> in 2022</w:t>
      </w:r>
      <w:bookmarkEnd w:id="239"/>
      <w:bookmarkEnd w:id="240"/>
    </w:p>
    <w:p w14:paraId="5F478B29" w14:textId="14481088" w:rsidR="00706053" w:rsidRDefault="00706053" w:rsidP="00706053">
      <w:r>
        <w:t>We developed our first taxi cost index in 2014. In 2022, we developed new taxi cost index</w:t>
      </w:r>
      <w:r w:rsidR="00253AA8">
        <w:t>es</w:t>
      </w:r>
      <w:r>
        <w:t xml:space="preserve"> </w:t>
      </w:r>
      <w:r w:rsidR="00334D76">
        <w:t>for conventional and wheelchair accessible taxis</w:t>
      </w:r>
      <w:r w:rsidR="43F36E9B">
        <w:t>.</w:t>
      </w:r>
      <w:r>
        <w:t xml:space="preserve"> </w:t>
      </w:r>
      <w:r w:rsidR="43F36E9B">
        <w:t>This was to</w:t>
      </w:r>
      <w:r>
        <w:t xml:space="preserve"> ensure that </w:t>
      </w:r>
      <w:r w:rsidR="007B180D">
        <w:t xml:space="preserve">they </w:t>
      </w:r>
      <w:r>
        <w:t>reflected the current operating environment and accounted for any changes in inputs caused by technological, regulatory, or other factors that had occurred in the commercial passenger vehicle industry since 2014.</w:t>
      </w:r>
      <w:r w:rsidR="00915358">
        <w:t xml:space="preserve"> We engaged Honeycomb Strategy to</w:t>
      </w:r>
      <w:r w:rsidR="001771B6">
        <w:t xml:space="preserve"> help us develop our new taxi cost index</w:t>
      </w:r>
      <w:r w:rsidR="005D6980">
        <w:t>es</w:t>
      </w:r>
      <w:r w:rsidR="001771B6">
        <w:t xml:space="preserve"> in 2022. </w:t>
      </w:r>
    </w:p>
    <w:p w14:paraId="448EB00F" w14:textId="3FC212A4" w:rsidR="004765FD" w:rsidRDefault="004765FD" w:rsidP="004765FD">
      <w:r>
        <w:t>To construct the taxi cost index</w:t>
      </w:r>
      <w:r w:rsidR="005D6980">
        <w:t>es</w:t>
      </w:r>
      <w:r>
        <w:t xml:space="preserve"> in 2022, we:</w:t>
      </w:r>
    </w:p>
    <w:p w14:paraId="31051A39" w14:textId="77777777" w:rsidR="004765FD" w:rsidRDefault="004765FD" w:rsidP="004765FD">
      <w:pPr>
        <w:pStyle w:val="ListBullet"/>
      </w:pPr>
      <w:r>
        <w:t xml:space="preserve">identified the </w:t>
      </w:r>
      <w:r w:rsidRPr="003B22A4">
        <w:rPr>
          <w:b/>
          <w:bCs/>
        </w:rPr>
        <w:t>cost components</w:t>
      </w:r>
      <w:r>
        <w:t xml:space="preserve"> associated with operating a taxi </w:t>
      </w:r>
    </w:p>
    <w:p w14:paraId="2BCBD054" w14:textId="77777777" w:rsidR="004765FD" w:rsidRDefault="004765FD" w:rsidP="004765FD">
      <w:pPr>
        <w:pStyle w:val="ListBullet"/>
      </w:pPr>
      <w:r>
        <w:t>calculated the share of each cost component as a proportion of total cost (</w:t>
      </w:r>
      <w:r w:rsidRPr="003B22A4">
        <w:rPr>
          <w:b/>
          <w:bCs/>
        </w:rPr>
        <w:t>cost share</w:t>
      </w:r>
      <w:r>
        <w:t>)</w:t>
      </w:r>
    </w:p>
    <w:p w14:paraId="0E54DA11" w14:textId="2759E8FA" w:rsidR="009205A4" w:rsidRDefault="004765FD" w:rsidP="009205A4">
      <w:pPr>
        <w:pStyle w:val="ListBullet"/>
      </w:pPr>
      <w:r>
        <w:t xml:space="preserve">assigned a </w:t>
      </w:r>
      <w:r w:rsidRPr="003B22A4">
        <w:rPr>
          <w:b/>
          <w:bCs/>
        </w:rPr>
        <w:t>cost inflator</w:t>
      </w:r>
      <w:r>
        <w:t xml:space="preserve"> to each cost component. </w:t>
      </w:r>
    </w:p>
    <w:p w14:paraId="6FB80B98" w14:textId="00979B02" w:rsidR="00C52DC0" w:rsidRDefault="00C52DC0" w:rsidP="00C52DC0">
      <w:pPr>
        <w:pStyle w:val="Heading4"/>
      </w:pPr>
      <w:r>
        <w:t>Cost components and cost shares</w:t>
      </w:r>
    </w:p>
    <w:p w14:paraId="7104ED13" w14:textId="50C5D087" w:rsidR="00FE5B87" w:rsidRDefault="00D73516" w:rsidP="00706053">
      <w:r>
        <w:t>T</w:t>
      </w:r>
      <w:r w:rsidR="00560CC3">
        <w:t>o</w:t>
      </w:r>
      <w:r>
        <w:t xml:space="preserve"> help us</w:t>
      </w:r>
      <w:r w:rsidR="00A82DFA">
        <w:t xml:space="preserve"> identify the cost components associated with operating a taxi and calculate the cost shares for our new taxi cost index</w:t>
      </w:r>
      <w:r w:rsidR="00C4442F">
        <w:t>es</w:t>
      </w:r>
      <w:r>
        <w:t>, Honeycomb surveyed taxi operators in May 2022 about their actual costs</w:t>
      </w:r>
      <w:r w:rsidR="00A82DFA">
        <w:t>.</w:t>
      </w:r>
      <w:r w:rsidR="00A82DFA">
        <w:rPr>
          <w:rStyle w:val="FootnoteReference"/>
        </w:rPr>
        <w:footnoteReference w:id="82"/>
      </w:r>
      <w:r w:rsidR="00FE5B87">
        <w:t xml:space="preserve"> The cost components associated with operating a taxi are described in Table </w:t>
      </w:r>
      <w:r w:rsidR="008764D4">
        <w:t>E</w:t>
      </w:r>
      <w:r w:rsidR="00FE5B87">
        <w:t>.1.</w:t>
      </w:r>
    </w:p>
    <w:p w14:paraId="2DF9E61A" w14:textId="77777777" w:rsidR="002C5A4D" w:rsidRDefault="002C5A4D" w:rsidP="00FE5B87">
      <w:pPr>
        <w:pStyle w:val="Figure-Table-BoxHeading"/>
        <w:ind w:left="0" w:firstLine="0"/>
        <w:rPr>
          <w:lang w:val="en-AU"/>
        </w:rPr>
      </w:pPr>
    </w:p>
    <w:p w14:paraId="3090C1F6" w14:textId="10C9EF9C" w:rsidR="00FE5B87" w:rsidRDefault="00FE5B87" w:rsidP="00FE5B87">
      <w:pPr>
        <w:pStyle w:val="Figure-Table-BoxHeading"/>
        <w:ind w:left="0" w:firstLine="0"/>
      </w:pPr>
      <w:r w:rsidRPr="17F31E41">
        <w:rPr>
          <w:lang w:val="en-AU"/>
        </w:rPr>
        <w:lastRenderedPageBreak/>
        <w:t xml:space="preserve">Table </w:t>
      </w:r>
      <w:r w:rsidR="008764D4">
        <w:rPr>
          <w:lang w:val="en-AU"/>
        </w:rPr>
        <w:t>E</w:t>
      </w:r>
      <w:r w:rsidRPr="17F31E41">
        <w:rPr>
          <w:lang w:val="en-AU"/>
        </w:rPr>
        <w:t>.1</w:t>
      </w:r>
      <w:r>
        <w:tab/>
      </w:r>
      <w:r w:rsidRPr="17F31E41">
        <w:rPr>
          <w:lang w:val="en-AU"/>
        </w:rPr>
        <w:t>Key cost components associated with operating a taxi</w:t>
      </w:r>
    </w:p>
    <w:tbl>
      <w:tblPr>
        <w:tblStyle w:val="TableGrid"/>
        <w:tblW w:w="0" w:type="auto"/>
        <w:tblLook w:val="04A0" w:firstRow="1" w:lastRow="0" w:firstColumn="1" w:lastColumn="0" w:noHBand="0" w:noVBand="1"/>
      </w:tblPr>
      <w:tblGrid>
        <w:gridCol w:w="2977"/>
        <w:gridCol w:w="6661"/>
      </w:tblGrid>
      <w:tr w:rsidR="00FE5B87" w14:paraId="28ABD27D" w14:textId="77777777" w:rsidTr="00AB446E">
        <w:trPr>
          <w:cnfStyle w:val="100000000000" w:firstRow="1" w:lastRow="0" w:firstColumn="0" w:lastColumn="0" w:oddVBand="0" w:evenVBand="0" w:oddHBand="0" w:evenHBand="0" w:firstRowFirstColumn="0" w:firstRowLastColumn="0" w:lastRowFirstColumn="0" w:lastRowLastColumn="0"/>
        </w:trPr>
        <w:tc>
          <w:tcPr>
            <w:tcW w:w="2977" w:type="dxa"/>
          </w:tcPr>
          <w:p w14:paraId="3C6DCF69" w14:textId="77777777" w:rsidR="00FE5B87" w:rsidRDefault="00FE5B87" w:rsidP="00AB446E">
            <w:pPr>
              <w:pStyle w:val="TableHeading"/>
            </w:pPr>
            <w:r w:rsidRPr="17F31E41">
              <w:rPr>
                <w:lang w:val="en-AU"/>
              </w:rPr>
              <w:t>Cost component</w:t>
            </w:r>
          </w:p>
        </w:tc>
        <w:tc>
          <w:tcPr>
            <w:tcW w:w="6661" w:type="dxa"/>
          </w:tcPr>
          <w:p w14:paraId="5BBACF34" w14:textId="77777777" w:rsidR="00FE5B87" w:rsidRDefault="00FE5B87" w:rsidP="00AB446E">
            <w:pPr>
              <w:pStyle w:val="TableHeading"/>
            </w:pPr>
            <w:r w:rsidRPr="00783948">
              <w:t>Description</w:t>
            </w:r>
          </w:p>
        </w:tc>
      </w:tr>
      <w:tr w:rsidR="00FE5B87" w14:paraId="0E559C10" w14:textId="77777777" w:rsidTr="00AB446E">
        <w:trPr>
          <w:cnfStyle w:val="000000100000" w:firstRow="0" w:lastRow="0" w:firstColumn="0" w:lastColumn="0" w:oddVBand="0" w:evenVBand="0" w:oddHBand="1" w:evenHBand="0" w:firstRowFirstColumn="0" w:firstRowLastColumn="0" w:lastRowFirstColumn="0" w:lastRowLastColumn="0"/>
        </w:trPr>
        <w:tc>
          <w:tcPr>
            <w:tcW w:w="2977" w:type="dxa"/>
          </w:tcPr>
          <w:p w14:paraId="62B6BBA8" w14:textId="77777777" w:rsidR="00FE5B87" w:rsidRDefault="00FE5B87" w:rsidP="00AB446E">
            <w:pPr>
              <w:pStyle w:val="TableBody"/>
            </w:pPr>
            <w:r w:rsidRPr="00783948">
              <w:t>Fuel</w:t>
            </w:r>
          </w:p>
        </w:tc>
        <w:tc>
          <w:tcPr>
            <w:tcW w:w="6661" w:type="dxa"/>
          </w:tcPr>
          <w:p w14:paraId="174A095B" w14:textId="77777777" w:rsidR="00FE5B87" w:rsidRDefault="00FE5B87" w:rsidP="00AB446E">
            <w:pPr>
              <w:pStyle w:val="TableBody"/>
            </w:pPr>
            <w:r w:rsidRPr="00783948">
              <w:t>Total fuel costs incurred</w:t>
            </w:r>
          </w:p>
        </w:tc>
      </w:tr>
      <w:tr w:rsidR="00FE5B87" w14:paraId="345D7EB2" w14:textId="77777777" w:rsidTr="00AB446E">
        <w:trPr>
          <w:cnfStyle w:val="000000010000" w:firstRow="0" w:lastRow="0" w:firstColumn="0" w:lastColumn="0" w:oddVBand="0" w:evenVBand="0" w:oddHBand="0" w:evenHBand="1" w:firstRowFirstColumn="0" w:firstRowLastColumn="0" w:lastRowFirstColumn="0" w:lastRowLastColumn="0"/>
        </w:trPr>
        <w:tc>
          <w:tcPr>
            <w:tcW w:w="2977" w:type="dxa"/>
          </w:tcPr>
          <w:p w14:paraId="0550C78A" w14:textId="77777777" w:rsidR="00FE5B87" w:rsidRDefault="00FE5B87" w:rsidP="00AB446E">
            <w:pPr>
              <w:pStyle w:val="TableBody"/>
            </w:pPr>
            <w:r w:rsidRPr="00783948">
              <w:t>Network</w:t>
            </w:r>
          </w:p>
        </w:tc>
        <w:tc>
          <w:tcPr>
            <w:tcW w:w="6661" w:type="dxa"/>
          </w:tcPr>
          <w:p w14:paraId="0703B5AE" w14:textId="77777777" w:rsidR="00FE5B87" w:rsidRDefault="00FE5B87" w:rsidP="00AB446E">
            <w:pPr>
              <w:pStyle w:val="TableBody"/>
            </w:pPr>
            <w:r w:rsidRPr="00783948">
              <w:t>Includes costs associated with network affiliation. Operators receive access to services such as centralised booking and dispatch and networked security alarms.</w:t>
            </w:r>
          </w:p>
        </w:tc>
      </w:tr>
      <w:tr w:rsidR="00FE5B87" w14:paraId="784CC9B4" w14:textId="77777777" w:rsidTr="00AB446E">
        <w:trPr>
          <w:cnfStyle w:val="000000100000" w:firstRow="0" w:lastRow="0" w:firstColumn="0" w:lastColumn="0" w:oddVBand="0" w:evenVBand="0" w:oddHBand="1" w:evenHBand="0" w:firstRowFirstColumn="0" w:firstRowLastColumn="0" w:lastRowFirstColumn="0" w:lastRowLastColumn="0"/>
        </w:trPr>
        <w:tc>
          <w:tcPr>
            <w:tcW w:w="2977" w:type="dxa"/>
          </w:tcPr>
          <w:p w14:paraId="01D24C22" w14:textId="77777777" w:rsidR="00FE5B87" w:rsidRDefault="00FE5B87" w:rsidP="00AB446E">
            <w:pPr>
              <w:pStyle w:val="TableBody"/>
            </w:pPr>
            <w:r w:rsidRPr="00783948">
              <w:t xml:space="preserve">Insurance </w:t>
            </w:r>
          </w:p>
        </w:tc>
        <w:tc>
          <w:tcPr>
            <w:tcW w:w="6661" w:type="dxa"/>
          </w:tcPr>
          <w:p w14:paraId="7BBF632E" w14:textId="4D23DAEB" w:rsidR="00FE5B87" w:rsidRDefault="00FE5B87" w:rsidP="00AB446E">
            <w:pPr>
              <w:pStyle w:val="TableBody"/>
            </w:pPr>
            <w:r w:rsidRPr="00783948">
              <w:t xml:space="preserve">Includes comprehensive </w:t>
            </w:r>
            <w:r>
              <w:t xml:space="preserve">vehicle </w:t>
            </w:r>
            <w:r w:rsidRPr="00783948">
              <w:t>insurance and workers’ compensation insurance</w:t>
            </w:r>
            <w:r>
              <w:t>.</w:t>
            </w:r>
          </w:p>
        </w:tc>
      </w:tr>
      <w:tr w:rsidR="00FE5B87" w14:paraId="00A47C19" w14:textId="77777777" w:rsidTr="00AB446E">
        <w:trPr>
          <w:cnfStyle w:val="000000010000" w:firstRow="0" w:lastRow="0" w:firstColumn="0" w:lastColumn="0" w:oddVBand="0" w:evenVBand="0" w:oddHBand="0" w:evenHBand="1" w:firstRowFirstColumn="0" w:firstRowLastColumn="0" w:lastRowFirstColumn="0" w:lastRowLastColumn="0"/>
        </w:trPr>
        <w:tc>
          <w:tcPr>
            <w:tcW w:w="2977" w:type="dxa"/>
          </w:tcPr>
          <w:p w14:paraId="34E3082F" w14:textId="77777777" w:rsidR="00FE5B87" w:rsidRDefault="00FE5B87" w:rsidP="00AB446E">
            <w:pPr>
              <w:pStyle w:val="TableBody"/>
            </w:pPr>
            <w:r w:rsidRPr="00783948">
              <w:t>Vehicle</w:t>
            </w:r>
          </w:p>
        </w:tc>
        <w:tc>
          <w:tcPr>
            <w:tcW w:w="6661" w:type="dxa"/>
          </w:tcPr>
          <w:p w14:paraId="04BDCE6A" w14:textId="77777777" w:rsidR="00FE5B87" w:rsidRDefault="00FE5B87" w:rsidP="00AB446E">
            <w:pPr>
              <w:pStyle w:val="TableBody"/>
            </w:pPr>
            <w:r w:rsidRPr="17F31E41">
              <w:rPr>
                <w:lang w:val="en-AU"/>
              </w:rPr>
              <w:t>Includes costs associated with purchasing or leasing a vehicle, including fit</w:t>
            </w:r>
            <w:r>
              <w:noBreakHyphen/>
            </w:r>
            <w:r w:rsidRPr="17F31E41">
              <w:rPr>
                <w:lang w:val="en-AU"/>
              </w:rPr>
              <w:t>out. We have used purchase costs amortised over the life of the vehicle.</w:t>
            </w:r>
          </w:p>
        </w:tc>
      </w:tr>
      <w:tr w:rsidR="00FE5B87" w14:paraId="638B9E94" w14:textId="77777777" w:rsidTr="00AB446E">
        <w:trPr>
          <w:cnfStyle w:val="000000100000" w:firstRow="0" w:lastRow="0" w:firstColumn="0" w:lastColumn="0" w:oddVBand="0" w:evenVBand="0" w:oddHBand="1" w:evenHBand="0" w:firstRowFirstColumn="0" w:firstRowLastColumn="0" w:lastRowFirstColumn="0" w:lastRowLastColumn="0"/>
        </w:trPr>
        <w:tc>
          <w:tcPr>
            <w:tcW w:w="2977" w:type="dxa"/>
          </w:tcPr>
          <w:p w14:paraId="4139786A" w14:textId="77777777" w:rsidR="00FE5B87" w:rsidRDefault="00FE5B87" w:rsidP="00AB446E">
            <w:pPr>
              <w:pStyle w:val="TableBody"/>
            </w:pPr>
            <w:r w:rsidRPr="00783948">
              <w:t>Registration</w:t>
            </w:r>
          </w:p>
        </w:tc>
        <w:tc>
          <w:tcPr>
            <w:tcW w:w="6661" w:type="dxa"/>
          </w:tcPr>
          <w:p w14:paraId="54CD503A" w14:textId="497D891A" w:rsidR="00FE5B87" w:rsidRDefault="00FE5B87" w:rsidP="00AB446E">
            <w:pPr>
              <w:pStyle w:val="TableBody"/>
            </w:pPr>
            <w:r w:rsidRPr="17F31E41">
              <w:rPr>
                <w:lang w:val="en-AU"/>
              </w:rPr>
              <w:t>Includes VicRoads registration fee and compulsory third party insurance (Transport Accident Charge)</w:t>
            </w:r>
            <w:r>
              <w:rPr>
                <w:lang w:val="en-AU"/>
              </w:rPr>
              <w:t>.</w:t>
            </w:r>
          </w:p>
        </w:tc>
      </w:tr>
      <w:tr w:rsidR="00FE5B87" w14:paraId="1493A43D" w14:textId="77777777" w:rsidTr="00AB446E">
        <w:trPr>
          <w:cnfStyle w:val="000000010000" w:firstRow="0" w:lastRow="0" w:firstColumn="0" w:lastColumn="0" w:oddVBand="0" w:evenVBand="0" w:oddHBand="0" w:evenHBand="1" w:firstRowFirstColumn="0" w:firstRowLastColumn="0" w:lastRowFirstColumn="0" w:lastRowLastColumn="0"/>
        </w:trPr>
        <w:tc>
          <w:tcPr>
            <w:tcW w:w="2977" w:type="dxa"/>
          </w:tcPr>
          <w:p w14:paraId="7E4F87FA" w14:textId="77777777" w:rsidR="00FE5B87" w:rsidRDefault="00FE5B87" w:rsidP="00AB446E">
            <w:pPr>
              <w:pStyle w:val="TableBody"/>
            </w:pPr>
            <w:r w:rsidRPr="00783948">
              <w:t xml:space="preserve">Repairs and maintenance </w:t>
            </w:r>
          </w:p>
        </w:tc>
        <w:tc>
          <w:tcPr>
            <w:tcW w:w="6661" w:type="dxa"/>
          </w:tcPr>
          <w:p w14:paraId="4C207775" w14:textId="77777777" w:rsidR="00FE5B87" w:rsidRDefault="00FE5B87" w:rsidP="00AB446E">
            <w:pPr>
              <w:pStyle w:val="TableBody"/>
            </w:pPr>
            <w:r w:rsidRPr="00783948">
              <w:t>Includes cost of operators’ own time, staff costs and costs paid to other businesses for repairs and maintenance</w:t>
            </w:r>
            <w:r>
              <w:t>.</w:t>
            </w:r>
          </w:p>
        </w:tc>
      </w:tr>
      <w:tr w:rsidR="00FE5B87" w14:paraId="0EF0E10D" w14:textId="77777777" w:rsidTr="00AB446E">
        <w:trPr>
          <w:cnfStyle w:val="000000100000" w:firstRow="0" w:lastRow="0" w:firstColumn="0" w:lastColumn="0" w:oddVBand="0" w:evenVBand="0" w:oddHBand="1" w:evenHBand="0" w:firstRowFirstColumn="0" w:firstRowLastColumn="0" w:lastRowFirstColumn="0" w:lastRowLastColumn="0"/>
        </w:trPr>
        <w:tc>
          <w:tcPr>
            <w:tcW w:w="2977" w:type="dxa"/>
          </w:tcPr>
          <w:p w14:paraId="7F107EBD" w14:textId="77777777" w:rsidR="00FE5B87" w:rsidRDefault="00FE5B87" w:rsidP="00AB446E">
            <w:pPr>
              <w:pStyle w:val="TableBody"/>
            </w:pPr>
            <w:r w:rsidRPr="00783948">
              <w:t xml:space="preserve">Administration </w:t>
            </w:r>
          </w:p>
        </w:tc>
        <w:tc>
          <w:tcPr>
            <w:tcW w:w="6661" w:type="dxa"/>
          </w:tcPr>
          <w:p w14:paraId="36DB1CE9" w14:textId="77777777" w:rsidR="00FE5B87" w:rsidRDefault="00FE5B87" w:rsidP="00AB446E">
            <w:pPr>
              <w:pStyle w:val="TableBody"/>
            </w:pPr>
            <w:r w:rsidRPr="00783948">
              <w:t>Includes cost of operators’ own time, building site costs, staff costs and costs paid to other businesses for administration (e.g. accountant)</w:t>
            </w:r>
            <w:r>
              <w:t>.</w:t>
            </w:r>
          </w:p>
        </w:tc>
      </w:tr>
      <w:tr w:rsidR="00FE5B87" w14:paraId="3B8E4441" w14:textId="77777777" w:rsidTr="00AB446E">
        <w:trPr>
          <w:cnfStyle w:val="000000010000" w:firstRow="0" w:lastRow="0" w:firstColumn="0" w:lastColumn="0" w:oddVBand="0" w:evenVBand="0" w:oddHBand="0" w:evenHBand="1" w:firstRowFirstColumn="0" w:firstRowLastColumn="0" w:lastRowFirstColumn="0" w:lastRowLastColumn="0"/>
        </w:trPr>
        <w:tc>
          <w:tcPr>
            <w:tcW w:w="2977" w:type="dxa"/>
          </w:tcPr>
          <w:p w14:paraId="49F6715C" w14:textId="77777777" w:rsidR="00FE5B87" w:rsidRDefault="00FE5B87" w:rsidP="00AB446E">
            <w:pPr>
              <w:pStyle w:val="TableBody"/>
            </w:pPr>
            <w:r w:rsidRPr="00783948">
              <w:t xml:space="preserve">Driver labour </w:t>
            </w:r>
          </w:p>
        </w:tc>
        <w:tc>
          <w:tcPr>
            <w:tcW w:w="6661" w:type="dxa"/>
          </w:tcPr>
          <w:p w14:paraId="0E67B4C3" w14:textId="112834B3" w:rsidR="00FE5B87" w:rsidRDefault="00FE5B87" w:rsidP="00AB446E">
            <w:pPr>
              <w:pStyle w:val="TableBody"/>
            </w:pPr>
            <w:r w:rsidRPr="17F31E41">
              <w:rPr>
                <w:lang w:val="en-AU"/>
              </w:rPr>
              <w:t>Payment made to drivers as per the Driver Agreement</w:t>
            </w:r>
            <w:r w:rsidRPr="17F31E41">
              <w:rPr>
                <w:b/>
                <w:vertAlign w:val="superscript"/>
                <w:lang w:val="en-AU"/>
              </w:rPr>
              <w:t>a</w:t>
            </w:r>
            <w:r w:rsidRPr="17F31E41">
              <w:rPr>
                <w:lang w:val="en-AU"/>
              </w:rPr>
              <w:t xml:space="preserve"> </w:t>
            </w:r>
          </w:p>
        </w:tc>
      </w:tr>
    </w:tbl>
    <w:p w14:paraId="5BDD39EB" w14:textId="77777777" w:rsidR="00FE5B87" w:rsidRDefault="00FE5B87" w:rsidP="00FE5B87">
      <w:pPr>
        <w:pStyle w:val="Source"/>
        <w:jc w:val="left"/>
      </w:pPr>
      <w:r w:rsidRPr="003B4590">
        <w:rPr>
          <w:b/>
          <w:bCs/>
          <w:vertAlign w:val="superscript"/>
        </w:rPr>
        <w:t>a</w:t>
      </w:r>
      <w:r>
        <w:t> </w:t>
      </w:r>
      <w:r w:rsidRPr="003B4590">
        <w:t>The driver must receive at least 55</w:t>
      </w:r>
      <w:r>
        <w:t> per </w:t>
      </w:r>
      <w:r w:rsidRPr="003B4590">
        <w:t xml:space="preserve">cent of the gross fares earned while they have possession of the vehicle. </w:t>
      </w:r>
      <w:r w:rsidRPr="000955E6">
        <w:rPr>
          <w:i/>
          <w:iCs w:val="0"/>
        </w:rPr>
        <w:t>Commercial Passenger Vehicle Industry Act 2017</w:t>
      </w:r>
      <w:r w:rsidRPr="003B4590">
        <w:t>, s. 97.</w:t>
      </w:r>
    </w:p>
    <w:p w14:paraId="3D452DB6" w14:textId="5359C787" w:rsidR="00706053" w:rsidRDefault="00207935" w:rsidP="00706053">
      <w:r>
        <w:t>Using</w:t>
      </w:r>
      <w:r w:rsidR="00C52DC0">
        <w:t xml:space="preserve"> the survey results, Honeycomb </w:t>
      </w:r>
      <w:r w:rsidR="00CA13B1">
        <w:t>estimated</w:t>
      </w:r>
      <w:r w:rsidR="00C52DC0">
        <w:t xml:space="preserve"> the average, lower bound and upper bound cost for each cost component. </w:t>
      </w:r>
      <w:r w:rsidR="007B6EBB">
        <w:t xml:space="preserve">We used the average cost for each cost component to determine the cost profile for a conventional taxi and a wheelchair accessible taxi in the Melbourne </w:t>
      </w:r>
      <w:r w:rsidR="00C51779">
        <w:t>M</w:t>
      </w:r>
      <w:r w:rsidR="007B6EBB">
        <w:t xml:space="preserve">etropolitan </w:t>
      </w:r>
      <w:r w:rsidR="00C51779">
        <w:t>Z</w:t>
      </w:r>
      <w:r w:rsidR="007B6EBB">
        <w:t xml:space="preserve">one and the Urban and Large Regional </w:t>
      </w:r>
      <w:r w:rsidR="00C51779">
        <w:t>Z</w:t>
      </w:r>
      <w:r w:rsidR="007B6EBB">
        <w:t xml:space="preserve">one in 2022. </w:t>
      </w:r>
      <w:r w:rsidR="008665C1">
        <w:t xml:space="preserve">We then used the cost profile to calculate the cost share for each cost component by dividing the average cost for each cost component by the total operating cost. </w:t>
      </w:r>
    </w:p>
    <w:p w14:paraId="324D4D56" w14:textId="2BADDEFB" w:rsidR="00835C8D" w:rsidRDefault="00C52DC0" w:rsidP="00835C8D">
      <w:r>
        <w:t xml:space="preserve">Table </w:t>
      </w:r>
      <w:r w:rsidR="008764D4">
        <w:t>E</w:t>
      </w:r>
      <w:r>
        <w:t>.2 shows the cost share</w:t>
      </w:r>
      <w:r w:rsidR="0045585C">
        <w:t xml:space="preserve"> for each cost component</w:t>
      </w:r>
      <w:r>
        <w:t>, including driver labour, based on a 55:45 revenue sharing arrangement. The 55 per cent driver share is the minimum mandated by the Victorian government.</w:t>
      </w:r>
    </w:p>
    <w:p w14:paraId="484FFE27" w14:textId="77777777" w:rsidR="00835C8D" w:rsidRDefault="00835C8D">
      <w:pPr>
        <w:spacing w:before="0" w:line="259" w:lineRule="auto"/>
      </w:pPr>
      <w:r>
        <w:br w:type="page"/>
      </w:r>
    </w:p>
    <w:p w14:paraId="796641E6" w14:textId="4D7F9393" w:rsidR="00AB3B89" w:rsidRDefault="00AB3B89" w:rsidP="00AB3B89">
      <w:pPr>
        <w:pStyle w:val="Figure-Table-BoxHeading"/>
        <w:ind w:left="0" w:firstLine="0"/>
      </w:pPr>
      <w:r>
        <w:lastRenderedPageBreak/>
        <w:t xml:space="preserve">Table </w:t>
      </w:r>
      <w:r w:rsidR="008764D4">
        <w:t>E</w:t>
      </w:r>
      <w:r>
        <w:t>.2</w:t>
      </w:r>
      <w:r>
        <w:tab/>
        <w:t>Cost shares for a conventional taxi and wheelchair accessible taxi</w:t>
      </w:r>
    </w:p>
    <w:tbl>
      <w:tblPr>
        <w:tblStyle w:val="TableGrid"/>
        <w:tblW w:w="0" w:type="auto"/>
        <w:tblLook w:val="04A0" w:firstRow="1" w:lastRow="0" w:firstColumn="1" w:lastColumn="0" w:noHBand="0" w:noVBand="1"/>
      </w:tblPr>
      <w:tblGrid>
        <w:gridCol w:w="3212"/>
        <w:gridCol w:w="3213"/>
        <w:gridCol w:w="3213"/>
      </w:tblGrid>
      <w:tr w:rsidR="00AB3B89" w14:paraId="6538C28D" w14:textId="77777777" w:rsidTr="00AB446E">
        <w:trPr>
          <w:cnfStyle w:val="100000000000" w:firstRow="1" w:lastRow="0" w:firstColumn="0" w:lastColumn="0" w:oddVBand="0" w:evenVBand="0" w:oddHBand="0" w:evenHBand="0" w:firstRowFirstColumn="0" w:firstRowLastColumn="0" w:lastRowFirstColumn="0" w:lastRowLastColumn="0"/>
        </w:trPr>
        <w:tc>
          <w:tcPr>
            <w:tcW w:w="3212" w:type="dxa"/>
          </w:tcPr>
          <w:p w14:paraId="62FB16B4" w14:textId="36905BBC" w:rsidR="00AB3B89" w:rsidRPr="006255FA" w:rsidRDefault="00AB3B89" w:rsidP="00AB446E">
            <w:pPr>
              <w:pStyle w:val="TableHeading"/>
              <w:rPr>
                <w:lang w:val="en-AU"/>
              </w:rPr>
            </w:pPr>
            <w:r w:rsidRPr="006255FA">
              <w:rPr>
                <w:lang w:val="en-AU"/>
              </w:rPr>
              <w:t>Cost component</w:t>
            </w:r>
          </w:p>
        </w:tc>
        <w:tc>
          <w:tcPr>
            <w:tcW w:w="3213" w:type="dxa"/>
            <w:tcBorders>
              <w:top w:val="nil"/>
            </w:tcBorders>
            <w:vAlign w:val="center"/>
          </w:tcPr>
          <w:p w14:paraId="5ACCCEA1" w14:textId="110BF4DF" w:rsidR="00736BF7" w:rsidRDefault="00AB3B89" w:rsidP="00736BF7">
            <w:pPr>
              <w:pStyle w:val="TableHeading"/>
              <w:ind w:right="113"/>
              <w:jc w:val="right"/>
              <w:rPr>
                <w:b w:val="0"/>
              </w:rPr>
            </w:pPr>
            <w:r w:rsidRPr="006255FA">
              <w:t>Cost share</w:t>
            </w:r>
          </w:p>
          <w:p w14:paraId="55A2E4DC" w14:textId="09D5F7CE" w:rsidR="00AB3B89" w:rsidRPr="00736BF7" w:rsidRDefault="00736BF7" w:rsidP="00736BF7">
            <w:pPr>
              <w:pStyle w:val="TableHeading"/>
              <w:ind w:right="113"/>
              <w:jc w:val="right"/>
              <w:rPr>
                <w:b w:val="0"/>
              </w:rPr>
            </w:pPr>
            <w:r>
              <w:t>C</w:t>
            </w:r>
            <w:r w:rsidR="00AB3B89" w:rsidRPr="006255FA">
              <w:t>onventional taxi</w:t>
            </w:r>
          </w:p>
        </w:tc>
        <w:tc>
          <w:tcPr>
            <w:tcW w:w="3213" w:type="dxa"/>
            <w:tcBorders>
              <w:top w:val="nil"/>
            </w:tcBorders>
            <w:vAlign w:val="center"/>
          </w:tcPr>
          <w:p w14:paraId="243A0E84" w14:textId="633595DB" w:rsidR="00736BF7" w:rsidRDefault="00AB3B89" w:rsidP="00AB446E">
            <w:pPr>
              <w:pStyle w:val="TableHeading"/>
              <w:ind w:right="113"/>
              <w:jc w:val="right"/>
              <w:rPr>
                <w:b w:val="0"/>
              </w:rPr>
            </w:pPr>
            <w:r w:rsidRPr="006255FA">
              <w:t>Cost share</w:t>
            </w:r>
          </w:p>
          <w:p w14:paraId="6532B438" w14:textId="27625E78" w:rsidR="00AB3B89" w:rsidRPr="006255FA" w:rsidRDefault="00736BF7" w:rsidP="00AB446E">
            <w:pPr>
              <w:pStyle w:val="TableHeading"/>
              <w:ind w:right="113"/>
              <w:jc w:val="right"/>
            </w:pPr>
            <w:r>
              <w:t>W</w:t>
            </w:r>
            <w:r w:rsidR="00AB3B89" w:rsidRPr="006255FA">
              <w:t>heelchair accessible taxi</w:t>
            </w:r>
          </w:p>
        </w:tc>
      </w:tr>
      <w:tr w:rsidR="00AB3B89" w14:paraId="019D0F7B" w14:textId="77777777" w:rsidTr="00AB446E">
        <w:trPr>
          <w:cnfStyle w:val="000000100000" w:firstRow="0" w:lastRow="0" w:firstColumn="0" w:lastColumn="0" w:oddVBand="0" w:evenVBand="0" w:oddHBand="1" w:evenHBand="0" w:firstRowFirstColumn="0" w:firstRowLastColumn="0" w:lastRowFirstColumn="0" w:lastRowLastColumn="0"/>
        </w:trPr>
        <w:tc>
          <w:tcPr>
            <w:tcW w:w="3212" w:type="dxa"/>
          </w:tcPr>
          <w:p w14:paraId="4D8C7EE0" w14:textId="77777777" w:rsidR="00AB3B89" w:rsidRDefault="00AB3B89" w:rsidP="00AB446E">
            <w:pPr>
              <w:pStyle w:val="TableBody"/>
            </w:pPr>
            <w:r w:rsidRPr="00DA734F">
              <w:t>Fuel</w:t>
            </w:r>
          </w:p>
        </w:tc>
        <w:tc>
          <w:tcPr>
            <w:tcW w:w="3213" w:type="dxa"/>
          </w:tcPr>
          <w:p w14:paraId="21EC478B" w14:textId="77777777" w:rsidR="00AB3B89" w:rsidRDefault="00AB3B89" w:rsidP="00AB446E">
            <w:pPr>
              <w:pStyle w:val="TableBody"/>
              <w:ind w:right="113"/>
              <w:jc w:val="right"/>
            </w:pPr>
            <w:r w:rsidRPr="00DA734F">
              <w:t>6.6%</w:t>
            </w:r>
          </w:p>
        </w:tc>
        <w:tc>
          <w:tcPr>
            <w:tcW w:w="3213" w:type="dxa"/>
          </w:tcPr>
          <w:p w14:paraId="0081761E" w14:textId="77777777" w:rsidR="00AB3B89" w:rsidRDefault="00AB3B89" w:rsidP="00AB446E">
            <w:pPr>
              <w:pStyle w:val="TableBody"/>
              <w:ind w:right="113"/>
              <w:jc w:val="right"/>
            </w:pPr>
            <w:r w:rsidRPr="00DA734F">
              <w:t>7.0%</w:t>
            </w:r>
          </w:p>
        </w:tc>
      </w:tr>
      <w:tr w:rsidR="00AB3B89" w14:paraId="2B618B27" w14:textId="77777777" w:rsidTr="00AB446E">
        <w:trPr>
          <w:cnfStyle w:val="000000010000" w:firstRow="0" w:lastRow="0" w:firstColumn="0" w:lastColumn="0" w:oddVBand="0" w:evenVBand="0" w:oddHBand="0" w:evenHBand="1" w:firstRowFirstColumn="0" w:firstRowLastColumn="0" w:lastRowFirstColumn="0" w:lastRowLastColumn="0"/>
        </w:trPr>
        <w:tc>
          <w:tcPr>
            <w:tcW w:w="3212" w:type="dxa"/>
          </w:tcPr>
          <w:p w14:paraId="0167861B" w14:textId="77777777" w:rsidR="00AB3B89" w:rsidRDefault="00AB3B89" w:rsidP="00AB446E">
            <w:pPr>
              <w:pStyle w:val="TableBody"/>
            </w:pPr>
            <w:r w:rsidRPr="00DA734F">
              <w:t>Network (equipment)</w:t>
            </w:r>
          </w:p>
        </w:tc>
        <w:tc>
          <w:tcPr>
            <w:tcW w:w="3213" w:type="dxa"/>
          </w:tcPr>
          <w:p w14:paraId="7B905D0F" w14:textId="77777777" w:rsidR="00AB3B89" w:rsidRDefault="00AB3B89" w:rsidP="00AB446E">
            <w:pPr>
              <w:pStyle w:val="TableBody"/>
              <w:ind w:right="113"/>
              <w:jc w:val="right"/>
            </w:pPr>
            <w:r w:rsidRPr="00DA734F">
              <w:t>5.7%</w:t>
            </w:r>
          </w:p>
        </w:tc>
        <w:tc>
          <w:tcPr>
            <w:tcW w:w="3213" w:type="dxa"/>
          </w:tcPr>
          <w:p w14:paraId="6C4EF031" w14:textId="77777777" w:rsidR="00AB3B89" w:rsidRDefault="00AB3B89" w:rsidP="00AB446E">
            <w:pPr>
              <w:pStyle w:val="TableBody"/>
              <w:ind w:right="113"/>
              <w:jc w:val="right"/>
            </w:pPr>
            <w:r w:rsidRPr="00DA734F">
              <w:t>4.3%</w:t>
            </w:r>
          </w:p>
        </w:tc>
      </w:tr>
      <w:tr w:rsidR="00AB3B89" w14:paraId="7AFC6449" w14:textId="77777777" w:rsidTr="00AB446E">
        <w:trPr>
          <w:cnfStyle w:val="000000100000" w:firstRow="0" w:lastRow="0" w:firstColumn="0" w:lastColumn="0" w:oddVBand="0" w:evenVBand="0" w:oddHBand="1" w:evenHBand="0" w:firstRowFirstColumn="0" w:firstRowLastColumn="0" w:lastRowFirstColumn="0" w:lastRowLastColumn="0"/>
        </w:trPr>
        <w:tc>
          <w:tcPr>
            <w:tcW w:w="3212" w:type="dxa"/>
          </w:tcPr>
          <w:p w14:paraId="58241AAD" w14:textId="77777777" w:rsidR="00AB3B89" w:rsidRDefault="00AB3B89" w:rsidP="00AB446E">
            <w:pPr>
              <w:pStyle w:val="TableBody"/>
            </w:pPr>
            <w:r w:rsidRPr="00DA734F">
              <w:t>Network (labour)</w:t>
            </w:r>
          </w:p>
        </w:tc>
        <w:tc>
          <w:tcPr>
            <w:tcW w:w="3213" w:type="dxa"/>
          </w:tcPr>
          <w:p w14:paraId="7C2051EF" w14:textId="77777777" w:rsidR="00AB3B89" w:rsidRDefault="00AB3B89" w:rsidP="00AB446E">
            <w:pPr>
              <w:pStyle w:val="TableBody"/>
              <w:ind w:right="113"/>
              <w:jc w:val="right"/>
            </w:pPr>
            <w:r w:rsidRPr="00DA734F">
              <w:t>5.7%</w:t>
            </w:r>
          </w:p>
        </w:tc>
        <w:tc>
          <w:tcPr>
            <w:tcW w:w="3213" w:type="dxa"/>
          </w:tcPr>
          <w:p w14:paraId="7EF43E06" w14:textId="77777777" w:rsidR="00AB3B89" w:rsidRDefault="00AB3B89" w:rsidP="00AB446E">
            <w:pPr>
              <w:pStyle w:val="TableBody"/>
              <w:ind w:right="113"/>
              <w:jc w:val="right"/>
            </w:pPr>
            <w:r w:rsidRPr="00DA734F">
              <w:t>4.3%</w:t>
            </w:r>
          </w:p>
        </w:tc>
      </w:tr>
      <w:tr w:rsidR="00AB3B89" w14:paraId="2AFC16F3" w14:textId="77777777" w:rsidTr="00AB446E">
        <w:trPr>
          <w:cnfStyle w:val="000000010000" w:firstRow="0" w:lastRow="0" w:firstColumn="0" w:lastColumn="0" w:oddVBand="0" w:evenVBand="0" w:oddHBand="0" w:evenHBand="1" w:firstRowFirstColumn="0" w:firstRowLastColumn="0" w:lastRowFirstColumn="0" w:lastRowLastColumn="0"/>
        </w:trPr>
        <w:tc>
          <w:tcPr>
            <w:tcW w:w="3212" w:type="dxa"/>
          </w:tcPr>
          <w:p w14:paraId="3FA04B51" w14:textId="77777777" w:rsidR="00AB3B89" w:rsidRDefault="00AB3B89" w:rsidP="00AB446E">
            <w:pPr>
              <w:pStyle w:val="TableBody"/>
            </w:pPr>
            <w:r w:rsidRPr="00DA734F">
              <w:t>Insurance</w:t>
            </w:r>
          </w:p>
        </w:tc>
        <w:tc>
          <w:tcPr>
            <w:tcW w:w="3213" w:type="dxa"/>
          </w:tcPr>
          <w:p w14:paraId="03763394" w14:textId="77777777" w:rsidR="00AB3B89" w:rsidRDefault="00AB3B89" w:rsidP="00AB446E">
            <w:pPr>
              <w:pStyle w:val="TableBody"/>
              <w:ind w:right="113"/>
              <w:jc w:val="right"/>
            </w:pPr>
            <w:r w:rsidRPr="00DA734F">
              <w:t>3.6%</w:t>
            </w:r>
          </w:p>
        </w:tc>
        <w:tc>
          <w:tcPr>
            <w:tcW w:w="3213" w:type="dxa"/>
          </w:tcPr>
          <w:p w14:paraId="68A55D60" w14:textId="77777777" w:rsidR="00AB3B89" w:rsidRDefault="00AB3B89" w:rsidP="00AB446E">
            <w:pPr>
              <w:pStyle w:val="TableBody"/>
              <w:ind w:right="113"/>
              <w:jc w:val="right"/>
            </w:pPr>
            <w:r w:rsidRPr="00DA734F">
              <w:t>3.9%</w:t>
            </w:r>
          </w:p>
        </w:tc>
      </w:tr>
      <w:tr w:rsidR="00AB3B89" w14:paraId="4D4318F8" w14:textId="77777777" w:rsidTr="00AB446E">
        <w:trPr>
          <w:cnfStyle w:val="000000100000" w:firstRow="0" w:lastRow="0" w:firstColumn="0" w:lastColumn="0" w:oddVBand="0" w:evenVBand="0" w:oddHBand="1" w:evenHBand="0" w:firstRowFirstColumn="0" w:firstRowLastColumn="0" w:lastRowFirstColumn="0" w:lastRowLastColumn="0"/>
        </w:trPr>
        <w:tc>
          <w:tcPr>
            <w:tcW w:w="3212" w:type="dxa"/>
          </w:tcPr>
          <w:p w14:paraId="24093169" w14:textId="77777777" w:rsidR="00AB3B89" w:rsidRDefault="00AB3B89" w:rsidP="00AB446E">
            <w:pPr>
              <w:pStyle w:val="TableBody"/>
            </w:pPr>
            <w:r w:rsidRPr="00DA734F">
              <w:t>Vehicle</w:t>
            </w:r>
          </w:p>
        </w:tc>
        <w:tc>
          <w:tcPr>
            <w:tcW w:w="3213" w:type="dxa"/>
          </w:tcPr>
          <w:p w14:paraId="0FB9476A" w14:textId="77777777" w:rsidR="00AB3B89" w:rsidRDefault="00AB3B89" w:rsidP="00AB446E">
            <w:pPr>
              <w:pStyle w:val="TableBody"/>
              <w:ind w:right="113"/>
              <w:jc w:val="right"/>
            </w:pPr>
            <w:r w:rsidRPr="00DA734F">
              <w:t>7.6%</w:t>
            </w:r>
          </w:p>
        </w:tc>
        <w:tc>
          <w:tcPr>
            <w:tcW w:w="3213" w:type="dxa"/>
          </w:tcPr>
          <w:p w14:paraId="51F55ECF" w14:textId="77777777" w:rsidR="00AB3B89" w:rsidRDefault="00AB3B89" w:rsidP="00AB446E">
            <w:pPr>
              <w:pStyle w:val="TableBody"/>
              <w:ind w:right="113"/>
              <w:jc w:val="right"/>
            </w:pPr>
            <w:r w:rsidRPr="00DA734F">
              <w:t>11.5%</w:t>
            </w:r>
          </w:p>
        </w:tc>
      </w:tr>
      <w:tr w:rsidR="00AB3B89" w14:paraId="24723A04" w14:textId="77777777" w:rsidTr="00AB446E">
        <w:trPr>
          <w:cnfStyle w:val="000000010000" w:firstRow="0" w:lastRow="0" w:firstColumn="0" w:lastColumn="0" w:oddVBand="0" w:evenVBand="0" w:oddHBand="0" w:evenHBand="1" w:firstRowFirstColumn="0" w:firstRowLastColumn="0" w:lastRowFirstColumn="0" w:lastRowLastColumn="0"/>
        </w:trPr>
        <w:tc>
          <w:tcPr>
            <w:tcW w:w="3212" w:type="dxa"/>
          </w:tcPr>
          <w:p w14:paraId="2221BFE8" w14:textId="77777777" w:rsidR="00AB3B89" w:rsidRDefault="00AB3B89" w:rsidP="00AB446E">
            <w:pPr>
              <w:pStyle w:val="TableBody"/>
            </w:pPr>
            <w:r w:rsidRPr="00DA734F">
              <w:t>Registration</w:t>
            </w:r>
          </w:p>
        </w:tc>
        <w:tc>
          <w:tcPr>
            <w:tcW w:w="3213" w:type="dxa"/>
          </w:tcPr>
          <w:p w14:paraId="03CBEAA5" w14:textId="77777777" w:rsidR="00AB3B89" w:rsidRDefault="00AB3B89" w:rsidP="00AB446E">
            <w:pPr>
              <w:pStyle w:val="TableBody"/>
              <w:ind w:right="113"/>
              <w:jc w:val="right"/>
            </w:pPr>
            <w:r w:rsidRPr="00DA734F">
              <w:t>1.2%</w:t>
            </w:r>
          </w:p>
        </w:tc>
        <w:tc>
          <w:tcPr>
            <w:tcW w:w="3213" w:type="dxa"/>
          </w:tcPr>
          <w:p w14:paraId="40F57ABB" w14:textId="77777777" w:rsidR="00AB3B89" w:rsidRDefault="00AB3B89" w:rsidP="00AB446E">
            <w:pPr>
              <w:pStyle w:val="TableBody"/>
              <w:ind w:right="113"/>
              <w:jc w:val="right"/>
            </w:pPr>
            <w:r w:rsidRPr="00DA734F">
              <w:t>1.1%</w:t>
            </w:r>
          </w:p>
        </w:tc>
      </w:tr>
      <w:tr w:rsidR="00AB3B89" w14:paraId="587225EF" w14:textId="77777777" w:rsidTr="00AB446E">
        <w:trPr>
          <w:cnfStyle w:val="000000100000" w:firstRow="0" w:lastRow="0" w:firstColumn="0" w:lastColumn="0" w:oddVBand="0" w:evenVBand="0" w:oddHBand="1" w:evenHBand="0" w:firstRowFirstColumn="0" w:firstRowLastColumn="0" w:lastRowFirstColumn="0" w:lastRowLastColumn="0"/>
        </w:trPr>
        <w:tc>
          <w:tcPr>
            <w:tcW w:w="3212" w:type="dxa"/>
          </w:tcPr>
          <w:p w14:paraId="4D287C60" w14:textId="77777777" w:rsidR="00AB3B89" w:rsidRDefault="00AB3B89" w:rsidP="00AB446E">
            <w:pPr>
              <w:pStyle w:val="TableBody"/>
            </w:pPr>
            <w:r w:rsidRPr="00DA734F">
              <w:t>Repairs and maintenance</w:t>
            </w:r>
          </w:p>
        </w:tc>
        <w:tc>
          <w:tcPr>
            <w:tcW w:w="3213" w:type="dxa"/>
          </w:tcPr>
          <w:p w14:paraId="25384F4F" w14:textId="77777777" w:rsidR="00AB3B89" w:rsidRDefault="00AB3B89" w:rsidP="00AB446E">
            <w:pPr>
              <w:pStyle w:val="TableBody"/>
              <w:ind w:right="113"/>
              <w:jc w:val="right"/>
            </w:pPr>
            <w:r w:rsidRPr="00DA734F">
              <w:t>6.9%</w:t>
            </w:r>
          </w:p>
        </w:tc>
        <w:tc>
          <w:tcPr>
            <w:tcW w:w="3213" w:type="dxa"/>
          </w:tcPr>
          <w:p w14:paraId="7C475AC5" w14:textId="77777777" w:rsidR="00AB3B89" w:rsidRDefault="00AB3B89" w:rsidP="00AB446E">
            <w:pPr>
              <w:pStyle w:val="TableBody"/>
              <w:ind w:right="113"/>
              <w:jc w:val="right"/>
            </w:pPr>
            <w:r w:rsidRPr="00DA734F">
              <w:t>6.3%</w:t>
            </w:r>
          </w:p>
        </w:tc>
      </w:tr>
      <w:tr w:rsidR="00AB3B89" w14:paraId="76E82FE9" w14:textId="77777777" w:rsidTr="00AB446E">
        <w:trPr>
          <w:cnfStyle w:val="000000010000" w:firstRow="0" w:lastRow="0" w:firstColumn="0" w:lastColumn="0" w:oddVBand="0" w:evenVBand="0" w:oddHBand="0" w:evenHBand="1" w:firstRowFirstColumn="0" w:firstRowLastColumn="0" w:lastRowFirstColumn="0" w:lastRowLastColumn="0"/>
        </w:trPr>
        <w:tc>
          <w:tcPr>
            <w:tcW w:w="3212" w:type="dxa"/>
          </w:tcPr>
          <w:p w14:paraId="2E263118" w14:textId="77777777" w:rsidR="00AB3B89" w:rsidRDefault="00AB3B89" w:rsidP="00AB446E">
            <w:pPr>
              <w:pStyle w:val="TableBody"/>
            </w:pPr>
            <w:r w:rsidRPr="00DA734F">
              <w:t>Administration</w:t>
            </w:r>
          </w:p>
        </w:tc>
        <w:tc>
          <w:tcPr>
            <w:tcW w:w="3213" w:type="dxa"/>
          </w:tcPr>
          <w:p w14:paraId="0A363572" w14:textId="77777777" w:rsidR="00AB3B89" w:rsidRDefault="00AB3B89" w:rsidP="00AB446E">
            <w:pPr>
              <w:pStyle w:val="TableBody"/>
              <w:ind w:right="113"/>
              <w:jc w:val="right"/>
            </w:pPr>
            <w:r w:rsidRPr="00DA734F">
              <w:t>7.7%</w:t>
            </w:r>
          </w:p>
        </w:tc>
        <w:tc>
          <w:tcPr>
            <w:tcW w:w="3213" w:type="dxa"/>
          </w:tcPr>
          <w:p w14:paraId="5CAD1414" w14:textId="77777777" w:rsidR="00AB3B89" w:rsidRDefault="00AB3B89" w:rsidP="00AB446E">
            <w:pPr>
              <w:pStyle w:val="TableBody"/>
              <w:ind w:right="113"/>
              <w:jc w:val="right"/>
            </w:pPr>
            <w:r w:rsidRPr="00DA734F">
              <w:t>6.5%</w:t>
            </w:r>
          </w:p>
        </w:tc>
      </w:tr>
      <w:tr w:rsidR="00AB3B89" w14:paraId="3E638240" w14:textId="77777777" w:rsidTr="00AB446E">
        <w:trPr>
          <w:cnfStyle w:val="000000100000" w:firstRow="0" w:lastRow="0" w:firstColumn="0" w:lastColumn="0" w:oddVBand="0" w:evenVBand="0" w:oddHBand="1" w:evenHBand="0" w:firstRowFirstColumn="0" w:firstRowLastColumn="0" w:lastRowFirstColumn="0" w:lastRowLastColumn="0"/>
        </w:trPr>
        <w:tc>
          <w:tcPr>
            <w:tcW w:w="3212" w:type="dxa"/>
          </w:tcPr>
          <w:p w14:paraId="4482E605" w14:textId="77777777" w:rsidR="00AB3B89" w:rsidRDefault="00AB3B89" w:rsidP="00AB446E">
            <w:pPr>
              <w:pStyle w:val="TableBody"/>
            </w:pPr>
            <w:r w:rsidRPr="00DA734F">
              <w:t>Driver labour</w:t>
            </w:r>
          </w:p>
        </w:tc>
        <w:tc>
          <w:tcPr>
            <w:tcW w:w="3213" w:type="dxa"/>
          </w:tcPr>
          <w:p w14:paraId="6CBF28B4" w14:textId="77777777" w:rsidR="00AB3B89" w:rsidRDefault="00AB3B89" w:rsidP="00AB446E">
            <w:pPr>
              <w:pStyle w:val="TableBody"/>
              <w:ind w:right="113"/>
              <w:jc w:val="right"/>
            </w:pPr>
            <w:r w:rsidRPr="00DA734F">
              <w:t>55%</w:t>
            </w:r>
          </w:p>
        </w:tc>
        <w:tc>
          <w:tcPr>
            <w:tcW w:w="3213" w:type="dxa"/>
          </w:tcPr>
          <w:p w14:paraId="7C8967E4" w14:textId="77777777" w:rsidR="00AB3B89" w:rsidRDefault="00AB3B89" w:rsidP="00AB446E">
            <w:pPr>
              <w:pStyle w:val="TableBody"/>
              <w:ind w:right="113"/>
              <w:jc w:val="right"/>
            </w:pPr>
            <w:r w:rsidRPr="00DA734F">
              <w:t>55%</w:t>
            </w:r>
          </w:p>
        </w:tc>
      </w:tr>
    </w:tbl>
    <w:p w14:paraId="7B8D3EB7" w14:textId="77777777" w:rsidR="00A21F7A" w:rsidRDefault="0045585C" w:rsidP="00A21F7A">
      <w:pPr>
        <w:pStyle w:val="Heading4"/>
      </w:pPr>
      <w:r w:rsidRPr="00A21F7A">
        <w:t xml:space="preserve">Cost inflators </w:t>
      </w:r>
    </w:p>
    <w:p w14:paraId="13FEE1B1" w14:textId="1FBA5CD1" w:rsidR="00C52DC0" w:rsidRDefault="00A47852" w:rsidP="00706053">
      <w:r>
        <w:t>We identified the appropriate cost inflator for each cost component</w:t>
      </w:r>
      <w:r w:rsidR="00C82FF5">
        <w:t xml:space="preserve"> to measure the change in the </w:t>
      </w:r>
      <w:r w:rsidR="000B74C4">
        <w:t>respective cost component</w:t>
      </w:r>
      <w:r w:rsidR="00C82FF5">
        <w:t xml:space="preserve"> over time</w:t>
      </w:r>
      <w:r>
        <w:t xml:space="preserve">. The cost inflators are described in Table </w:t>
      </w:r>
      <w:r w:rsidR="008764D4">
        <w:t>E</w:t>
      </w:r>
      <w:r>
        <w:t xml:space="preserve">.3 below. </w:t>
      </w:r>
    </w:p>
    <w:p w14:paraId="1F75B3B9" w14:textId="083D47C3" w:rsidR="00A47852" w:rsidRDefault="00A47852" w:rsidP="00A47852">
      <w:pPr>
        <w:pStyle w:val="Figure-Table-BoxHeading"/>
        <w:keepNext/>
        <w:keepLines/>
        <w:ind w:left="0" w:firstLine="0"/>
        <w:rPr>
          <w:lang w:val="en-AU"/>
        </w:rPr>
      </w:pPr>
      <w:r w:rsidRPr="17F31E41">
        <w:rPr>
          <w:lang w:val="en-AU"/>
        </w:rPr>
        <w:t xml:space="preserve">Table </w:t>
      </w:r>
      <w:r w:rsidR="008764D4">
        <w:rPr>
          <w:lang w:val="en-AU"/>
        </w:rPr>
        <w:t>E</w:t>
      </w:r>
      <w:r w:rsidRPr="17F31E41">
        <w:rPr>
          <w:lang w:val="en-AU"/>
        </w:rPr>
        <w:t>.3</w:t>
      </w:r>
      <w:r>
        <w:tab/>
      </w:r>
      <w:r w:rsidRPr="17F31E41">
        <w:rPr>
          <w:lang w:val="en-AU"/>
        </w:rPr>
        <w:t>Cost inflators for each cost component</w:t>
      </w:r>
    </w:p>
    <w:tbl>
      <w:tblPr>
        <w:tblStyle w:val="TableGrid"/>
        <w:tblW w:w="0" w:type="auto"/>
        <w:tblLook w:val="04A0" w:firstRow="1" w:lastRow="0" w:firstColumn="1" w:lastColumn="0" w:noHBand="0" w:noVBand="1"/>
      </w:tblPr>
      <w:tblGrid>
        <w:gridCol w:w="2977"/>
        <w:gridCol w:w="6661"/>
      </w:tblGrid>
      <w:tr w:rsidR="00A47852" w14:paraId="750565B7" w14:textId="77777777" w:rsidTr="00AB446E">
        <w:trPr>
          <w:cnfStyle w:val="100000000000" w:firstRow="1" w:lastRow="0" w:firstColumn="0" w:lastColumn="0" w:oddVBand="0" w:evenVBand="0" w:oddHBand="0" w:evenHBand="0" w:firstRowFirstColumn="0" w:firstRowLastColumn="0" w:lastRowFirstColumn="0" w:lastRowLastColumn="0"/>
        </w:trPr>
        <w:tc>
          <w:tcPr>
            <w:tcW w:w="2977" w:type="dxa"/>
          </w:tcPr>
          <w:p w14:paraId="017C782F" w14:textId="77777777" w:rsidR="00A47852" w:rsidRDefault="00A47852" w:rsidP="00AB446E">
            <w:pPr>
              <w:pStyle w:val="TableHeading"/>
              <w:keepNext/>
              <w:keepLines/>
              <w:rPr>
                <w:lang w:val="en-AU"/>
              </w:rPr>
            </w:pPr>
            <w:r w:rsidRPr="17F31E41">
              <w:rPr>
                <w:lang w:val="en-AU"/>
              </w:rPr>
              <w:t>Cost component</w:t>
            </w:r>
          </w:p>
        </w:tc>
        <w:tc>
          <w:tcPr>
            <w:tcW w:w="6661" w:type="dxa"/>
          </w:tcPr>
          <w:p w14:paraId="1F1B4A7D" w14:textId="77777777" w:rsidR="00A47852" w:rsidRDefault="00A47852" w:rsidP="00AB446E">
            <w:pPr>
              <w:pStyle w:val="TableHeading"/>
              <w:keepNext/>
              <w:keepLines/>
            </w:pPr>
            <w:r w:rsidRPr="00E1007F">
              <w:t xml:space="preserve">Cost inflator </w:t>
            </w:r>
          </w:p>
        </w:tc>
      </w:tr>
      <w:tr w:rsidR="00A47852" w14:paraId="49AB2EA1" w14:textId="77777777" w:rsidTr="00AB446E">
        <w:trPr>
          <w:cnfStyle w:val="000000100000" w:firstRow="0" w:lastRow="0" w:firstColumn="0" w:lastColumn="0" w:oddVBand="0" w:evenVBand="0" w:oddHBand="1" w:evenHBand="0" w:firstRowFirstColumn="0" w:firstRowLastColumn="0" w:lastRowFirstColumn="0" w:lastRowLastColumn="0"/>
        </w:trPr>
        <w:tc>
          <w:tcPr>
            <w:tcW w:w="2977" w:type="dxa"/>
          </w:tcPr>
          <w:p w14:paraId="6B1C0DAF" w14:textId="77777777" w:rsidR="00A47852" w:rsidRDefault="00A47852" w:rsidP="00AB446E">
            <w:pPr>
              <w:pStyle w:val="TableBody"/>
              <w:keepNext/>
              <w:keepLines/>
            </w:pPr>
            <w:r w:rsidRPr="00E1007F">
              <w:t>Fuel</w:t>
            </w:r>
          </w:p>
        </w:tc>
        <w:tc>
          <w:tcPr>
            <w:tcW w:w="6661" w:type="dxa"/>
          </w:tcPr>
          <w:p w14:paraId="2E45DFE5" w14:textId="6902F30A" w:rsidR="00A47852" w:rsidRDefault="00A47852" w:rsidP="00AB446E">
            <w:pPr>
              <w:pStyle w:val="TableBody"/>
              <w:keepNext/>
              <w:keepLines/>
            </w:pPr>
            <w:r w:rsidRPr="17F31E41">
              <w:rPr>
                <w:lang w:val="en-AU"/>
              </w:rPr>
              <w:t xml:space="preserve">FuelTRAC (unleaded petrol, LPG and diesel, average </w:t>
            </w:r>
            <w:r w:rsidR="00FE039B">
              <w:rPr>
                <w:lang w:val="en-AU"/>
              </w:rPr>
              <w:t>retail price</w:t>
            </w:r>
            <w:r w:rsidRPr="17F31E41">
              <w:rPr>
                <w:lang w:val="en-AU"/>
              </w:rPr>
              <w:t xml:space="preserve"> for Melbourne, Ballarat, Bendigo and Geelong)</w:t>
            </w:r>
          </w:p>
        </w:tc>
      </w:tr>
      <w:tr w:rsidR="00A47852" w14:paraId="6D75E360" w14:textId="77777777" w:rsidTr="00AB446E">
        <w:trPr>
          <w:cnfStyle w:val="000000010000" w:firstRow="0" w:lastRow="0" w:firstColumn="0" w:lastColumn="0" w:oddVBand="0" w:evenVBand="0" w:oddHBand="0" w:evenHBand="1" w:firstRowFirstColumn="0" w:firstRowLastColumn="0" w:lastRowFirstColumn="0" w:lastRowLastColumn="0"/>
        </w:trPr>
        <w:tc>
          <w:tcPr>
            <w:tcW w:w="2977" w:type="dxa"/>
          </w:tcPr>
          <w:p w14:paraId="4728B98B" w14:textId="77777777" w:rsidR="00A47852" w:rsidRDefault="00A47852" w:rsidP="00AB446E">
            <w:pPr>
              <w:pStyle w:val="TableBody"/>
            </w:pPr>
            <w:r w:rsidRPr="00E1007F">
              <w:t>Network (equipment)</w:t>
            </w:r>
          </w:p>
        </w:tc>
        <w:tc>
          <w:tcPr>
            <w:tcW w:w="6661" w:type="dxa"/>
          </w:tcPr>
          <w:p w14:paraId="0062E849" w14:textId="77777777" w:rsidR="00A47852" w:rsidRDefault="00A47852" w:rsidP="00AB446E">
            <w:pPr>
              <w:pStyle w:val="TableBody"/>
            </w:pPr>
            <w:r w:rsidRPr="17F31E41">
              <w:rPr>
                <w:lang w:val="en-AU"/>
              </w:rPr>
              <w:t>Consumer Price Index (CPI) (telecommunications equipment and services component, Melbourne)</w:t>
            </w:r>
          </w:p>
        </w:tc>
      </w:tr>
      <w:tr w:rsidR="00A47852" w14:paraId="17E9CF4E" w14:textId="77777777" w:rsidTr="00AB446E">
        <w:trPr>
          <w:cnfStyle w:val="000000100000" w:firstRow="0" w:lastRow="0" w:firstColumn="0" w:lastColumn="0" w:oddVBand="0" w:evenVBand="0" w:oddHBand="1" w:evenHBand="0" w:firstRowFirstColumn="0" w:firstRowLastColumn="0" w:lastRowFirstColumn="0" w:lastRowLastColumn="0"/>
        </w:trPr>
        <w:tc>
          <w:tcPr>
            <w:tcW w:w="2977" w:type="dxa"/>
          </w:tcPr>
          <w:p w14:paraId="5EA0D62E" w14:textId="77777777" w:rsidR="00A47852" w:rsidRDefault="00A47852" w:rsidP="00AB446E">
            <w:pPr>
              <w:pStyle w:val="TableBody"/>
            </w:pPr>
            <w:r w:rsidRPr="00E1007F">
              <w:t>Network (labour)</w:t>
            </w:r>
          </w:p>
        </w:tc>
        <w:tc>
          <w:tcPr>
            <w:tcW w:w="6661" w:type="dxa"/>
          </w:tcPr>
          <w:p w14:paraId="5B45981F" w14:textId="0A696295" w:rsidR="00A47852" w:rsidRDefault="00A5639C" w:rsidP="00AB446E">
            <w:pPr>
              <w:pStyle w:val="TableBody"/>
            </w:pPr>
            <w:r>
              <w:t>A</w:t>
            </w:r>
            <w:r w:rsidR="00120FD0">
              <w:t>ustralian Bureau of Statistics</w:t>
            </w:r>
            <w:r>
              <w:t xml:space="preserve"> </w:t>
            </w:r>
            <w:r w:rsidR="00A47852" w:rsidRPr="00E1007F">
              <w:t>Wage Price Index (WPI) (Victoria)</w:t>
            </w:r>
          </w:p>
        </w:tc>
      </w:tr>
      <w:tr w:rsidR="00A47852" w14:paraId="3081509A" w14:textId="77777777" w:rsidTr="00AB446E">
        <w:trPr>
          <w:cnfStyle w:val="000000010000" w:firstRow="0" w:lastRow="0" w:firstColumn="0" w:lastColumn="0" w:oddVBand="0" w:evenVBand="0" w:oddHBand="0" w:evenHBand="1" w:firstRowFirstColumn="0" w:firstRowLastColumn="0" w:lastRowFirstColumn="0" w:lastRowLastColumn="0"/>
        </w:trPr>
        <w:tc>
          <w:tcPr>
            <w:tcW w:w="2977" w:type="dxa"/>
          </w:tcPr>
          <w:p w14:paraId="7FC2A857" w14:textId="77777777" w:rsidR="00A47852" w:rsidRDefault="00A47852" w:rsidP="00AB446E">
            <w:pPr>
              <w:pStyle w:val="TableBody"/>
            </w:pPr>
            <w:r w:rsidRPr="00E1007F">
              <w:t>Insurance</w:t>
            </w:r>
          </w:p>
        </w:tc>
        <w:tc>
          <w:tcPr>
            <w:tcW w:w="6661" w:type="dxa"/>
          </w:tcPr>
          <w:p w14:paraId="69C11CF8" w14:textId="77777777" w:rsidR="00A47852" w:rsidRDefault="00A47852" w:rsidP="00AB446E">
            <w:pPr>
              <w:pStyle w:val="TableBody"/>
            </w:pPr>
            <w:r w:rsidRPr="00E1007F">
              <w:t>Insurance Council of Australia (comprehensive car insurance index)</w:t>
            </w:r>
          </w:p>
        </w:tc>
      </w:tr>
      <w:tr w:rsidR="00A47852" w14:paraId="0A1B7BC1" w14:textId="77777777" w:rsidTr="00AB446E">
        <w:trPr>
          <w:cnfStyle w:val="000000100000" w:firstRow="0" w:lastRow="0" w:firstColumn="0" w:lastColumn="0" w:oddVBand="0" w:evenVBand="0" w:oddHBand="1" w:evenHBand="0" w:firstRowFirstColumn="0" w:firstRowLastColumn="0" w:lastRowFirstColumn="0" w:lastRowLastColumn="0"/>
        </w:trPr>
        <w:tc>
          <w:tcPr>
            <w:tcW w:w="2977" w:type="dxa"/>
          </w:tcPr>
          <w:p w14:paraId="6BFDFD1C" w14:textId="77777777" w:rsidR="00A47852" w:rsidRDefault="00A47852" w:rsidP="00AB446E">
            <w:pPr>
              <w:pStyle w:val="TableBody"/>
            </w:pPr>
            <w:r w:rsidRPr="00E1007F">
              <w:t>Vehicle</w:t>
            </w:r>
          </w:p>
        </w:tc>
        <w:tc>
          <w:tcPr>
            <w:tcW w:w="6661" w:type="dxa"/>
          </w:tcPr>
          <w:p w14:paraId="09E3FADC" w14:textId="77777777" w:rsidR="00A47852" w:rsidRDefault="00A47852" w:rsidP="00AB446E">
            <w:pPr>
              <w:pStyle w:val="TableBody"/>
            </w:pPr>
            <w:r w:rsidRPr="00E1007F">
              <w:t>Imputed on CPI (motor vehicle, Melbourne) and Reserve Bank of Australia lending rates for small businesses</w:t>
            </w:r>
          </w:p>
        </w:tc>
      </w:tr>
      <w:tr w:rsidR="00A47852" w14:paraId="5D317A21" w14:textId="77777777" w:rsidTr="00AB446E">
        <w:trPr>
          <w:cnfStyle w:val="000000010000" w:firstRow="0" w:lastRow="0" w:firstColumn="0" w:lastColumn="0" w:oddVBand="0" w:evenVBand="0" w:oddHBand="0" w:evenHBand="1" w:firstRowFirstColumn="0" w:firstRowLastColumn="0" w:lastRowFirstColumn="0" w:lastRowLastColumn="0"/>
        </w:trPr>
        <w:tc>
          <w:tcPr>
            <w:tcW w:w="2977" w:type="dxa"/>
          </w:tcPr>
          <w:p w14:paraId="5B674692" w14:textId="77777777" w:rsidR="00A47852" w:rsidRDefault="00A47852" w:rsidP="00AB446E">
            <w:pPr>
              <w:pStyle w:val="TableBody"/>
            </w:pPr>
            <w:r w:rsidRPr="00E1007F">
              <w:t xml:space="preserve">Registration </w:t>
            </w:r>
          </w:p>
        </w:tc>
        <w:tc>
          <w:tcPr>
            <w:tcW w:w="6661" w:type="dxa"/>
          </w:tcPr>
          <w:p w14:paraId="240B365E" w14:textId="77777777" w:rsidR="00A47852" w:rsidRDefault="00A47852" w:rsidP="00AB446E">
            <w:pPr>
              <w:pStyle w:val="TableBody"/>
            </w:pPr>
            <w:r w:rsidRPr="00E1007F">
              <w:t>VicRoads registration fee</w:t>
            </w:r>
          </w:p>
        </w:tc>
      </w:tr>
      <w:tr w:rsidR="00A47852" w14:paraId="589AA3CF" w14:textId="77777777" w:rsidTr="00AB446E">
        <w:trPr>
          <w:cnfStyle w:val="000000100000" w:firstRow="0" w:lastRow="0" w:firstColumn="0" w:lastColumn="0" w:oddVBand="0" w:evenVBand="0" w:oddHBand="1" w:evenHBand="0" w:firstRowFirstColumn="0" w:firstRowLastColumn="0" w:lastRowFirstColumn="0" w:lastRowLastColumn="0"/>
        </w:trPr>
        <w:tc>
          <w:tcPr>
            <w:tcW w:w="2977" w:type="dxa"/>
          </w:tcPr>
          <w:p w14:paraId="4E2736DA" w14:textId="77777777" w:rsidR="00A47852" w:rsidRDefault="00A47852" w:rsidP="00AB446E">
            <w:pPr>
              <w:pStyle w:val="TableBody"/>
            </w:pPr>
            <w:r w:rsidRPr="00E1007F">
              <w:t>Repairs and maintenance</w:t>
            </w:r>
          </w:p>
        </w:tc>
        <w:tc>
          <w:tcPr>
            <w:tcW w:w="6661" w:type="dxa"/>
          </w:tcPr>
          <w:p w14:paraId="5170347E" w14:textId="037E3E9E" w:rsidR="00A47852" w:rsidRDefault="00120FD0" w:rsidP="00AB446E">
            <w:pPr>
              <w:pStyle w:val="TableBody"/>
            </w:pPr>
            <w:r>
              <w:t>Australian Bureau of Statistics</w:t>
            </w:r>
            <w:r w:rsidR="00A5639C">
              <w:t xml:space="preserve"> </w:t>
            </w:r>
            <w:r w:rsidR="00A47852" w:rsidRPr="00E1007F">
              <w:t>CPI (maintenance and repairs of motor vehicles, Melbourne)</w:t>
            </w:r>
          </w:p>
        </w:tc>
      </w:tr>
      <w:tr w:rsidR="00A47852" w14:paraId="00FD8D07" w14:textId="77777777" w:rsidTr="00AB446E">
        <w:trPr>
          <w:cnfStyle w:val="000000010000" w:firstRow="0" w:lastRow="0" w:firstColumn="0" w:lastColumn="0" w:oddVBand="0" w:evenVBand="0" w:oddHBand="0" w:evenHBand="1" w:firstRowFirstColumn="0" w:firstRowLastColumn="0" w:lastRowFirstColumn="0" w:lastRowLastColumn="0"/>
        </w:trPr>
        <w:tc>
          <w:tcPr>
            <w:tcW w:w="2977" w:type="dxa"/>
          </w:tcPr>
          <w:p w14:paraId="3F8B1477" w14:textId="77777777" w:rsidR="00A47852" w:rsidRDefault="00A47852" w:rsidP="00AB446E">
            <w:pPr>
              <w:pStyle w:val="TableBody"/>
            </w:pPr>
            <w:r w:rsidRPr="00E1007F">
              <w:t xml:space="preserve">Administration </w:t>
            </w:r>
          </w:p>
        </w:tc>
        <w:tc>
          <w:tcPr>
            <w:tcW w:w="6661" w:type="dxa"/>
          </w:tcPr>
          <w:p w14:paraId="559CF205" w14:textId="75925AE6" w:rsidR="00A47852" w:rsidRDefault="00120FD0" w:rsidP="00AB446E">
            <w:pPr>
              <w:pStyle w:val="TableBody"/>
            </w:pPr>
            <w:r>
              <w:t>Australian Bureau of Statistics</w:t>
            </w:r>
            <w:r w:rsidR="00A5639C">
              <w:t xml:space="preserve"> </w:t>
            </w:r>
            <w:r w:rsidR="00A47852" w:rsidRPr="00E1007F">
              <w:t>WPI (Victoria), CPI (all groups, Melbourne)</w:t>
            </w:r>
          </w:p>
        </w:tc>
      </w:tr>
      <w:tr w:rsidR="00A47852" w14:paraId="69B742BA" w14:textId="77777777" w:rsidTr="00AB446E">
        <w:trPr>
          <w:cnfStyle w:val="000000100000" w:firstRow="0" w:lastRow="0" w:firstColumn="0" w:lastColumn="0" w:oddVBand="0" w:evenVBand="0" w:oddHBand="1" w:evenHBand="0" w:firstRowFirstColumn="0" w:firstRowLastColumn="0" w:lastRowFirstColumn="0" w:lastRowLastColumn="0"/>
        </w:trPr>
        <w:tc>
          <w:tcPr>
            <w:tcW w:w="2977" w:type="dxa"/>
          </w:tcPr>
          <w:p w14:paraId="1A17E58A" w14:textId="77777777" w:rsidR="00A47852" w:rsidRDefault="00A47852" w:rsidP="00AB446E">
            <w:pPr>
              <w:pStyle w:val="TableBody"/>
            </w:pPr>
            <w:r w:rsidRPr="00E1007F">
              <w:t>Driver labour</w:t>
            </w:r>
          </w:p>
        </w:tc>
        <w:tc>
          <w:tcPr>
            <w:tcW w:w="6661" w:type="dxa"/>
          </w:tcPr>
          <w:p w14:paraId="21CDA81E" w14:textId="77777777" w:rsidR="00A47852" w:rsidRDefault="00A47852" w:rsidP="00AB446E">
            <w:pPr>
              <w:pStyle w:val="TableBody"/>
            </w:pPr>
            <w:r w:rsidRPr="00E1007F">
              <w:t xml:space="preserve">Fair Work Commission’s annual wage review </w:t>
            </w:r>
          </w:p>
        </w:tc>
      </w:tr>
    </w:tbl>
    <w:p w14:paraId="21178EDD" w14:textId="6350886A" w:rsidR="00A47852" w:rsidRDefault="00B8647A" w:rsidP="00B8647A">
      <w:pPr>
        <w:pStyle w:val="Heading3"/>
      </w:pPr>
      <w:bookmarkStart w:id="241" w:name="_Toc173691428"/>
      <w:bookmarkStart w:id="242" w:name="_Toc174692694"/>
      <w:r>
        <w:lastRenderedPageBreak/>
        <w:t xml:space="preserve">Updating the </w:t>
      </w:r>
      <w:r w:rsidR="00DA038A">
        <w:t xml:space="preserve">taxi </w:t>
      </w:r>
      <w:r>
        <w:t>cost index</w:t>
      </w:r>
      <w:r w:rsidR="00155633">
        <w:t>es</w:t>
      </w:r>
      <w:r>
        <w:t xml:space="preserve"> in 2024</w:t>
      </w:r>
      <w:bookmarkEnd w:id="241"/>
      <w:bookmarkEnd w:id="242"/>
    </w:p>
    <w:p w14:paraId="73813752" w14:textId="761D8EED" w:rsidR="004765FD" w:rsidRDefault="004765FD" w:rsidP="004765FD">
      <w:r>
        <w:t>To update the taxi cost index</w:t>
      </w:r>
      <w:r w:rsidR="0034685F">
        <w:t>es</w:t>
      </w:r>
      <w:r>
        <w:t xml:space="preserve"> and </w:t>
      </w:r>
      <w:r w:rsidR="00F84D86">
        <w:t>estimate</w:t>
      </w:r>
      <w:r>
        <w:t xml:space="preserve"> the change</w:t>
      </w:r>
      <w:r w:rsidR="00951B44">
        <w:t>s</w:t>
      </w:r>
      <w:r>
        <w:t xml:space="preserve"> in the cost of operating </w:t>
      </w:r>
      <w:r w:rsidR="008A23A6">
        <w:t>conventional and wheelchair accessible</w:t>
      </w:r>
      <w:r>
        <w:t xml:space="preserve"> taxi</w:t>
      </w:r>
      <w:r w:rsidR="003F256F">
        <w:t>s</w:t>
      </w:r>
      <w:r>
        <w:t xml:space="preserve"> since our 2022 review, we:</w:t>
      </w:r>
    </w:p>
    <w:p w14:paraId="3F343555" w14:textId="77777777" w:rsidR="004765FD" w:rsidRDefault="004765FD" w:rsidP="004765FD">
      <w:pPr>
        <w:pStyle w:val="ListBullet"/>
      </w:pPr>
      <w:r>
        <w:t xml:space="preserve">multiplied the cost share for each cost component by the change in its respective cost inflator to calculate the </w:t>
      </w:r>
      <w:r w:rsidRPr="003B22A4">
        <w:rPr>
          <w:b/>
          <w:bCs/>
        </w:rPr>
        <w:t>index contribution</w:t>
      </w:r>
      <w:r>
        <w:t xml:space="preserve"> for each component</w:t>
      </w:r>
    </w:p>
    <w:p w14:paraId="138EBD28" w14:textId="03EFE1A4" w:rsidR="004765FD" w:rsidRPr="004765FD" w:rsidRDefault="004765FD" w:rsidP="004765FD">
      <w:pPr>
        <w:pStyle w:val="ListBullet"/>
      </w:pPr>
      <w:r>
        <w:t>added up the index contribution for each cost component to find the total change in costs.</w:t>
      </w:r>
    </w:p>
    <w:p w14:paraId="5BE56FA2" w14:textId="7B5B97E7" w:rsidR="00B87DE4" w:rsidRDefault="00641D7B" w:rsidP="005A0557">
      <w:r w:rsidRPr="005A0557">
        <w:t xml:space="preserve">For most cost components, we have </w:t>
      </w:r>
      <w:r w:rsidR="00B83AB8">
        <w:t>measured</w:t>
      </w:r>
      <w:r w:rsidRPr="005A0557">
        <w:t xml:space="preserve"> the change </w:t>
      </w:r>
      <w:r w:rsidR="007F158D">
        <w:t xml:space="preserve">in </w:t>
      </w:r>
      <w:r w:rsidR="00E71695">
        <w:t xml:space="preserve">the respective </w:t>
      </w:r>
      <w:r w:rsidR="007F158D">
        <w:t xml:space="preserve">cost inflator </w:t>
      </w:r>
      <w:r w:rsidRPr="005A0557">
        <w:t>over the period from June 2022 to June 2024</w:t>
      </w:r>
      <w:r w:rsidRPr="0072597A">
        <w:t xml:space="preserve">. </w:t>
      </w:r>
      <w:r w:rsidR="00C84033" w:rsidRPr="0072597A">
        <w:t>However, the change</w:t>
      </w:r>
      <w:r w:rsidR="00D23F9F" w:rsidRPr="0072597A">
        <w:t>s</w:t>
      </w:r>
      <w:r w:rsidR="00C84033" w:rsidRPr="0072597A">
        <w:t xml:space="preserve"> in the cost inflators </w:t>
      </w:r>
      <w:r w:rsidR="0072597A" w:rsidRPr="0072597A">
        <w:t>that use the wage price index (</w:t>
      </w:r>
      <w:r w:rsidR="00E750D7" w:rsidRPr="0072597A">
        <w:t>network (labour)</w:t>
      </w:r>
      <w:r w:rsidR="0072597A" w:rsidRPr="0072597A">
        <w:t xml:space="preserve"> </w:t>
      </w:r>
      <w:r w:rsidR="00E750D7" w:rsidRPr="0072597A">
        <w:t xml:space="preserve">and </w:t>
      </w:r>
      <w:r w:rsidR="00881872" w:rsidRPr="0072597A">
        <w:t>administration</w:t>
      </w:r>
      <w:r w:rsidR="0072597A" w:rsidRPr="0072597A">
        <w:t>) and the comprehensive car</w:t>
      </w:r>
      <w:r w:rsidR="00EC34F3" w:rsidRPr="0072597A">
        <w:t xml:space="preserve"> insurance</w:t>
      </w:r>
      <w:r w:rsidR="0072597A" w:rsidRPr="0072597A">
        <w:t xml:space="preserve"> index (insurance)</w:t>
      </w:r>
      <w:r w:rsidR="00881872" w:rsidRPr="0072597A">
        <w:t xml:space="preserve"> are measured </w:t>
      </w:r>
      <w:r w:rsidR="00542AD3" w:rsidRPr="0072597A">
        <w:t>over the perio</w:t>
      </w:r>
      <w:r w:rsidR="005B0C29" w:rsidRPr="0072597A">
        <w:t>d</w:t>
      </w:r>
      <w:r w:rsidR="00881872" w:rsidRPr="0072597A">
        <w:t xml:space="preserve"> from June 2022 to March 2024</w:t>
      </w:r>
      <w:r w:rsidR="008F5022" w:rsidRPr="0072597A">
        <w:t>.</w:t>
      </w:r>
      <w:r w:rsidR="00881872" w:rsidRPr="0072597A">
        <w:t xml:space="preserve"> </w:t>
      </w:r>
      <w:r w:rsidRPr="005A0557">
        <w:t xml:space="preserve">Table </w:t>
      </w:r>
      <w:r w:rsidR="008764D4">
        <w:t>E</w:t>
      </w:r>
      <w:r w:rsidRPr="005A0557">
        <w:t xml:space="preserve">.4 sets out </w:t>
      </w:r>
      <w:r w:rsidR="008C19DF">
        <w:t xml:space="preserve">the </w:t>
      </w:r>
      <w:r w:rsidR="00F93082" w:rsidRPr="005A0557">
        <w:t>tim</w:t>
      </w:r>
      <w:r w:rsidR="008C19DF">
        <w:t>e period</w:t>
      </w:r>
      <w:r w:rsidR="00F93082" w:rsidRPr="005A0557">
        <w:t xml:space="preserve"> of the </w:t>
      </w:r>
      <w:r w:rsidR="006E5E0E">
        <w:t xml:space="preserve">change in </w:t>
      </w:r>
      <w:r w:rsidR="00F93082" w:rsidRPr="005A0557">
        <w:t>cost inflator(s) for each cost component.</w:t>
      </w:r>
    </w:p>
    <w:p w14:paraId="3ADC02B1" w14:textId="4BD70E31" w:rsidR="00A622BE" w:rsidRDefault="00A622BE" w:rsidP="00A622BE">
      <w:pPr>
        <w:pStyle w:val="Figure-Table-BoxHeading"/>
        <w:keepNext/>
        <w:keepLines/>
        <w:ind w:left="0" w:firstLine="0"/>
        <w:rPr>
          <w:lang w:val="en-AU"/>
        </w:rPr>
      </w:pPr>
      <w:r w:rsidRPr="17F31E41">
        <w:rPr>
          <w:lang w:val="en-AU"/>
        </w:rPr>
        <w:t xml:space="preserve">Table </w:t>
      </w:r>
      <w:r w:rsidR="008764D4">
        <w:rPr>
          <w:lang w:val="en-AU"/>
        </w:rPr>
        <w:t>E</w:t>
      </w:r>
      <w:r w:rsidRPr="17F31E41">
        <w:rPr>
          <w:lang w:val="en-AU"/>
        </w:rPr>
        <w:t>.4</w:t>
      </w:r>
      <w:r>
        <w:tab/>
      </w:r>
      <w:r w:rsidRPr="17F31E41">
        <w:rPr>
          <w:lang w:val="en-AU"/>
        </w:rPr>
        <w:t>Changes in cost inflators for each cost component</w:t>
      </w:r>
    </w:p>
    <w:tbl>
      <w:tblPr>
        <w:tblStyle w:val="TableGrid"/>
        <w:tblW w:w="0" w:type="auto"/>
        <w:tblLook w:val="04A0" w:firstRow="1" w:lastRow="0" w:firstColumn="1" w:lastColumn="0" w:noHBand="0" w:noVBand="1"/>
      </w:tblPr>
      <w:tblGrid>
        <w:gridCol w:w="3119"/>
        <w:gridCol w:w="6519"/>
      </w:tblGrid>
      <w:tr w:rsidR="00A622BE" w14:paraId="3EA60D85" w14:textId="77777777" w:rsidTr="00AB446E">
        <w:trPr>
          <w:cnfStyle w:val="100000000000" w:firstRow="1" w:lastRow="0" w:firstColumn="0" w:lastColumn="0" w:oddVBand="0" w:evenVBand="0" w:oddHBand="0" w:evenHBand="0" w:firstRowFirstColumn="0" w:firstRowLastColumn="0" w:lastRowFirstColumn="0" w:lastRowLastColumn="0"/>
        </w:trPr>
        <w:tc>
          <w:tcPr>
            <w:tcW w:w="3119" w:type="dxa"/>
          </w:tcPr>
          <w:p w14:paraId="256020BC" w14:textId="77777777" w:rsidR="00A622BE" w:rsidRDefault="00A622BE" w:rsidP="00AB446E">
            <w:pPr>
              <w:pStyle w:val="TableHeading"/>
              <w:keepNext/>
              <w:keepLines/>
              <w:rPr>
                <w:lang w:val="en-AU"/>
              </w:rPr>
            </w:pPr>
            <w:r w:rsidRPr="17F31E41">
              <w:rPr>
                <w:lang w:val="en-AU"/>
              </w:rPr>
              <w:t>Cost component</w:t>
            </w:r>
          </w:p>
        </w:tc>
        <w:tc>
          <w:tcPr>
            <w:tcW w:w="6519" w:type="dxa"/>
          </w:tcPr>
          <w:p w14:paraId="73D49D5E" w14:textId="77777777" w:rsidR="00A622BE" w:rsidRDefault="00A622BE" w:rsidP="00AB446E">
            <w:pPr>
              <w:pStyle w:val="TableHeading"/>
              <w:keepNext/>
              <w:keepLines/>
            </w:pPr>
            <w:r w:rsidRPr="00C871A5">
              <w:t xml:space="preserve">Changes in cost inflator </w:t>
            </w:r>
          </w:p>
        </w:tc>
      </w:tr>
      <w:tr w:rsidR="00A622BE" w14:paraId="446C01FE" w14:textId="77777777" w:rsidTr="00AB446E">
        <w:trPr>
          <w:cnfStyle w:val="000000100000" w:firstRow="0" w:lastRow="0" w:firstColumn="0" w:lastColumn="0" w:oddVBand="0" w:evenVBand="0" w:oddHBand="1" w:evenHBand="0" w:firstRowFirstColumn="0" w:firstRowLastColumn="0" w:lastRowFirstColumn="0" w:lastRowLastColumn="0"/>
        </w:trPr>
        <w:tc>
          <w:tcPr>
            <w:tcW w:w="3119" w:type="dxa"/>
          </w:tcPr>
          <w:p w14:paraId="0361703A" w14:textId="77777777" w:rsidR="00A622BE" w:rsidRPr="00885BC2" w:rsidRDefault="00A622BE" w:rsidP="00AB446E">
            <w:pPr>
              <w:pStyle w:val="TableBody"/>
              <w:keepNext/>
              <w:keepLines/>
            </w:pPr>
            <w:r w:rsidRPr="00885BC2">
              <w:t>Fuel</w:t>
            </w:r>
          </w:p>
        </w:tc>
        <w:tc>
          <w:tcPr>
            <w:tcW w:w="6519" w:type="dxa"/>
          </w:tcPr>
          <w:p w14:paraId="4C1B0A6E" w14:textId="3BAF22AD" w:rsidR="00A622BE" w:rsidRPr="00885BC2" w:rsidRDefault="00A622BE" w:rsidP="00AB446E">
            <w:pPr>
              <w:pStyle w:val="TableBody"/>
              <w:keepNext/>
              <w:keepLines/>
            </w:pPr>
            <w:r w:rsidRPr="00885BC2">
              <w:rPr>
                <w:lang w:val="en-AU"/>
              </w:rPr>
              <w:t xml:space="preserve">FuelTRAC fuel prices between June 2022 and </w:t>
            </w:r>
            <w:r w:rsidR="007E7AE7" w:rsidRPr="00BB40E4">
              <w:rPr>
                <w:lang w:val="en-AU"/>
              </w:rPr>
              <w:t>June</w:t>
            </w:r>
            <w:r w:rsidRPr="00885BC2">
              <w:rPr>
                <w:lang w:val="en-AU"/>
              </w:rPr>
              <w:t xml:space="preserve"> 2024</w:t>
            </w:r>
          </w:p>
        </w:tc>
      </w:tr>
      <w:tr w:rsidR="00A622BE" w14:paraId="2062D642" w14:textId="77777777" w:rsidTr="00AB446E">
        <w:trPr>
          <w:cnfStyle w:val="000000010000" w:firstRow="0" w:lastRow="0" w:firstColumn="0" w:lastColumn="0" w:oddVBand="0" w:evenVBand="0" w:oddHBand="0" w:evenHBand="1" w:firstRowFirstColumn="0" w:firstRowLastColumn="0" w:lastRowFirstColumn="0" w:lastRowLastColumn="0"/>
        </w:trPr>
        <w:tc>
          <w:tcPr>
            <w:tcW w:w="3119" w:type="dxa"/>
          </w:tcPr>
          <w:p w14:paraId="7E95338D" w14:textId="77777777" w:rsidR="00A622BE" w:rsidRPr="00885BC2" w:rsidRDefault="00A622BE" w:rsidP="00AB446E">
            <w:pPr>
              <w:pStyle w:val="TableBody"/>
            </w:pPr>
            <w:r w:rsidRPr="00885BC2">
              <w:t>Network (equipment)</w:t>
            </w:r>
          </w:p>
        </w:tc>
        <w:tc>
          <w:tcPr>
            <w:tcW w:w="6519" w:type="dxa"/>
          </w:tcPr>
          <w:p w14:paraId="3CE7B6F6" w14:textId="7680B0FF" w:rsidR="00A622BE" w:rsidRPr="00885BC2" w:rsidRDefault="00A622BE" w:rsidP="00AB446E">
            <w:pPr>
              <w:pStyle w:val="TableBody"/>
            </w:pPr>
            <w:r w:rsidRPr="00885BC2">
              <w:rPr>
                <w:lang w:val="en-AU"/>
              </w:rPr>
              <w:t xml:space="preserve">Consumer Price Index (CPI) (telecommunications equipment and services component, Melbourne) between June 2022 and </w:t>
            </w:r>
            <w:r w:rsidR="007E7AE7" w:rsidRPr="00BB40E4">
              <w:rPr>
                <w:lang w:val="en-AU"/>
              </w:rPr>
              <w:t>June</w:t>
            </w:r>
            <w:r w:rsidRPr="00885BC2">
              <w:rPr>
                <w:lang w:val="en-AU"/>
              </w:rPr>
              <w:t xml:space="preserve"> 2024</w:t>
            </w:r>
          </w:p>
        </w:tc>
      </w:tr>
      <w:tr w:rsidR="00A622BE" w14:paraId="1388307A" w14:textId="77777777" w:rsidTr="00AB446E">
        <w:trPr>
          <w:cnfStyle w:val="000000100000" w:firstRow="0" w:lastRow="0" w:firstColumn="0" w:lastColumn="0" w:oddVBand="0" w:evenVBand="0" w:oddHBand="1" w:evenHBand="0" w:firstRowFirstColumn="0" w:firstRowLastColumn="0" w:lastRowFirstColumn="0" w:lastRowLastColumn="0"/>
        </w:trPr>
        <w:tc>
          <w:tcPr>
            <w:tcW w:w="3119" w:type="dxa"/>
          </w:tcPr>
          <w:p w14:paraId="0AC2621E" w14:textId="77777777" w:rsidR="00A622BE" w:rsidRPr="00885BC2" w:rsidRDefault="00A622BE" w:rsidP="00AB446E">
            <w:pPr>
              <w:pStyle w:val="TableBody"/>
            </w:pPr>
            <w:r w:rsidRPr="00885BC2">
              <w:t>Network (labour)</w:t>
            </w:r>
          </w:p>
        </w:tc>
        <w:tc>
          <w:tcPr>
            <w:tcW w:w="6519" w:type="dxa"/>
          </w:tcPr>
          <w:p w14:paraId="5E3ADEF4" w14:textId="0550EA2D" w:rsidR="00A622BE" w:rsidRPr="00885BC2" w:rsidRDefault="00A622BE" w:rsidP="00AB446E">
            <w:pPr>
              <w:pStyle w:val="TableBody"/>
            </w:pPr>
            <w:r w:rsidRPr="00885BC2">
              <w:t xml:space="preserve">Wage Price Index (WPI) (Victoria) between June 2022 and </w:t>
            </w:r>
            <w:r w:rsidR="003307E6" w:rsidRPr="0072597A">
              <w:t>March</w:t>
            </w:r>
            <w:r w:rsidRPr="00885BC2">
              <w:t xml:space="preserve"> 2024</w:t>
            </w:r>
          </w:p>
        </w:tc>
      </w:tr>
      <w:tr w:rsidR="00A622BE" w14:paraId="5E606C95" w14:textId="77777777" w:rsidTr="00AB446E">
        <w:trPr>
          <w:cnfStyle w:val="000000010000" w:firstRow="0" w:lastRow="0" w:firstColumn="0" w:lastColumn="0" w:oddVBand="0" w:evenVBand="0" w:oddHBand="0" w:evenHBand="1" w:firstRowFirstColumn="0" w:firstRowLastColumn="0" w:lastRowFirstColumn="0" w:lastRowLastColumn="0"/>
        </w:trPr>
        <w:tc>
          <w:tcPr>
            <w:tcW w:w="3119" w:type="dxa"/>
          </w:tcPr>
          <w:p w14:paraId="6AB87922" w14:textId="77777777" w:rsidR="00A622BE" w:rsidRPr="00885BC2" w:rsidRDefault="00A622BE" w:rsidP="00AB446E">
            <w:pPr>
              <w:pStyle w:val="TableBody"/>
            </w:pPr>
            <w:r w:rsidRPr="00885BC2">
              <w:t>Insurance</w:t>
            </w:r>
          </w:p>
        </w:tc>
        <w:tc>
          <w:tcPr>
            <w:tcW w:w="6519" w:type="dxa"/>
          </w:tcPr>
          <w:p w14:paraId="420BEBC3" w14:textId="32AA7806" w:rsidR="00A622BE" w:rsidRPr="00885BC2" w:rsidRDefault="00A622BE" w:rsidP="00AB446E">
            <w:pPr>
              <w:pStyle w:val="TableBody"/>
            </w:pPr>
            <w:r w:rsidRPr="00885BC2">
              <w:t xml:space="preserve">Insurance Council of Australia (comprehensive car insurance index) between June 2022 and </w:t>
            </w:r>
            <w:r w:rsidR="003307E6" w:rsidRPr="0072597A">
              <w:t>March</w:t>
            </w:r>
            <w:r w:rsidRPr="00885BC2">
              <w:t xml:space="preserve"> 2024</w:t>
            </w:r>
          </w:p>
        </w:tc>
      </w:tr>
      <w:tr w:rsidR="00A622BE" w14:paraId="14D4EAAA" w14:textId="77777777" w:rsidTr="00AB446E">
        <w:trPr>
          <w:cnfStyle w:val="000000100000" w:firstRow="0" w:lastRow="0" w:firstColumn="0" w:lastColumn="0" w:oddVBand="0" w:evenVBand="0" w:oddHBand="1" w:evenHBand="0" w:firstRowFirstColumn="0" w:firstRowLastColumn="0" w:lastRowFirstColumn="0" w:lastRowLastColumn="0"/>
        </w:trPr>
        <w:tc>
          <w:tcPr>
            <w:tcW w:w="3119" w:type="dxa"/>
          </w:tcPr>
          <w:p w14:paraId="34327AAE" w14:textId="77777777" w:rsidR="00A622BE" w:rsidRPr="00885BC2" w:rsidRDefault="00A622BE" w:rsidP="00AB446E">
            <w:pPr>
              <w:pStyle w:val="TableBody"/>
            </w:pPr>
            <w:r w:rsidRPr="00885BC2">
              <w:t>Vehicle</w:t>
            </w:r>
          </w:p>
        </w:tc>
        <w:tc>
          <w:tcPr>
            <w:tcW w:w="6519" w:type="dxa"/>
          </w:tcPr>
          <w:p w14:paraId="0F9923EE" w14:textId="13B41075" w:rsidR="00A622BE" w:rsidRPr="00885BC2" w:rsidRDefault="00A622BE" w:rsidP="00AB446E">
            <w:pPr>
              <w:pStyle w:val="TableBody"/>
            </w:pPr>
            <w:r w:rsidRPr="00885BC2">
              <w:t xml:space="preserve">Imputed on CPI (motor vehicle, Melbourne) between June 2022 and </w:t>
            </w:r>
            <w:r w:rsidR="007E7AE7" w:rsidRPr="00BB40E4">
              <w:t>June</w:t>
            </w:r>
            <w:r w:rsidRPr="00885BC2">
              <w:t xml:space="preserve"> 2024 </w:t>
            </w:r>
          </w:p>
          <w:p w14:paraId="01041637" w14:textId="34A6065B" w:rsidR="00A622BE" w:rsidRPr="00885BC2" w:rsidRDefault="00A622BE" w:rsidP="00AB446E">
            <w:pPr>
              <w:pStyle w:val="TableBody"/>
            </w:pPr>
            <w:r w:rsidRPr="00885BC2">
              <w:t xml:space="preserve">Reserve Bank of Australia lending rates for small businesses between June 2022 and </w:t>
            </w:r>
            <w:r w:rsidR="007E7AE7" w:rsidRPr="00BB40E4">
              <w:t>June</w:t>
            </w:r>
            <w:r w:rsidRPr="00885BC2">
              <w:t xml:space="preserve"> 2024</w:t>
            </w:r>
          </w:p>
        </w:tc>
      </w:tr>
      <w:tr w:rsidR="00A622BE" w14:paraId="217D8019" w14:textId="77777777" w:rsidTr="00AB446E">
        <w:trPr>
          <w:cnfStyle w:val="000000010000" w:firstRow="0" w:lastRow="0" w:firstColumn="0" w:lastColumn="0" w:oddVBand="0" w:evenVBand="0" w:oddHBand="0" w:evenHBand="1" w:firstRowFirstColumn="0" w:firstRowLastColumn="0" w:lastRowFirstColumn="0" w:lastRowLastColumn="0"/>
        </w:trPr>
        <w:tc>
          <w:tcPr>
            <w:tcW w:w="3119" w:type="dxa"/>
          </w:tcPr>
          <w:p w14:paraId="473B3574" w14:textId="77777777" w:rsidR="00A622BE" w:rsidRPr="00885BC2" w:rsidRDefault="00A622BE" w:rsidP="00AB446E">
            <w:pPr>
              <w:pStyle w:val="TableBody"/>
            </w:pPr>
            <w:r w:rsidRPr="00885BC2">
              <w:t>Registration</w:t>
            </w:r>
          </w:p>
        </w:tc>
        <w:tc>
          <w:tcPr>
            <w:tcW w:w="6519" w:type="dxa"/>
          </w:tcPr>
          <w:p w14:paraId="457E833C" w14:textId="299D5678" w:rsidR="00A622BE" w:rsidRPr="00885BC2" w:rsidRDefault="00A622BE" w:rsidP="00AB446E">
            <w:pPr>
              <w:pStyle w:val="TableBody"/>
            </w:pPr>
            <w:r w:rsidRPr="00885BC2">
              <w:t>VicRoads registration fees between July 2022 and July 202</w:t>
            </w:r>
            <w:r w:rsidR="00A76D31">
              <w:t>4</w:t>
            </w:r>
          </w:p>
        </w:tc>
      </w:tr>
      <w:tr w:rsidR="00A622BE" w14:paraId="50DDBC07" w14:textId="77777777" w:rsidTr="00AB446E">
        <w:trPr>
          <w:cnfStyle w:val="000000100000" w:firstRow="0" w:lastRow="0" w:firstColumn="0" w:lastColumn="0" w:oddVBand="0" w:evenVBand="0" w:oddHBand="1" w:evenHBand="0" w:firstRowFirstColumn="0" w:firstRowLastColumn="0" w:lastRowFirstColumn="0" w:lastRowLastColumn="0"/>
        </w:trPr>
        <w:tc>
          <w:tcPr>
            <w:tcW w:w="3119" w:type="dxa"/>
          </w:tcPr>
          <w:p w14:paraId="66A7F6C0" w14:textId="77777777" w:rsidR="00A622BE" w:rsidRPr="00885BC2" w:rsidRDefault="00A622BE" w:rsidP="00AB446E">
            <w:pPr>
              <w:pStyle w:val="TableBody"/>
            </w:pPr>
            <w:r w:rsidRPr="00885BC2">
              <w:t>Repairs and maintenance</w:t>
            </w:r>
          </w:p>
        </w:tc>
        <w:tc>
          <w:tcPr>
            <w:tcW w:w="6519" w:type="dxa"/>
          </w:tcPr>
          <w:p w14:paraId="54B22261" w14:textId="461402F8" w:rsidR="00A622BE" w:rsidRPr="00885BC2" w:rsidRDefault="00A622BE" w:rsidP="00AB446E">
            <w:pPr>
              <w:pStyle w:val="TableBody"/>
            </w:pPr>
            <w:r w:rsidRPr="00885BC2">
              <w:t xml:space="preserve">CPI (maintenance and repairs of motor vehicles, Melbourne) between June 2022 and </w:t>
            </w:r>
            <w:r w:rsidR="007E7AE7" w:rsidRPr="00BB40E4">
              <w:t>June</w:t>
            </w:r>
            <w:r w:rsidRPr="00885BC2">
              <w:t xml:space="preserve"> 2024</w:t>
            </w:r>
          </w:p>
        </w:tc>
      </w:tr>
      <w:tr w:rsidR="00A622BE" w14:paraId="3F892A27" w14:textId="77777777" w:rsidTr="00AB446E">
        <w:trPr>
          <w:cnfStyle w:val="000000010000" w:firstRow="0" w:lastRow="0" w:firstColumn="0" w:lastColumn="0" w:oddVBand="0" w:evenVBand="0" w:oddHBand="0" w:evenHBand="1" w:firstRowFirstColumn="0" w:firstRowLastColumn="0" w:lastRowFirstColumn="0" w:lastRowLastColumn="0"/>
        </w:trPr>
        <w:tc>
          <w:tcPr>
            <w:tcW w:w="3119" w:type="dxa"/>
          </w:tcPr>
          <w:p w14:paraId="65833BBF" w14:textId="77777777" w:rsidR="00A622BE" w:rsidRPr="00885BC2" w:rsidRDefault="00A622BE" w:rsidP="00AB446E">
            <w:pPr>
              <w:pStyle w:val="TableBody"/>
            </w:pPr>
            <w:r w:rsidRPr="00885BC2">
              <w:t>Administration</w:t>
            </w:r>
          </w:p>
        </w:tc>
        <w:tc>
          <w:tcPr>
            <w:tcW w:w="6519" w:type="dxa"/>
          </w:tcPr>
          <w:p w14:paraId="2AA98798" w14:textId="496D31B7" w:rsidR="008C19DF" w:rsidRDefault="00A622BE" w:rsidP="00AB446E">
            <w:pPr>
              <w:pStyle w:val="TableBody"/>
            </w:pPr>
            <w:r w:rsidRPr="00885BC2">
              <w:t xml:space="preserve">WPI (Victoria) </w:t>
            </w:r>
            <w:r w:rsidR="008C19DF">
              <w:t xml:space="preserve">between June 2022 and </w:t>
            </w:r>
            <w:r w:rsidR="003307E6" w:rsidRPr="0072597A">
              <w:t>March</w:t>
            </w:r>
            <w:r w:rsidR="008C19DF">
              <w:t xml:space="preserve"> 2024</w:t>
            </w:r>
          </w:p>
          <w:p w14:paraId="7697FB1B" w14:textId="2AF240B7" w:rsidR="00A622BE" w:rsidRPr="00885BC2" w:rsidRDefault="00A622BE" w:rsidP="00AB446E">
            <w:pPr>
              <w:pStyle w:val="TableBody"/>
            </w:pPr>
            <w:r w:rsidRPr="00885BC2">
              <w:t xml:space="preserve">CPI (all groups, Melbourne) between June 2022 and </w:t>
            </w:r>
            <w:r w:rsidR="007E7AE7" w:rsidRPr="00BB40E4">
              <w:t>June</w:t>
            </w:r>
            <w:r w:rsidRPr="00885BC2">
              <w:t xml:space="preserve"> 2024</w:t>
            </w:r>
          </w:p>
        </w:tc>
      </w:tr>
      <w:tr w:rsidR="00A622BE" w14:paraId="07E910D2" w14:textId="77777777" w:rsidTr="00AB446E">
        <w:trPr>
          <w:cnfStyle w:val="000000100000" w:firstRow="0" w:lastRow="0" w:firstColumn="0" w:lastColumn="0" w:oddVBand="0" w:evenVBand="0" w:oddHBand="1" w:evenHBand="0" w:firstRowFirstColumn="0" w:firstRowLastColumn="0" w:lastRowFirstColumn="0" w:lastRowLastColumn="0"/>
        </w:trPr>
        <w:tc>
          <w:tcPr>
            <w:tcW w:w="3119" w:type="dxa"/>
          </w:tcPr>
          <w:p w14:paraId="0C22F103" w14:textId="77777777" w:rsidR="00A622BE" w:rsidRPr="00885BC2" w:rsidRDefault="00A622BE" w:rsidP="00AB446E">
            <w:pPr>
              <w:pStyle w:val="TableBody"/>
            </w:pPr>
            <w:r w:rsidRPr="00885BC2">
              <w:t>Driver labour</w:t>
            </w:r>
          </w:p>
        </w:tc>
        <w:tc>
          <w:tcPr>
            <w:tcW w:w="6519" w:type="dxa"/>
          </w:tcPr>
          <w:p w14:paraId="3384C793" w14:textId="26B8B61F" w:rsidR="00A622BE" w:rsidRPr="00885BC2" w:rsidRDefault="00A622BE" w:rsidP="00AB446E">
            <w:pPr>
              <w:pStyle w:val="TableBody"/>
            </w:pPr>
            <w:r w:rsidRPr="00885BC2">
              <w:t>Fair Work Commission’s annual wage review between Ju</w:t>
            </w:r>
            <w:r w:rsidR="00B364B2">
              <w:t>ly</w:t>
            </w:r>
            <w:r w:rsidRPr="00885BC2">
              <w:t xml:space="preserve"> 2022 and Ju</w:t>
            </w:r>
            <w:r w:rsidR="00B364B2">
              <w:t>ly</w:t>
            </w:r>
            <w:r w:rsidRPr="00885BC2">
              <w:t xml:space="preserve"> 2024.</w:t>
            </w:r>
          </w:p>
        </w:tc>
      </w:tr>
    </w:tbl>
    <w:p w14:paraId="7BA223A1" w14:textId="3573486F" w:rsidR="00D374BB" w:rsidRDefault="00E308F0" w:rsidP="0043090A">
      <w:r>
        <w:lastRenderedPageBreak/>
        <w:t xml:space="preserve">We did not make any changes to the cost components, cost shares or cost inflators for </w:t>
      </w:r>
      <w:r w:rsidR="00785C30">
        <w:t xml:space="preserve">this </w:t>
      </w:r>
      <w:r>
        <w:t>review, as we considered that they remain appropriate</w:t>
      </w:r>
      <w:r w:rsidR="000B74C4">
        <w:t>.</w:t>
      </w:r>
      <w:r>
        <w:t xml:space="preserve"> Stakeholders generally supported this approach.</w:t>
      </w:r>
      <w:r>
        <w:rPr>
          <w:rStyle w:val="FootnoteReference"/>
        </w:rPr>
        <w:footnoteReference w:id="83"/>
      </w:r>
    </w:p>
    <w:p w14:paraId="419CBF26" w14:textId="444A3265" w:rsidR="00BE399C" w:rsidRDefault="00BE399C" w:rsidP="009E3C15">
      <w:pPr>
        <w:pStyle w:val="Heading2"/>
      </w:pPr>
      <w:bookmarkStart w:id="243" w:name="_Toc174692695"/>
      <w:r>
        <w:t>Our taxi cost index</w:t>
      </w:r>
      <w:r w:rsidR="001804E3">
        <w:t>es</w:t>
      </w:r>
      <w:r>
        <w:t xml:space="preserve"> suggest the costs of operating a taxi </w:t>
      </w:r>
      <w:r w:rsidRPr="00C572E1">
        <w:t>have increased</w:t>
      </w:r>
      <w:bookmarkEnd w:id="243"/>
      <w:r>
        <w:t xml:space="preserve"> </w:t>
      </w:r>
    </w:p>
    <w:p w14:paraId="704B3998" w14:textId="1417596A" w:rsidR="00BE399C" w:rsidRDefault="002A5DEB" w:rsidP="009F3520">
      <w:r>
        <w:t>Based on our taxi cost index</w:t>
      </w:r>
      <w:r w:rsidR="00A57CAE">
        <w:t>es</w:t>
      </w:r>
      <w:r>
        <w:t>, w</w:t>
      </w:r>
      <w:r w:rsidR="002E49DD">
        <w:t>e estimate t</w:t>
      </w:r>
      <w:r w:rsidR="00BE399C">
        <w:t xml:space="preserve">he cost of </w:t>
      </w:r>
      <w:r>
        <w:t>operating a</w:t>
      </w:r>
      <w:r w:rsidR="00BE399C">
        <w:t xml:space="preserve"> conventional taxi</w:t>
      </w:r>
      <w:r w:rsidR="002E49DD">
        <w:t xml:space="preserve"> has</w:t>
      </w:r>
      <w:r w:rsidR="00BE399C">
        <w:t xml:space="preserve"> increased by </w:t>
      </w:r>
      <w:r w:rsidR="00293602" w:rsidRPr="00A47997">
        <w:t>9</w:t>
      </w:r>
      <w:r w:rsidR="00C572E1" w:rsidRPr="00A47997">
        <w:t>.</w:t>
      </w:r>
      <w:r w:rsidR="00481493">
        <w:t>9</w:t>
      </w:r>
      <w:r w:rsidR="00F721F2">
        <w:t> per </w:t>
      </w:r>
      <w:r w:rsidR="00BE399C">
        <w:t>cent</w:t>
      </w:r>
      <w:r w:rsidR="00A502DD">
        <w:t xml:space="preserve"> and </w:t>
      </w:r>
      <w:r w:rsidR="00A57CAE">
        <w:t xml:space="preserve">the cost of </w:t>
      </w:r>
      <w:r w:rsidR="004B124A">
        <w:t xml:space="preserve">operating </w:t>
      </w:r>
      <w:r>
        <w:t xml:space="preserve">a </w:t>
      </w:r>
      <w:r w:rsidR="00A502DD">
        <w:t xml:space="preserve">wheelchair accessible taxi </w:t>
      </w:r>
      <w:r w:rsidR="004B124A">
        <w:t xml:space="preserve">has increased </w:t>
      </w:r>
      <w:r w:rsidR="00A502DD">
        <w:t xml:space="preserve">by </w:t>
      </w:r>
      <w:r w:rsidR="00A502DD" w:rsidRPr="00A47997">
        <w:t>10.</w:t>
      </w:r>
      <w:r w:rsidR="00293602" w:rsidRPr="00A47997">
        <w:t>6</w:t>
      </w:r>
      <w:r w:rsidR="00A502DD">
        <w:t xml:space="preserve"> per cent</w:t>
      </w:r>
      <w:r w:rsidR="002E49DD">
        <w:t xml:space="preserve"> since our last revie</w:t>
      </w:r>
      <w:r w:rsidR="008E51AB">
        <w:t>w</w:t>
      </w:r>
      <w:r w:rsidR="00BE399C">
        <w:t xml:space="preserve">. </w:t>
      </w:r>
    </w:p>
    <w:p w14:paraId="7DEE3977" w14:textId="723CD44E" w:rsidR="00BE399C" w:rsidRDefault="00BE399C" w:rsidP="009F3520">
      <w:r>
        <w:t>Table</w:t>
      </w:r>
      <w:r w:rsidR="00B25D51">
        <w:t>s</w:t>
      </w:r>
      <w:r>
        <w:t xml:space="preserve"> </w:t>
      </w:r>
      <w:r w:rsidR="008764D4">
        <w:t>E</w:t>
      </w:r>
      <w:r>
        <w:t xml:space="preserve">.5 and </w:t>
      </w:r>
      <w:r w:rsidR="008764D4">
        <w:t>E</w:t>
      </w:r>
      <w:r>
        <w:t xml:space="preserve">.6 show the cost components, cost shares and </w:t>
      </w:r>
      <w:r w:rsidR="00805E18">
        <w:t>index contribution</w:t>
      </w:r>
      <w:r w:rsidR="00500A62">
        <w:t>s</w:t>
      </w:r>
      <w:r>
        <w:t xml:space="preserve"> in the taxi cost index</w:t>
      </w:r>
      <w:r w:rsidR="000F4734">
        <w:t>es</w:t>
      </w:r>
      <w:r>
        <w:t xml:space="preserve"> for conventional taxis and wheelchair accessible taxis</w:t>
      </w:r>
      <w:r w:rsidR="422AA19A">
        <w:t>,</w:t>
      </w:r>
      <w:r>
        <w:t xml:space="preserve"> respectively. </w:t>
      </w:r>
    </w:p>
    <w:p w14:paraId="371F8F27" w14:textId="091BA010" w:rsidR="00BE399C" w:rsidRDefault="00BE399C" w:rsidP="00DF769D">
      <w:pPr>
        <w:pStyle w:val="Figure-Table-BoxHeading"/>
        <w:spacing w:after="0"/>
        <w:ind w:left="0" w:firstLine="0"/>
      </w:pPr>
      <w:r w:rsidRPr="17F31E41">
        <w:rPr>
          <w:lang w:val="en-AU"/>
        </w:rPr>
        <w:t xml:space="preserve">Table </w:t>
      </w:r>
      <w:r w:rsidR="008764D4">
        <w:rPr>
          <w:lang w:val="en-AU"/>
        </w:rPr>
        <w:t>E</w:t>
      </w:r>
      <w:r w:rsidRPr="17F31E41">
        <w:rPr>
          <w:lang w:val="en-AU"/>
        </w:rPr>
        <w:t>.5</w:t>
      </w:r>
      <w:r w:rsidR="00DF769D">
        <w:tab/>
      </w:r>
      <w:r w:rsidRPr="17F31E41">
        <w:rPr>
          <w:lang w:val="en-AU"/>
        </w:rPr>
        <w:t xml:space="preserve">Change in costs of operating a conventional taxi </w:t>
      </w:r>
    </w:p>
    <w:p w14:paraId="66B5D0E3" w14:textId="3371D0BD" w:rsidR="00827186" w:rsidRDefault="00BE399C" w:rsidP="00DF769D">
      <w:pPr>
        <w:pStyle w:val="Figure-Table-BoxSubtitle"/>
        <w:spacing w:before="0" w:line="288" w:lineRule="auto"/>
        <w:ind w:left="1418"/>
      </w:pPr>
      <w:r>
        <w:t xml:space="preserve">June 2022 to </w:t>
      </w:r>
      <w:r w:rsidR="00D0169B">
        <w:t>June</w:t>
      </w:r>
      <w:r>
        <w:t xml:space="preserve"> 2024</w:t>
      </w:r>
    </w:p>
    <w:tbl>
      <w:tblPr>
        <w:tblStyle w:val="TableGrid"/>
        <w:tblW w:w="0" w:type="auto"/>
        <w:tblLook w:val="04A0" w:firstRow="1" w:lastRow="0" w:firstColumn="1" w:lastColumn="0" w:noHBand="0" w:noVBand="1"/>
      </w:tblPr>
      <w:tblGrid>
        <w:gridCol w:w="3828"/>
        <w:gridCol w:w="1417"/>
        <w:gridCol w:w="2196"/>
        <w:gridCol w:w="2197"/>
      </w:tblGrid>
      <w:tr w:rsidR="00355C9F" w14:paraId="0DE2CB24" w14:textId="5D469A5B" w:rsidTr="000917A6">
        <w:trPr>
          <w:cnfStyle w:val="100000000000" w:firstRow="1" w:lastRow="0" w:firstColumn="0" w:lastColumn="0" w:oddVBand="0" w:evenVBand="0" w:oddHBand="0" w:evenHBand="0" w:firstRowFirstColumn="0" w:firstRowLastColumn="0" w:lastRowFirstColumn="0" w:lastRowLastColumn="0"/>
        </w:trPr>
        <w:tc>
          <w:tcPr>
            <w:tcW w:w="3828" w:type="dxa"/>
          </w:tcPr>
          <w:p w14:paraId="08FB5558" w14:textId="4EF5CB62" w:rsidR="00355C9F" w:rsidRDefault="00355C9F" w:rsidP="00355C9F">
            <w:pPr>
              <w:pStyle w:val="TableHeading"/>
            </w:pPr>
            <w:r w:rsidRPr="17F31E41">
              <w:rPr>
                <w:lang w:val="en-AU"/>
              </w:rPr>
              <w:t>Cost component</w:t>
            </w:r>
          </w:p>
        </w:tc>
        <w:tc>
          <w:tcPr>
            <w:tcW w:w="1417" w:type="dxa"/>
          </w:tcPr>
          <w:p w14:paraId="2D05C1F9" w14:textId="77161449" w:rsidR="00355C9F" w:rsidRDefault="00355C9F" w:rsidP="00355C9F">
            <w:pPr>
              <w:pStyle w:val="TableHeading"/>
              <w:ind w:right="113"/>
              <w:jc w:val="right"/>
            </w:pPr>
            <w:r w:rsidRPr="00AE6193">
              <w:t>Cost share</w:t>
            </w:r>
          </w:p>
        </w:tc>
        <w:tc>
          <w:tcPr>
            <w:tcW w:w="2196" w:type="dxa"/>
          </w:tcPr>
          <w:p w14:paraId="50EF3F5A" w14:textId="39AB6DEB" w:rsidR="00355C9F" w:rsidRDefault="00355C9F" w:rsidP="00355C9F">
            <w:pPr>
              <w:pStyle w:val="TableHeading"/>
              <w:ind w:right="113"/>
              <w:jc w:val="right"/>
            </w:pPr>
            <w:r w:rsidRPr="00AE6193">
              <w:t>Change in cost inflator</w:t>
            </w:r>
          </w:p>
        </w:tc>
        <w:tc>
          <w:tcPr>
            <w:tcW w:w="2197" w:type="dxa"/>
          </w:tcPr>
          <w:p w14:paraId="055E4DFE" w14:textId="59C26696" w:rsidR="00355C9F" w:rsidRDefault="00D0169B" w:rsidP="00355C9F">
            <w:pPr>
              <w:pStyle w:val="TableHeading"/>
              <w:ind w:right="113"/>
              <w:jc w:val="right"/>
            </w:pPr>
            <w:r>
              <w:t>Contribution to overall change</w:t>
            </w:r>
          </w:p>
        </w:tc>
      </w:tr>
      <w:tr w:rsidR="00355C9F" w14:paraId="1213E0CB" w14:textId="32664F60" w:rsidTr="000917A6">
        <w:trPr>
          <w:cnfStyle w:val="000000100000" w:firstRow="0" w:lastRow="0" w:firstColumn="0" w:lastColumn="0" w:oddVBand="0" w:evenVBand="0" w:oddHBand="1" w:evenHBand="0" w:firstRowFirstColumn="0" w:firstRowLastColumn="0" w:lastRowFirstColumn="0" w:lastRowLastColumn="0"/>
        </w:trPr>
        <w:tc>
          <w:tcPr>
            <w:tcW w:w="3828" w:type="dxa"/>
          </w:tcPr>
          <w:p w14:paraId="5097CA97" w14:textId="291A0865" w:rsidR="00355C9F" w:rsidRDefault="00355C9F" w:rsidP="00355C9F">
            <w:pPr>
              <w:pStyle w:val="TableBody"/>
            </w:pPr>
            <w:r w:rsidRPr="00AE6193">
              <w:t>Fuel</w:t>
            </w:r>
          </w:p>
        </w:tc>
        <w:tc>
          <w:tcPr>
            <w:tcW w:w="1417" w:type="dxa"/>
          </w:tcPr>
          <w:p w14:paraId="6A43EAA1" w14:textId="0DDBABCF" w:rsidR="00355C9F" w:rsidRDefault="00355C9F" w:rsidP="00355C9F">
            <w:pPr>
              <w:pStyle w:val="TableBody"/>
              <w:ind w:right="113"/>
              <w:jc w:val="right"/>
            </w:pPr>
            <w:r w:rsidRPr="00AE6193">
              <w:t>6.6%</w:t>
            </w:r>
          </w:p>
        </w:tc>
        <w:tc>
          <w:tcPr>
            <w:tcW w:w="2196" w:type="dxa"/>
          </w:tcPr>
          <w:p w14:paraId="4A8D1248" w14:textId="3976A7E2" w:rsidR="00355C9F" w:rsidRDefault="00F721F2" w:rsidP="00355C9F">
            <w:pPr>
              <w:pStyle w:val="TableBody"/>
              <w:ind w:right="113"/>
              <w:jc w:val="right"/>
            </w:pPr>
            <w:r>
              <w:rPr>
                <w:rFonts w:cstheme="minorHAnsi"/>
              </w:rPr>
              <w:t>−</w:t>
            </w:r>
            <w:r w:rsidR="00F93B9B" w:rsidRPr="00AE6193">
              <w:t>1</w:t>
            </w:r>
            <w:r w:rsidR="00F93B9B">
              <w:t>4</w:t>
            </w:r>
            <w:r w:rsidR="00F93B9B" w:rsidRPr="00AE6193">
              <w:t>.</w:t>
            </w:r>
            <w:r w:rsidR="00F93B9B">
              <w:t>9</w:t>
            </w:r>
            <w:r w:rsidR="00355C9F" w:rsidRPr="00AE6193">
              <w:t>%</w:t>
            </w:r>
          </w:p>
        </w:tc>
        <w:tc>
          <w:tcPr>
            <w:tcW w:w="2197" w:type="dxa"/>
          </w:tcPr>
          <w:p w14:paraId="21032E4C" w14:textId="7CCB471E" w:rsidR="00355C9F" w:rsidRDefault="00F93B9B" w:rsidP="00355C9F">
            <w:pPr>
              <w:pStyle w:val="TableBody"/>
              <w:ind w:right="113"/>
              <w:jc w:val="right"/>
            </w:pPr>
            <w:r w:rsidRPr="00226240">
              <w:t>-1.0</w:t>
            </w:r>
            <w:r w:rsidR="00355C9F" w:rsidRPr="00AE6193">
              <w:t>%</w:t>
            </w:r>
          </w:p>
        </w:tc>
      </w:tr>
      <w:tr w:rsidR="00355C9F" w14:paraId="004FB6C5" w14:textId="1BFAB31E" w:rsidTr="000917A6">
        <w:trPr>
          <w:cnfStyle w:val="000000010000" w:firstRow="0" w:lastRow="0" w:firstColumn="0" w:lastColumn="0" w:oddVBand="0" w:evenVBand="0" w:oddHBand="0" w:evenHBand="1" w:firstRowFirstColumn="0" w:firstRowLastColumn="0" w:lastRowFirstColumn="0" w:lastRowLastColumn="0"/>
        </w:trPr>
        <w:tc>
          <w:tcPr>
            <w:tcW w:w="3828" w:type="dxa"/>
          </w:tcPr>
          <w:p w14:paraId="1FA394A7" w14:textId="067760E1" w:rsidR="00355C9F" w:rsidRDefault="00355C9F" w:rsidP="00355C9F">
            <w:pPr>
              <w:pStyle w:val="TableBody"/>
            </w:pPr>
            <w:r w:rsidRPr="00AE6193">
              <w:t>Network (equipment)</w:t>
            </w:r>
          </w:p>
        </w:tc>
        <w:tc>
          <w:tcPr>
            <w:tcW w:w="1417" w:type="dxa"/>
          </w:tcPr>
          <w:p w14:paraId="618A9A64" w14:textId="3249475B" w:rsidR="00355C9F" w:rsidRDefault="00355C9F" w:rsidP="00355C9F">
            <w:pPr>
              <w:pStyle w:val="TableBody"/>
              <w:ind w:right="113"/>
              <w:jc w:val="right"/>
            </w:pPr>
            <w:r w:rsidRPr="00AE6193">
              <w:t>5.7%</w:t>
            </w:r>
          </w:p>
        </w:tc>
        <w:tc>
          <w:tcPr>
            <w:tcW w:w="2196" w:type="dxa"/>
          </w:tcPr>
          <w:p w14:paraId="1D51D25C" w14:textId="27344EFA" w:rsidR="00355C9F" w:rsidRDefault="00A357A3" w:rsidP="00355C9F">
            <w:pPr>
              <w:pStyle w:val="TableBody"/>
              <w:ind w:right="113"/>
              <w:jc w:val="right"/>
            </w:pPr>
            <w:r>
              <w:t>1</w:t>
            </w:r>
            <w:r w:rsidR="00F93B9B" w:rsidRPr="00AE6193">
              <w:t>.</w:t>
            </w:r>
            <w:r>
              <w:t>3</w:t>
            </w:r>
            <w:r w:rsidR="00355C9F" w:rsidRPr="00AE6193">
              <w:t>%</w:t>
            </w:r>
          </w:p>
        </w:tc>
        <w:tc>
          <w:tcPr>
            <w:tcW w:w="2197" w:type="dxa"/>
          </w:tcPr>
          <w:p w14:paraId="66FFD9B4" w14:textId="71909569" w:rsidR="00355C9F" w:rsidRDefault="00355C9F" w:rsidP="00355C9F">
            <w:pPr>
              <w:pStyle w:val="TableBody"/>
              <w:ind w:right="113"/>
              <w:jc w:val="right"/>
            </w:pPr>
            <w:r w:rsidRPr="00AE6193">
              <w:t>0.1%</w:t>
            </w:r>
          </w:p>
        </w:tc>
      </w:tr>
      <w:tr w:rsidR="00355C9F" w14:paraId="7E45B544" w14:textId="674B8344" w:rsidTr="000917A6">
        <w:trPr>
          <w:cnfStyle w:val="000000100000" w:firstRow="0" w:lastRow="0" w:firstColumn="0" w:lastColumn="0" w:oddVBand="0" w:evenVBand="0" w:oddHBand="1" w:evenHBand="0" w:firstRowFirstColumn="0" w:firstRowLastColumn="0" w:lastRowFirstColumn="0" w:lastRowLastColumn="0"/>
        </w:trPr>
        <w:tc>
          <w:tcPr>
            <w:tcW w:w="3828" w:type="dxa"/>
          </w:tcPr>
          <w:p w14:paraId="0D235805" w14:textId="1BD1C65F" w:rsidR="00355C9F" w:rsidRDefault="00355C9F" w:rsidP="00355C9F">
            <w:pPr>
              <w:pStyle w:val="TableBody"/>
            </w:pPr>
            <w:r w:rsidRPr="00AE6193">
              <w:t>Network (labour)</w:t>
            </w:r>
          </w:p>
        </w:tc>
        <w:tc>
          <w:tcPr>
            <w:tcW w:w="1417" w:type="dxa"/>
          </w:tcPr>
          <w:p w14:paraId="1FF470FE" w14:textId="68CA515E" w:rsidR="00355C9F" w:rsidRDefault="00355C9F" w:rsidP="00355C9F">
            <w:pPr>
              <w:pStyle w:val="TableBody"/>
              <w:ind w:right="113"/>
              <w:jc w:val="right"/>
            </w:pPr>
            <w:r w:rsidRPr="00AE6193">
              <w:t>5.7%</w:t>
            </w:r>
          </w:p>
        </w:tc>
        <w:tc>
          <w:tcPr>
            <w:tcW w:w="2196" w:type="dxa"/>
          </w:tcPr>
          <w:p w14:paraId="7F9F7276" w14:textId="09B149D7" w:rsidR="00355C9F" w:rsidRDefault="00422244" w:rsidP="00355C9F">
            <w:pPr>
              <w:pStyle w:val="TableBody"/>
              <w:ind w:right="113"/>
              <w:jc w:val="right"/>
            </w:pPr>
            <w:r w:rsidRPr="0093163F">
              <w:t>6.6%</w:t>
            </w:r>
          </w:p>
        </w:tc>
        <w:tc>
          <w:tcPr>
            <w:tcW w:w="2197" w:type="dxa"/>
          </w:tcPr>
          <w:p w14:paraId="22F724A6" w14:textId="62E9D6D0" w:rsidR="00355C9F" w:rsidRDefault="00422244" w:rsidP="00355C9F">
            <w:pPr>
              <w:pStyle w:val="TableBody"/>
              <w:ind w:right="113"/>
              <w:jc w:val="right"/>
            </w:pPr>
            <w:r>
              <w:t>0.4%</w:t>
            </w:r>
          </w:p>
        </w:tc>
      </w:tr>
      <w:tr w:rsidR="00355C9F" w14:paraId="2B7ED4BA" w14:textId="2002B8AF" w:rsidTr="000917A6">
        <w:trPr>
          <w:cnfStyle w:val="000000010000" w:firstRow="0" w:lastRow="0" w:firstColumn="0" w:lastColumn="0" w:oddVBand="0" w:evenVBand="0" w:oddHBand="0" w:evenHBand="1" w:firstRowFirstColumn="0" w:firstRowLastColumn="0" w:lastRowFirstColumn="0" w:lastRowLastColumn="0"/>
        </w:trPr>
        <w:tc>
          <w:tcPr>
            <w:tcW w:w="3828" w:type="dxa"/>
          </w:tcPr>
          <w:p w14:paraId="5347DE0C" w14:textId="77AC2442" w:rsidR="00355C9F" w:rsidRDefault="00355C9F" w:rsidP="00355C9F">
            <w:pPr>
              <w:pStyle w:val="TableBody"/>
            </w:pPr>
            <w:r w:rsidRPr="00AE6193">
              <w:t>Insurance</w:t>
            </w:r>
          </w:p>
        </w:tc>
        <w:tc>
          <w:tcPr>
            <w:tcW w:w="1417" w:type="dxa"/>
          </w:tcPr>
          <w:p w14:paraId="071E6561" w14:textId="3D07DBC7" w:rsidR="00355C9F" w:rsidRDefault="00355C9F" w:rsidP="00355C9F">
            <w:pPr>
              <w:pStyle w:val="TableBody"/>
              <w:ind w:right="113"/>
              <w:jc w:val="right"/>
            </w:pPr>
            <w:r w:rsidRPr="00AE6193">
              <w:t>3.6%</w:t>
            </w:r>
          </w:p>
        </w:tc>
        <w:tc>
          <w:tcPr>
            <w:tcW w:w="2196" w:type="dxa"/>
          </w:tcPr>
          <w:p w14:paraId="3423E6BF" w14:textId="3B68986A" w:rsidR="00355C9F" w:rsidRDefault="00C572E1" w:rsidP="00355C9F">
            <w:pPr>
              <w:pStyle w:val="TableBody"/>
              <w:ind w:right="113"/>
              <w:jc w:val="right"/>
            </w:pPr>
            <w:r>
              <w:t>20</w:t>
            </w:r>
            <w:r w:rsidR="00355C9F" w:rsidRPr="00AE6193">
              <w:t>.</w:t>
            </w:r>
            <w:r>
              <w:t>6</w:t>
            </w:r>
            <w:r w:rsidR="00355C9F" w:rsidRPr="00AE6193">
              <w:t>%</w:t>
            </w:r>
          </w:p>
        </w:tc>
        <w:tc>
          <w:tcPr>
            <w:tcW w:w="2197" w:type="dxa"/>
          </w:tcPr>
          <w:p w14:paraId="6058032E" w14:textId="30F2FBE4" w:rsidR="00355C9F" w:rsidRDefault="00355C9F" w:rsidP="00355C9F">
            <w:pPr>
              <w:pStyle w:val="TableBody"/>
              <w:ind w:right="113"/>
              <w:jc w:val="right"/>
            </w:pPr>
            <w:r w:rsidRPr="00AE6193">
              <w:t>0.</w:t>
            </w:r>
            <w:r w:rsidR="00C572E1">
              <w:t>7</w:t>
            </w:r>
            <w:r w:rsidRPr="00AE6193">
              <w:t>%</w:t>
            </w:r>
          </w:p>
        </w:tc>
      </w:tr>
      <w:tr w:rsidR="00355C9F" w14:paraId="1D0F3471" w14:textId="1DFE6F16" w:rsidTr="000917A6">
        <w:trPr>
          <w:cnfStyle w:val="000000100000" w:firstRow="0" w:lastRow="0" w:firstColumn="0" w:lastColumn="0" w:oddVBand="0" w:evenVBand="0" w:oddHBand="1" w:evenHBand="0" w:firstRowFirstColumn="0" w:firstRowLastColumn="0" w:lastRowFirstColumn="0" w:lastRowLastColumn="0"/>
        </w:trPr>
        <w:tc>
          <w:tcPr>
            <w:tcW w:w="3828" w:type="dxa"/>
          </w:tcPr>
          <w:p w14:paraId="3BB3B551" w14:textId="2D43FF69" w:rsidR="00355C9F" w:rsidRDefault="00355C9F" w:rsidP="00355C9F">
            <w:pPr>
              <w:pStyle w:val="TableBody"/>
            </w:pPr>
            <w:r w:rsidRPr="00AE6193">
              <w:t>Vehicle</w:t>
            </w:r>
          </w:p>
        </w:tc>
        <w:tc>
          <w:tcPr>
            <w:tcW w:w="1417" w:type="dxa"/>
          </w:tcPr>
          <w:p w14:paraId="783FC4C8" w14:textId="2FC67F53" w:rsidR="00355C9F" w:rsidRDefault="00355C9F" w:rsidP="00355C9F">
            <w:pPr>
              <w:pStyle w:val="TableBody"/>
              <w:ind w:right="113"/>
              <w:jc w:val="right"/>
            </w:pPr>
            <w:r w:rsidRPr="00AE6193">
              <w:t>7.6%</w:t>
            </w:r>
          </w:p>
        </w:tc>
        <w:tc>
          <w:tcPr>
            <w:tcW w:w="2196" w:type="dxa"/>
          </w:tcPr>
          <w:p w14:paraId="416D1D20" w14:textId="3403FC97" w:rsidR="00355C9F" w:rsidRDefault="00355C9F" w:rsidP="00355C9F">
            <w:pPr>
              <w:pStyle w:val="TableBody"/>
              <w:ind w:right="113"/>
              <w:jc w:val="right"/>
            </w:pPr>
            <w:r w:rsidRPr="00AE6193">
              <w:t>20.</w:t>
            </w:r>
            <w:r w:rsidR="00F27F10">
              <w:t>5</w:t>
            </w:r>
            <w:r w:rsidRPr="00AE6193">
              <w:t>%</w:t>
            </w:r>
          </w:p>
        </w:tc>
        <w:tc>
          <w:tcPr>
            <w:tcW w:w="2197" w:type="dxa"/>
          </w:tcPr>
          <w:p w14:paraId="120320D5" w14:textId="3B8A3F56" w:rsidR="00355C9F" w:rsidRDefault="00F93B9B" w:rsidP="00355C9F">
            <w:pPr>
              <w:pStyle w:val="TableBody"/>
              <w:ind w:right="113"/>
              <w:jc w:val="right"/>
            </w:pPr>
            <w:r w:rsidRPr="00226240">
              <w:t>1.5%</w:t>
            </w:r>
          </w:p>
        </w:tc>
      </w:tr>
      <w:tr w:rsidR="00355C9F" w14:paraId="57827989" w14:textId="760D6A05" w:rsidTr="000917A6">
        <w:trPr>
          <w:cnfStyle w:val="000000010000" w:firstRow="0" w:lastRow="0" w:firstColumn="0" w:lastColumn="0" w:oddVBand="0" w:evenVBand="0" w:oddHBand="0" w:evenHBand="1" w:firstRowFirstColumn="0" w:firstRowLastColumn="0" w:lastRowFirstColumn="0" w:lastRowLastColumn="0"/>
        </w:trPr>
        <w:tc>
          <w:tcPr>
            <w:tcW w:w="3828" w:type="dxa"/>
          </w:tcPr>
          <w:p w14:paraId="6B5B9B34" w14:textId="0763818B" w:rsidR="00355C9F" w:rsidRDefault="00355C9F" w:rsidP="00355C9F">
            <w:pPr>
              <w:pStyle w:val="TableBody"/>
            </w:pPr>
            <w:r w:rsidRPr="00AE6193">
              <w:t>Registration</w:t>
            </w:r>
          </w:p>
        </w:tc>
        <w:tc>
          <w:tcPr>
            <w:tcW w:w="1417" w:type="dxa"/>
          </w:tcPr>
          <w:p w14:paraId="345E1706" w14:textId="72713A02" w:rsidR="00355C9F" w:rsidRDefault="00355C9F" w:rsidP="00355C9F">
            <w:pPr>
              <w:pStyle w:val="TableBody"/>
              <w:ind w:right="113"/>
              <w:jc w:val="right"/>
            </w:pPr>
            <w:r w:rsidRPr="00AE6193">
              <w:t>1.2%</w:t>
            </w:r>
          </w:p>
        </w:tc>
        <w:tc>
          <w:tcPr>
            <w:tcW w:w="2196" w:type="dxa"/>
          </w:tcPr>
          <w:p w14:paraId="18A601D8" w14:textId="12D478DB" w:rsidR="00355C9F" w:rsidRDefault="00A357A3" w:rsidP="00355C9F">
            <w:pPr>
              <w:pStyle w:val="TableBody"/>
              <w:ind w:right="113"/>
              <w:jc w:val="right"/>
            </w:pPr>
            <w:r>
              <w:t>4</w:t>
            </w:r>
            <w:r w:rsidR="00F93B9B" w:rsidRPr="00AE6193">
              <w:t>.</w:t>
            </w:r>
            <w:r>
              <w:t>9</w:t>
            </w:r>
            <w:r w:rsidR="00355C9F" w:rsidRPr="00AE6193">
              <w:t>%</w:t>
            </w:r>
          </w:p>
        </w:tc>
        <w:tc>
          <w:tcPr>
            <w:tcW w:w="2197" w:type="dxa"/>
          </w:tcPr>
          <w:p w14:paraId="33A18BF1" w14:textId="5E34AE7E" w:rsidR="00355C9F" w:rsidRDefault="00F93B9B" w:rsidP="00355C9F">
            <w:pPr>
              <w:pStyle w:val="TableBody"/>
              <w:ind w:right="113"/>
              <w:jc w:val="right"/>
            </w:pPr>
            <w:r w:rsidRPr="00226240">
              <w:t>0.1%</w:t>
            </w:r>
          </w:p>
        </w:tc>
      </w:tr>
      <w:tr w:rsidR="00355C9F" w14:paraId="6CD3F9A7" w14:textId="1132C64C" w:rsidTr="000917A6">
        <w:trPr>
          <w:cnfStyle w:val="000000100000" w:firstRow="0" w:lastRow="0" w:firstColumn="0" w:lastColumn="0" w:oddVBand="0" w:evenVBand="0" w:oddHBand="1" w:evenHBand="0" w:firstRowFirstColumn="0" w:firstRowLastColumn="0" w:lastRowFirstColumn="0" w:lastRowLastColumn="0"/>
        </w:trPr>
        <w:tc>
          <w:tcPr>
            <w:tcW w:w="3828" w:type="dxa"/>
          </w:tcPr>
          <w:p w14:paraId="437D6692" w14:textId="24BE895D" w:rsidR="00355C9F" w:rsidRDefault="00355C9F" w:rsidP="00355C9F">
            <w:pPr>
              <w:pStyle w:val="TableBody"/>
            </w:pPr>
            <w:r w:rsidRPr="00AE6193">
              <w:t>Repairs and maintenance</w:t>
            </w:r>
          </w:p>
        </w:tc>
        <w:tc>
          <w:tcPr>
            <w:tcW w:w="1417" w:type="dxa"/>
          </w:tcPr>
          <w:p w14:paraId="3CD4B4CC" w14:textId="2854EEBB" w:rsidR="00355C9F" w:rsidRDefault="00355C9F" w:rsidP="00355C9F">
            <w:pPr>
              <w:pStyle w:val="TableBody"/>
              <w:ind w:right="113"/>
              <w:jc w:val="right"/>
            </w:pPr>
            <w:r w:rsidRPr="00AE6193">
              <w:t>6.9%</w:t>
            </w:r>
          </w:p>
        </w:tc>
        <w:tc>
          <w:tcPr>
            <w:tcW w:w="2196" w:type="dxa"/>
          </w:tcPr>
          <w:p w14:paraId="4728D412" w14:textId="2D7FD2B6" w:rsidR="00355C9F" w:rsidRDefault="00A357A3" w:rsidP="00355C9F">
            <w:pPr>
              <w:pStyle w:val="TableBody"/>
              <w:ind w:right="113"/>
              <w:jc w:val="right"/>
            </w:pPr>
            <w:r>
              <w:t>7</w:t>
            </w:r>
            <w:r w:rsidR="00F93B9B" w:rsidRPr="00AE6193">
              <w:t>.</w:t>
            </w:r>
            <w:r>
              <w:t>5</w:t>
            </w:r>
            <w:r w:rsidR="00355C9F" w:rsidRPr="00AE6193">
              <w:t>%</w:t>
            </w:r>
          </w:p>
        </w:tc>
        <w:tc>
          <w:tcPr>
            <w:tcW w:w="2197" w:type="dxa"/>
          </w:tcPr>
          <w:p w14:paraId="045C87D7" w14:textId="1BC36DEE" w:rsidR="00355C9F" w:rsidRDefault="00355C9F" w:rsidP="00355C9F">
            <w:pPr>
              <w:pStyle w:val="TableBody"/>
              <w:ind w:right="113"/>
              <w:jc w:val="right"/>
            </w:pPr>
            <w:r w:rsidRPr="00AE6193">
              <w:t>0.5%</w:t>
            </w:r>
          </w:p>
        </w:tc>
      </w:tr>
      <w:tr w:rsidR="00355C9F" w14:paraId="509FB050" w14:textId="2C2842C9" w:rsidTr="000917A6">
        <w:trPr>
          <w:cnfStyle w:val="000000010000" w:firstRow="0" w:lastRow="0" w:firstColumn="0" w:lastColumn="0" w:oddVBand="0" w:evenVBand="0" w:oddHBand="0" w:evenHBand="1" w:firstRowFirstColumn="0" w:firstRowLastColumn="0" w:lastRowFirstColumn="0" w:lastRowLastColumn="0"/>
        </w:trPr>
        <w:tc>
          <w:tcPr>
            <w:tcW w:w="3828" w:type="dxa"/>
          </w:tcPr>
          <w:p w14:paraId="1B1D5E80" w14:textId="41060378" w:rsidR="00355C9F" w:rsidRDefault="00355C9F" w:rsidP="00355C9F">
            <w:pPr>
              <w:pStyle w:val="TableBody"/>
            </w:pPr>
            <w:r w:rsidRPr="00AE6193">
              <w:t>Administration</w:t>
            </w:r>
          </w:p>
        </w:tc>
        <w:tc>
          <w:tcPr>
            <w:tcW w:w="1417" w:type="dxa"/>
          </w:tcPr>
          <w:p w14:paraId="50BF1E74" w14:textId="447F28C1" w:rsidR="00355C9F" w:rsidRDefault="00355C9F" w:rsidP="00355C9F">
            <w:pPr>
              <w:pStyle w:val="TableBody"/>
              <w:ind w:right="113"/>
              <w:jc w:val="right"/>
            </w:pPr>
            <w:r w:rsidRPr="00AE6193">
              <w:t>7.7%</w:t>
            </w:r>
          </w:p>
        </w:tc>
        <w:tc>
          <w:tcPr>
            <w:tcW w:w="2196" w:type="dxa"/>
          </w:tcPr>
          <w:p w14:paraId="4F002CB2" w14:textId="335D06D3" w:rsidR="00355C9F" w:rsidRDefault="00355C9F" w:rsidP="00355C9F">
            <w:pPr>
              <w:pStyle w:val="TableBody"/>
              <w:ind w:right="113"/>
              <w:jc w:val="right"/>
            </w:pPr>
            <w:r w:rsidRPr="00AE6193">
              <w:t>6.</w:t>
            </w:r>
            <w:r w:rsidR="00A357A3">
              <w:t>9</w:t>
            </w:r>
            <w:r w:rsidRPr="00AE6193">
              <w:t>%</w:t>
            </w:r>
          </w:p>
        </w:tc>
        <w:tc>
          <w:tcPr>
            <w:tcW w:w="2197" w:type="dxa"/>
          </w:tcPr>
          <w:p w14:paraId="54BF795C" w14:textId="6F022C73" w:rsidR="00355C9F" w:rsidRDefault="00355C9F" w:rsidP="00355C9F">
            <w:pPr>
              <w:pStyle w:val="TableBody"/>
              <w:ind w:right="113"/>
              <w:jc w:val="right"/>
            </w:pPr>
            <w:r w:rsidRPr="00AE6193">
              <w:t>0.5%</w:t>
            </w:r>
          </w:p>
        </w:tc>
      </w:tr>
      <w:tr w:rsidR="00355C9F" w14:paraId="7DB103FF" w14:textId="181A4859" w:rsidTr="000917A6">
        <w:trPr>
          <w:cnfStyle w:val="000000100000" w:firstRow="0" w:lastRow="0" w:firstColumn="0" w:lastColumn="0" w:oddVBand="0" w:evenVBand="0" w:oddHBand="1" w:evenHBand="0" w:firstRowFirstColumn="0" w:firstRowLastColumn="0" w:lastRowFirstColumn="0" w:lastRowLastColumn="0"/>
        </w:trPr>
        <w:tc>
          <w:tcPr>
            <w:tcW w:w="3828" w:type="dxa"/>
          </w:tcPr>
          <w:p w14:paraId="193BCA80" w14:textId="2743ED88" w:rsidR="00355C9F" w:rsidRPr="00E94E8E" w:rsidRDefault="00355C9F" w:rsidP="00355C9F">
            <w:pPr>
              <w:pStyle w:val="TableBody"/>
              <w:rPr>
                <w:b/>
                <w:bCs/>
              </w:rPr>
            </w:pPr>
            <w:r w:rsidRPr="00E94E8E">
              <w:rPr>
                <w:b/>
                <w:bCs/>
              </w:rPr>
              <w:t>Total operating costs</w:t>
            </w:r>
          </w:p>
        </w:tc>
        <w:tc>
          <w:tcPr>
            <w:tcW w:w="1417" w:type="dxa"/>
          </w:tcPr>
          <w:p w14:paraId="25D45762" w14:textId="2FE8A133" w:rsidR="00355C9F" w:rsidRPr="00E94E8E" w:rsidRDefault="00355C9F" w:rsidP="00355C9F">
            <w:pPr>
              <w:pStyle w:val="TableBody"/>
              <w:ind w:right="113"/>
              <w:jc w:val="right"/>
              <w:rPr>
                <w:b/>
                <w:bCs/>
              </w:rPr>
            </w:pPr>
            <w:r w:rsidRPr="00E94E8E">
              <w:rPr>
                <w:b/>
                <w:bCs/>
              </w:rPr>
              <w:t>45%</w:t>
            </w:r>
          </w:p>
        </w:tc>
        <w:tc>
          <w:tcPr>
            <w:tcW w:w="2196" w:type="dxa"/>
          </w:tcPr>
          <w:p w14:paraId="5E291DFF" w14:textId="7BB49E91" w:rsidR="00355C9F" w:rsidRPr="0093163F" w:rsidRDefault="00422244" w:rsidP="00355C9F">
            <w:pPr>
              <w:pStyle w:val="TableBody"/>
              <w:ind w:right="113"/>
              <w:jc w:val="right"/>
              <w:rPr>
                <w:b/>
              </w:rPr>
            </w:pPr>
            <w:r w:rsidRPr="0093163F">
              <w:rPr>
                <w:b/>
                <w:bCs/>
              </w:rPr>
              <w:t>6.</w:t>
            </w:r>
            <w:r w:rsidR="00F27F10">
              <w:rPr>
                <w:b/>
                <w:bCs/>
              </w:rPr>
              <w:t>4</w:t>
            </w:r>
            <w:r w:rsidRPr="0093163F">
              <w:rPr>
                <w:b/>
                <w:bCs/>
              </w:rPr>
              <w:t>%</w:t>
            </w:r>
          </w:p>
        </w:tc>
        <w:tc>
          <w:tcPr>
            <w:tcW w:w="2197" w:type="dxa"/>
          </w:tcPr>
          <w:p w14:paraId="6A709FD8" w14:textId="1FA92A94" w:rsidR="00355C9F" w:rsidRPr="0093163F" w:rsidRDefault="00F93B9B" w:rsidP="00355C9F">
            <w:pPr>
              <w:pStyle w:val="TableBody"/>
              <w:ind w:right="113"/>
              <w:jc w:val="right"/>
              <w:rPr>
                <w:b/>
              </w:rPr>
            </w:pPr>
            <w:r w:rsidRPr="00175987">
              <w:rPr>
                <w:b/>
              </w:rPr>
              <w:t>2.</w:t>
            </w:r>
            <w:r w:rsidR="00F27F10">
              <w:rPr>
                <w:b/>
              </w:rPr>
              <w:t>9</w:t>
            </w:r>
            <w:r w:rsidRPr="00175987">
              <w:rPr>
                <w:b/>
              </w:rPr>
              <w:t>%</w:t>
            </w:r>
          </w:p>
        </w:tc>
      </w:tr>
      <w:tr w:rsidR="00355C9F" w14:paraId="666392B1" w14:textId="3820F00C" w:rsidTr="000917A6">
        <w:trPr>
          <w:cnfStyle w:val="000000010000" w:firstRow="0" w:lastRow="0" w:firstColumn="0" w:lastColumn="0" w:oddVBand="0" w:evenVBand="0" w:oddHBand="0" w:evenHBand="1" w:firstRowFirstColumn="0" w:firstRowLastColumn="0" w:lastRowFirstColumn="0" w:lastRowLastColumn="0"/>
        </w:trPr>
        <w:tc>
          <w:tcPr>
            <w:tcW w:w="3828" w:type="dxa"/>
          </w:tcPr>
          <w:p w14:paraId="0AF3485F" w14:textId="612B510B" w:rsidR="00355C9F" w:rsidRDefault="00355C9F" w:rsidP="00355C9F">
            <w:pPr>
              <w:pStyle w:val="TableBody"/>
            </w:pPr>
            <w:r w:rsidRPr="00AE6193">
              <w:t>Driver labour</w:t>
            </w:r>
          </w:p>
        </w:tc>
        <w:tc>
          <w:tcPr>
            <w:tcW w:w="1417" w:type="dxa"/>
          </w:tcPr>
          <w:p w14:paraId="322C2C5E" w14:textId="4F8A0C54" w:rsidR="00355C9F" w:rsidRDefault="00355C9F" w:rsidP="00355C9F">
            <w:pPr>
              <w:pStyle w:val="TableBody"/>
              <w:ind w:right="113"/>
              <w:jc w:val="right"/>
            </w:pPr>
            <w:r w:rsidRPr="00AE6193">
              <w:t>55%</w:t>
            </w:r>
          </w:p>
        </w:tc>
        <w:tc>
          <w:tcPr>
            <w:tcW w:w="2196" w:type="dxa"/>
          </w:tcPr>
          <w:p w14:paraId="63AEF367" w14:textId="0F6ACBE0" w:rsidR="00355C9F" w:rsidRDefault="00C572E1" w:rsidP="00355C9F">
            <w:pPr>
              <w:pStyle w:val="TableBody"/>
              <w:ind w:right="113"/>
              <w:jc w:val="right"/>
            </w:pPr>
            <w:r>
              <w:t>12.7%</w:t>
            </w:r>
          </w:p>
        </w:tc>
        <w:tc>
          <w:tcPr>
            <w:tcW w:w="2197" w:type="dxa"/>
          </w:tcPr>
          <w:p w14:paraId="49BCADC7" w14:textId="004E361F" w:rsidR="00355C9F" w:rsidRDefault="00C572E1" w:rsidP="00355C9F">
            <w:pPr>
              <w:pStyle w:val="TableBody"/>
              <w:ind w:right="113"/>
              <w:jc w:val="right"/>
            </w:pPr>
            <w:r>
              <w:t>7.0%</w:t>
            </w:r>
          </w:p>
        </w:tc>
      </w:tr>
      <w:tr w:rsidR="00190DE6" w14:paraId="2FDCE4D1" w14:textId="3253ECC6" w:rsidTr="000917A6">
        <w:trPr>
          <w:cnfStyle w:val="000000100000" w:firstRow="0" w:lastRow="0" w:firstColumn="0" w:lastColumn="0" w:oddVBand="0" w:evenVBand="0" w:oddHBand="1" w:evenHBand="0" w:firstRowFirstColumn="0" w:firstRowLastColumn="0" w:lastRowFirstColumn="0" w:lastRowLastColumn="0"/>
        </w:trPr>
        <w:tc>
          <w:tcPr>
            <w:tcW w:w="3828" w:type="dxa"/>
          </w:tcPr>
          <w:p w14:paraId="60186C5E" w14:textId="0CA1B086" w:rsidR="00190DE6" w:rsidRPr="00E94E8E" w:rsidRDefault="00190DE6" w:rsidP="00190DE6">
            <w:pPr>
              <w:pStyle w:val="TableBody"/>
              <w:rPr>
                <w:b/>
                <w:bCs/>
              </w:rPr>
            </w:pPr>
            <w:r w:rsidRPr="00E94E8E">
              <w:rPr>
                <w:b/>
                <w:bCs/>
              </w:rPr>
              <w:t>Total operating and labour costs</w:t>
            </w:r>
          </w:p>
        </w:tc>
        <w:tc>
          <w:tcPr>
            <w:tcW w:w="1417" w:type="dxa"/>
          </w:tcPr>
          <w:p w14:paraId="24022DF0" w14:textId="7082A630" w:rsidR="00190DE6" w:rsidRPr="00E94E8E" w:rsidRDefault="00190DE6" w:rsidP="00190DE6">
            <w:pPr>
              <w:pStyle w:val="TableBody"/>
              <w:ind w:right="113"/>
              <w:jc w:val="right"/>
              <w:rPr>
                <w:b/>
                <w:bCs/>
              </w:rPr>
            </w:pPr>
            <w:r w:rsidRPr="00E94E8E">
              <w:rPr>
                <w:b/>
                <w:bCs/>
              </w:rPr>
              <w:t>100%</w:t>
            </w:r>
          </w:p>
        </w:tc>
        <w:tc>
          <w:tcPr>
            <w:tcW w:w="2196" w:type="dxa"/>
          </w:tcPr>
          <w:p w14:paraId="02A91739" w14:textId="145F79B6" w:rsidR="00190DE6" w:rsidRPr="00E94E8E" w:rsidRDefault="00190DE6" w:rsidP="00190DE6">
            <w:pPr>
              <w:pStyle w:val="TableBody"/>
              <w:ind w:right="113"/>
              <w:jc w:val="right"/>
              <w:rPr>
                <w:b/>
                <w:bCs/>
              </w:rPr>
            </w:pPr>
            <w:r w:rsidRPr="00E94E8E">
              <w:rPr>
                <w:b/>
                <w:bCs/>
              </w:rPr>
              <w:t>Not applicable</w:t>
            </w:r>
          </w:p>
        </w:tc>
        <w:tc>
          <w:tcPr>
            <w:tcW w:w="2197" w:type="dxa"/>
          </w:tcPr>
          <w:p w14:paraId="2BECA0AD" w14:textId="0659CDC5" w:rsidR="00190DE6" w:rsidRPr="00E94E8E" w:rsidRDefault="00F93B9B" w:rsidP="00190DE6">
            <w:pPr>
              <w:pStyle w:val="TableBody"/>
              <w:ind w:right="113"/>
              <w:jc w:val="right"/>
              <w:rPr>
                <w:b/>
                <w:bCs/>
              </w:rPr>
            </w:pPr>
            <w:r w:rsidRPr="00175987">
              <w:rPr>
                <w:b/>
              </w:rPr>
              <w:t>9.</w:t>
            </w:r>
            <w:r w:rsidR="00F27F10">
              <w:rPr>
                <w:b/>
              </w:rPr>
              <w:t>9</w:t>
            </w:r>
            <w:r w:rsidRPr="00175987">
              <w:rPr>
                <w:b/>
              </w:rPr>
              <w:t>%</w:t>
            </w:r>
          </w:p>
        </w:tc>
      </w:tr>
    </w:tbl>
    <w:p w14:paraId="6836790B" w14:textId="297A00F9" w:rsidR="005D7CBE" w:rsidRDefault="005D7CBE" w:rsidP="005D7CBE">
      <w:pPr>
        <w:pStyle w:val="Source"/>
        <w:jc w:val="left"/>
      </w:pPr>
      <w:r w:rsidRPr="001B3F35">
        <w:rPr>
          <w:b/>
          <w:bCs/>
        </w:rPr>
        <w:t>Note:</w:t>
      </w:r>
      <w:r>
        <w:t xml:space="preserve"> m</w:t>
      </w:r>
      <w:r w:rsidRPr="00C06445">
        <w:t>ost changes in cost</w:t>
      </w:r>
      <w:r w:rsidR="00E430B6">
        <w:t xml:space="preserve"> </w:t>
      </w:r>
      <w:r w:rsidR="00817759">
        <w:t>inflators</w:t>
      </w:r>
      <w:r w:rsidR="00817759" w:rsidRPr="00C06445">
        <w:t xml:space="preserve"> </w:t>
      </w:r>
      <w:r w:rsidRPr="00C06445">
        <w:t xml:space="preserve">are measured over the period from June 2022 to </w:t>
      </w:r>
      <w:r w:rsidR="00D0169B">
        <w:t>June</w:t>
      </w:r>
      <w:r w:rsidRPr="00C06445">
        <w:t xml:space="preserve"> 2024. </w:t>
      </w:r>
      <w:r w:rsidRPr="00D108A9">
        <w:t>However, the</w:t>
      </w:r>
      <w:r w:rsidR="00140439" w:rsidRPr="00D108A9">
        <w:t xml:space="preserve"> changes in the cost inflators </w:t>
      </w:r>
      <w:r w:rsidR="00817759" w:rsidRPr="00D108A9">
        <w:t>which use the wage price index (</w:t>
      </w:r>
      <w:r w:rsidR="00EC34F3" w:rsidRPr="00D108A9">
        <w:t>network (labour</w:t>
      </w:r>
      <w:r w:rsidR="00817759" w:rsidRPr="00D108A9">
        <w:t>)</w:t>
      </w:r>
      <w:r w:rsidR="00EC34F3" w:rsidRPr="00D108A9">
        <w:t xml:space="preserve"> and </w:t>
      </w:r>
      <w:r w:rsidR="007333E7" w:rsidRPr="00D108A9">
        <w:t>administration</w:t>
      </w:r>
      <w:r w:rsidR="00817759" w:rsidRPr="00D108A9">
        <w:t xml:space="preserve">) and </w:t>
      </w:r>
      <w:r w:rsidR="00817759" w:rsidRPr="00E1007F">
        <w:t>comprehensive car insurance index</w:t>
      </w:r>
      <w:r w:rsidR="00817759">
        <w:t xml:space="preserve"> (insurance)</w:t>
      </w:r>
      <w:r w:rsidR="000A437A" w:rsidRPr="007E570B">
        <w:t xml:space="preserve"> </w:t>
      </w:r>
      <w:r w:rsidR="000A437A" w:rsidRPr="00D108A9">
        <w:t xml:space="preserve">are measured </w:t>
      </w:r>
      <w:r w:rsidR="006B73A9" w:rsidRPr="00D108A9">
        <w:t>from</w:t>
      </w:r>
      <w:r w:rsidR="000A437A" w:rsidRPr="00D108A9">
        <w:t xml:space="preserve"> June 2022 to March 2024</w:t>
      </w:r>
      <w:r w:rsidR="000113B4">
        <w:t>.</w:t>
      </w:r>
    </w:p>
    <w:p w14:paraId="78F27EFE" w14:textId="057F629A" w:rsidR="00CA2658" w:rsidRDefault="00F6521D" w:rsidP="002C5A4D">
      <w:pPr>
        <w:pStyle w:val="Source"/>
        <w:jc w:val="left"/>
        <w:rPr>
          <w:rFonts w:asciiTheme="majorHAnsi" w:eastAsiaTheme="majorEastAsia" w:hAnsiTheme="majorHAnsi" w:cstheme="majorBidi"/>
          <w:b/>
          <w:szCs w:val="24"/>
        </w:rPr>
      </w:pPr>
      <w:r w:rsidRPr="0099389A">
        <w:rPr>
          <w:b/>
          <w:bCs/>
        </w:rPr>
        <w:t>Source:</w:t>
      </w:r>
      <w:r w:rsidRPr="00B8039C">
        <w:t xml:space="preserve"> Essential Services Commission analysis</w:t>
      </w:r>
      <w:r w:rsidR="0099389A">
        <w:t>.</w:t>
      </w:r>
      <w:r w:rsidR="00CA2658">
        <w:br w:type="page"/>
      </w:r>
    </w:p>
    <w:p w14:paraId="021D7522" w14:textId="272CB397" w:rsidR="0081481C" w:rsidRDefault="0081481C" w:rsidP="009E3C15">
      <w:pPr>
        <w:pStyle w:val="Figure-Table-BoxHeading"/>
        <w:keepNext/>
        <w:keepLines/>
        <w:spacing w:after="0"/>
        <w:ind w:left="0" w:firstLine="0"/>
      </w:pPr>
      <w:r w:rsidRPr="17F31E41">
        <w:rPr>
          <w:lang w:val="en-AU"/>
        </w:rPr>
        <w:lastRenderedPageBreak/>
        <w:t xml:space="preserve">Table </w:t>
      </w:r>
      <w:r w:rsidR="008764D4">
        <w:rPr>
          <w:lang w:val="en-AU"/>
        </w:rPr>
        <w:t>E</w:t>
      </w:r>
      <w:r w:rsidRPr="17F31E41">
        <w:rPr>
          <w:lang w:val="en-AU"/>
        </w:rPr>
        <w:t>.6</w:t>
      </w:r>
      <w:r>
        <w:tab/>
      </w:r>
      <w:r w:rsidRPr="17F31E41">
        <w:rPr>
          <w:lang w:val="en-AU"/>
        </w:rPr>
        <w:t>Change in costs of operating a wheelchair accessible taxi</w:t>
      </w:r>
    </w:p>
    <w:p w14:paraId="27BC37A9" w14:textId="569E9979" w:rsidR="00697854" w:rsidRDefault="0081481C" w:rsidP="009E3C15">
      <w:pPr>
        <w:pStyle w:val="Figure-Table-BoxSubtitle"/>
        <w:keepNext/>
        <w:keepLines/>
        <w:spacing w:before="0" w:line="288" w:lineRule="auto"/>
        <w:ind w:left="1418"/>
      </w:pPr>
      <w:r>
        <w:t xml:space="preserve">June 2022 to </w:t>
      </w:r>
      <w:r w:rsidR="00D0169B">
        <w:t>Ju</w:t>
      </w:r>
      <w:r w:rsidR="002F1386">
        <w:t>ne</w:t>
      </w:r>
      <w:r>
        <w:t xml:space="preserve"> 2024</w:t>
      </w:r>
    </w:p>
    <w:tbl>
      <w:tblPr>
        <w:tblStyle w:val="TableGrid"/>
        <w:tblW w:w="0" w:type="auto"/>
        <w:tblLook w:val="04A0" w:firstRow="1" w:lastRow="0" w:firstColumn="1" w:lastColumn="0" w:noHBand="0" w:noVBand="1"/>
      </w:tblPr>
      <w:tblGrid>
        <w:gridCol w:w="3686"/>
        <w:gridCol w:w="1417"/>
        <w:gridCol w:w="2267"/>
        <w:gridCol w:w="2268"/>
      </w:tblGrid>
      <w:tr w:rsidR="000917A6" w14:paraId="77FF9145" w14:textId="3F8C4C7A" w:rsidTr="000917A6">
        <w:trPr>
          <w:cnfStyle w:val="100000000000" w:firstRow="1" w:lastRow="0" w:firstColumn="0" w:lastColumn="0" w:oddVBand="0" w:evenVBand="0" w:oddHBand="0" w:evenHBand="0" w:firstRowFirstColumn="0" w:firstRowLastColumn="0" w:lastRowFirstColumn="0" w:lastRowLastColumn="0"/>
        </w:trPr>
        <w:tc>
          <w:tcPr>
            <w:tcW w:w="3686" w:type="dxa"/>
          </w:tcPr>
          <w:p w14:paraId="29EA5EA9" w14:textId="456A3EC9" w:rsidR="000917A6" w:rsidRDefault="000917A6" w:rsidP="000917A6">
            <w:pPr>
              <w:pStyle w:val="TableHeading"/>
              <w:rPr>
                <w:lang w:val="en-AU"/>
              </w:rPr>
            </w:pPr>
            <w:r w:rsidRPr="17F31E41">
              <w:rPr>
                <w:lang w:val="en-AU"/>
              </w:rPr>
              <w:t>Cost component</w:t>
            </w:r>
          </w:p>
        </w:tc>
        <w:tc>
          <w:tcPr>
            <w:tcW w:w="1417" w:type="dxa"/>
          </w:tcPr>
          <w:p w14:paraId="1F3E4812" w14:textId="0F2BF42E" w:rsidR="000917A6" w:rsidRDefault="000917A6" w:rsidP="000917A6">
            <w:pPr>
              <w:pStyle w:val="TableHeading"/>
              <w:ind w:right="113"/>
              <w:jc w:val="right"/>
            </w:pPr>
            <w:r w:rsidRPr="00F03274">
              <w:t>Cost share</w:t>
            </w:r>
          </w:p>
        </w:tc>
        <w:tc>
          <w:tcPr>
            <w:tcW w:w="2267" w:type="dxa"/>
          </w:tcPr>
          <w:p w14:paraId="335FA9BD" w14:textId="43A500E2" w:rsidR="000917A6" w:rsidRDefault="000917A6" w:rsidP="000917A6">
            <w:pPr>
              <w:pStyle w:val="TableHeading"/>
              <w:ind w:right="113"/>
              <w:jc w:val="right"/>
            </w:pPr>
            <w:r w:rsidRPr="00F03274">
              <w:t>Change in cost inflator</w:t>
            </w:r>
          </w:p>
        </w:tc>
        <w:tc>
          <w:tcPr>
            <w:tcW w:w="2268" w:type="dxa"/>
          </w:tcPr>
          <w:p w14:paraId="21B1417C" w14:textId="58DD5ED7" w:rsidR="000917A6" w:rsidRPr="00F03274" w:rsidRDefault="000917A6" w:rsidP="000917A6">
            <w:pPr>
              <w:pStyle w:val="TableHeading"/>
              <w:ind w:right="113"/>
              <w:jc w:val="right"/>
            </w:pPr>
            <w:r w:rsidRPr="00A22B58">
              <w:t xml:space="preserve">Contribution to overall change </w:t>
            </w:r>
          </w:p>
        </w:tc>
      </w:tr>
      <w:tr w:rsidR="000917A6" w14:paraId="35E87C22" w14:textId="1168E8AB" w:rsidTr="000917A6">
        <w:trPr>
          <w:cnfStyle w:val="000000100000" w:firstRow="0" w:lastRow="0" w:firstColumn="0" w:lastColumn="0" w:oddVBand="0" w:evenVBand="0" w:oddHBand="1" w:evenHBand="0" w:firstRowFirstColumn="0" w:firstRowLastColumn="0" w:lastRowFirstColumn="0" w:lastRowLastColumn="0"/>
        </w:trPr>
        <w:tc>
          <w:tcPr>
            <w:tcW w:w="3686" w:type="dxa"/>
          </w:tcPr>
          <w:p w14:paraId="22750D90" w14:textId="3F2579EC" w:rsidR="000917A6" w:rsidRDefault="000917A6" w:rsidP="000917A6">
            <w:pPr>
              <w:pStyle w:val="TableBody"/>
            </w:pPr>
            <w:r w:rsidRPr="00AE6193">
              <w:t>Fuel</w:t>
            </w:r>
          </w:p>
        </w:tc>
        <w:tc>
          <w:tcPr>
            <w:tcW w:w="1417" w:type="dxa"/>
          </w:tcPr>
          <w:p w14:paraId="7F960CC6" w14:textId="2BB6DC60" w:rsidR="000917A6" w:rsidRDefault="000917A6" w:rsidP="000917A6">
            <w:pPr>
              <w:pStyle w:val="TableBody"/>
              <w:ind w:right="113"/>
              <w:jc w:val="right"/>
            </w:pPr>
            <w:r w:rsidRPr="00F03274">
              <w:t>7.0%</w:t>
            </w:r>
          </w:p>
        </w:tc>
        <w:tc>
          <w:tcPr>
            <w:tcW w:w="2267" w:type="dxa"/>
          </w:tcPr>
          <w:p w14:paraId="3A75025D" w14:textId="2CDF47FC" w:rsidR="000917A6" w:rsidRDefault="00F721F2" w:rsidP="000917A6">
            <w:pPr>
              <w:pStyle w:val="TableBody"/>
              <w:ind w:right="113"/>
              <w:jc w:val="right"/>
            </w:pPr>
            <w:r>
              <w:rPr>
                <w:rFonts w:cstheme="minorHAnsi"/>
              </w:rPr>
              <w:t>−</w:t>
            </w:r>
            <w:r w:rsidR="0051232C" w:rsidRPr="00F03274">
              <w:t>1</w:t>
            </w:r>
            <w:r w:rsidR="0051232C">
              <w:t>6</w:t>
            </w:r>
            <w:r w:rsidR="000917A6" w:rsidRPr="00F03274">
              <w:t>.2%</w:t>
            </w:r>
          </w:p>
        </w:tc>
        <w:tc>
          <w:tcPr>
            <w:tcW w:w="2268" w:type="dxa"/>
          </w:tcPr>
          <w:p w14:paraId="60B3F78D" w14:textId="61556A91" w:rsidR="000917A6" w:rsidRPr="00F03274" w:rsidRDefault="00F721F2" w:rsidP="000917A6">
            <w:pPr>
              <w:pStyle w:val="TableBody"/>
              <w:ind w:right="113"/>
              <w:jc w:val="right"/>
            </w:pPr>
            <w:r>
              <w:rPr>
                <w:rFonts w:cstheme="minorHAnsi"/>
              </w:rPr>
              <w:t>−</w:t>
            </w:r>
            <w:r w:rsidR="00824107">
              <w:t>1</w:t>
            </w:r>
            <w:r w:rsidR="000917A6" w:rsidRPr="00A22B58">
              <w:t>.</w:t>
            </w:r>
            <w:r w:rsidR="00824107">
              <w:t>1</w:t>
            </w:r>
            <w:r w:rsidR="000917A6" w:rsidRPr="00A22B58">
              <w:t>%</w:t>
            </w:r>
          </w:p>
        </w:tc>
      </w:tr>
      <w:tr w:rsidR="000917A6" w14:paraId="5D49036C" w14:textId="6FD9D7E7" w:rsidTr="000917A6">
        <w:trPr>
          <w:cnfStyle w:val="000000010000" w:firstRow="0" w:lastRow="0" w:firstColumn="0" w:lastColumn="0" w:oddVBand="0" w:evenVBand="0" w:oddHBand="0" w:evenHBand="1" w:firstRowFirstColumn="0" w:firstRowLastColumn="0" w:lastRowFirstColumn="0" w:lastRowLastColumn="0"/>
        </w:trPr>
        <w:tc>
          <w:tcPr>
            <w:tcW w:w="3686" w:type="dxa"/>
          </w:tcPr>
          <w:p w14:paraId="32EEEFBB" w14:textId="5F640A1D" w:rsidR="000917A6" w:rsidRDefault="000917A6" w:rsidP="000917A6">
            <w:pPr>
              <w:pStyle w:val="TableBody"/>
            </w:pPr>
            <w:r w:rsidRPr="00AE6193">
              <w:t>Network (equipment)</w:t>
            </w:r>
          </w:p>
        </w:tc>
        <w:tc>
          <w:tcPr>
            <w:tcW w:w="1417" w:type="dxa"/>
          </w:tcPr>
          <w:p w14:paraId="136FA870" w14:textId="37DEDF8B" w:rsidR="000917A6" w:rsidRDefault="000917A6" w:rsidP="000917A6">
            <w:pPr>
              <w:pStyle w:val="TableBody"/>
              <w:ind w:right="113"/>
              <w:jc w:val="right"/>
            </w:pPr>
            <w:r w:rsidRPr="00F03274">
              <w:t>4.3%</w:t>
            </w:r>
          </w:p>
        </w:tc>
        <w:tc>
          <w:tcPr>
            <w:tcW w:w="2267" w:type="dxa"/>
          </w:tcPr>
          <w:p w14:paraId="3D9D7973" w14:textId="28B5B68E" w:rsidR="000917A6" w:rsidRDefault="0051232C" w:rsidP="000917A6">
            <w:pPr>
              <w:pStyle w:val="TableBody"/>
              <w:ind w:right="113"/>
              <w:jc w:val="right"/>
            </w:pPr>
            <w:r>
              <w:t>1</w:t>
            </w:r>
            <w:r w:rsidR="000917A6" w:rsidRPr="00F03274">
              <w:t>.</w:t>
            </w:r>
            <w:r>
              <w:t>3</w:t>
            </w:r>
            <w:r w:rsidR="000917A6" w:rsidRPr="00F03274">
              <w:t>%</w:t>
            </w:r>
          </w:p>
        </w:tc>
        <w:tc>
          <w:tcPr>
            <w:tcW w:w="2268" w:type="dxa"/>
          </w:tcPr>
          <w:p w14:paraId="1B6AD657" w14:textId="2C345CD3" w:rsidR="000917A6" w:rsidRPr="00F03274" w:rsidRDefault="000917A6" w:rsidP="000917A6">
            <w:pPr>
              <w:pStyle w:val="TableBody"/>
              <w:ind w:right="113"/>
              <w:jc w:val="right"/>
            </w:pPr>
            <w:r w:rsidRPr="00A22B58">
              <w:t>0.1%</w:t>
            </w:r>
          </w:p>
        </w:tc>
      </w:tr>
      <w:tr w:rsidR="000917A6" w14:paraId="22AAC845" w14:textId="76F8E040" w:rsidTr="000917A6">
        <w:trPr>
          <w:cnfStyle w:val="000000100000" w:firstRow="0" w:lastRow="0" w:firstColumn="0" w:lastColumn="0" w:oddVBand="0" w:evenVBand="0" w:oddHBand="1" w:evenHBand="0" w:firstRowFirstColumn="0" w:firstRowLastColumn="0" w:lastRowFirstColumn="0" w:lastRowLastColumn="0"/>
        </w:trPr>
        <w:tc>
          <w:tcPr>
            <w:tcW w:w="3686" w:type="dxa"/>
          </w:tcPr>
          <w:p w14:paraId="55152D7C" w14:textId="17667C53" w:rsidR="000917A6" w:rsidRDefault="000917A6" w:rsidP="000917A6">
            <w:pPr>
              <w:pStyle w:val="TableBody"/>
            </w:pPr>
            <w:r w:rsidRPr="00AE6193">
              <w:t>Network (labour)</w:t>
            </w:r>
          </w:p>
        </w:tc>
        <w:tc>
          <w:tcPr>
            <w:tcW w:w="1417" w:type="dxa"/>
          </w:tcPr>
          <w:p w14:paraId="287ED36D" w14:textId="3DE6095B" w:rsidR="000917A6" w:rsidRDefault="000917A6" w:rsidP="000917A6">
            <w:pPr>
              <w:pStyle w:val="TableBody"/>
              <w:ind w:right="113"/>
              <w:jc w:val="right"/>
            </w:pPr>
            <w:r w:rsidRPr="00F03274">
              <w:t>4.3%</w:t>
            </w:r>
          </w:p>
        </w:tc>
        <w:tc>
          <w:tcPr>
            <w:tcW w:w="2267" w:type="dxa"/>
          </w:tcPr>
          <w:p w14:paraId="2481CD39" w14:textId="06DA4D58" w:rsidR="000917A6" w:rsidRDefault="00C47B14" w:rsidP="000917A6">
            <w:pPr>
              <w:pStyle w:val="TableBody"/>
              <w:ind w:right="113"/>
              <w:jc w:val="right"/>
            </w:pPr>
            <w:r>
              <w:t>6.6%</w:t>
            </w:r>
          </w:p>
        </w:tc>
        <w:tc>
          <w:tcPr>
            <w:tcW w:w="2268" w:type="dxa"/>
          </w:tcPr>
          <w:p w14:paraId="7D2B93AC" w14:textId="49DE79F1" w:rsidR="000917A6" w:rsidRPr="00F03274" w:rsidRDefault="00C47B14" w:rsidP="000917A6">
            <w:pPr>
              <w:pStyle w:val="TableBody"/>
              <w:ind w:right="113"/>
              <w:jc w:val="right"/>
            </w:pPr>
            <w:r>
              <w:t>0.3%</w:t>
            </w:r>
          </w:p>
        </w:tc>
      </w:tr>
      <w:tr w:rsidR="000917A6" w14:paraId="6A079533" w14:textId="53DB8E67" w:rsidTr="000917A6">
        <w:trPr>
          <w:cnfStyle w:val="000000010000" w:firstRow="0" w:lastRow="0" w:firstColumn="0" w:lastColumn="0" w:oddVBand="0" w:evenVBand="0" w:oddHBand="0" w:evenHBand="1" w:firstRowFirstColumn="0" w:firstRowLastColumn="0" w:lastRowFirstColumn="0" w:lastRowLastColumn="0"/>
        </w:trPr>
        <w:tc>
          <w:tcPr>
            <w:tcW w:w="3686" w:type="dxa"/>
          </w:tcPr>
          <w:p w14:paraId="0CD1BA43" w14:textId="0FD8F91B" w:rsidR="000917A6" w:rsidRDefault="000917A6" w:rsidP="000917A6">
            <w:pPr>
              <w:pStyle w:val="TableBody"/>
            </w:pPr>
            <w:r w:rsidRPr="00AE6193">
              <w:t>Insurance</w:t>
            </w:r>
          </w:p>
        </w:tc>
        <w:tc>
          <w:tcPr>
            <w:tcW w:w="1417" w:type="dxa"/>
          </w:tcPr>
          <w:p w14:paraId="64E362D8" w14:textId="55613E8F" w:rsidR="000917A6" w:rsidRDefault="000917A6" w:rsidP="000917A6">
            <w:pPr>
              <w:pStyle w:val="TableBody"/>
              <w:ind w:right="113"/>
              <w:jc w:val="right"/>
            </w:pPr>
            <w:r w:rsidRPr="00F03274">
              <w:t>3.9%</w:t>
            </w:r>
          </w:p>
        </w:tc>
        <w:tc>
          <w:tcPr>
            <w:tcW w:w="2267" w:type="dxa"/>
          </w:tcPr>
          <w:p w14:paraId="0253F5C1" w14:textId="1839BC7D" w:rsidR="000917A6" w:rsidRDefault="00C572E1" w:rsidP="000917A6">
            <w:pPr>
              <w:pStyle w:val="TableBody"/>
              <w:ind w:right="113"/>
              <w:jc w:val="right"/>
            </w:pPr>
            <w:r>
              <w:t>20</w:t>
            </w:r>
            <w:r w:rsidR="000917A6" w:rsidRPr="00F03274">
              <w:t>.</w:t>
            </w:r>
            <w:r>
              <w:t>6</w:t>
            </w:r>
            <w:r w:rsidR="000917A6" w:rsidRPr="00F03274">
              <w:t>%</w:t>
            </w:r>
          </w:p>
        </w:tc>
        <w:tc>
          <w:tcPr>
            <w:tcW w:w="2268" w:type="dxa"/>
          </w:tcPr>
          <w:p w14:paraId="210409DB" w14:textId="1E8E4AE2" w:rsidR="000917A6" w:rsidRPr="00F03274" w:rsidRDefault="000917A6" w:rsidP="000917A6">
            <w:pPr>
              <w:pStyle w:val="TableBody"/>
              <w:ind w:right="113"/>
              <w:jc w:val="right"/>
            </w:pPr>
            <w:r w:rsidRPr="00A22B58">
              <w:t>0.</w:t>
            </w:r>
            <w:r w:rsidR="00C572E1">
              <w:t>8</w:t>
            </w:r>
            <w:r w:rsidRPr="00A22B58">
              <w:t>%</w:t>
            </w:r>
          </w:p>
        </w:tc>
      </w:tr>
      <w:tr w:rsidR="000917A6" w14:paraId="177C4753" w14:textId="57640D4C" w:rsidTr="000917A6">
        <w:trPr>
          <w:cnfStyle w:val="000000100000" w:firstRow="0" w:lastRow="0" w:firstColumn="0" w:lastColumn="0" w:oddVBand="0" w:evenVBand="0" w:oddHBand="1" w:evenHBand="0" w:firstRowFirstColumn="0" w:firstRowLastColumn="0" w:lastRowFirstColumn="0" w:lastRowLastColumn="0"/>
        </w:trPr>
        <w:tc>
          <w:tcPr>
            <w:tcW w:w="3686" w:type="dxa"/>
          </w:tcPr>
          <w:p w14:paraId="3FF3A630" w14:textId="075AA4F0" w:rsidR="000917A6" w:rsidRDefault="000917A6" w:rsidP="000917A6">
            <w:pPr>
              <w:pStyle w:val="TableBody"/>
            </w:pPr>
            <w:r w:rsidRPr="00AE6193">
              <w:t>Vehicle</w:t>
            </w:r>
          </w:p>
        </w:tc>
        <w:tc>
          <w:tcPr>
            <w:tcW w:w="1417" w:type="dxa"/>
          </w:tcPr>
          <w:p w14:paraId="013B560F" w14:textId="436B64A0" w:rsidR="000917A6" w:rsidRDefault="000917A6" w:rsidP="000917A6">
            <w:pPr>
              <w:pStyle w:val="TableBody"/>
              <w:ind w:right="113"/>
              <w:jc w:val="right"/>
            </w:pPr>
            <w:r w:rsidRPr="00F03274">
              <w:t>11.5%</w:t>
            </w:r>
          </w:p>
        </w:tc>
        <w:tc>
          <w:tcPr>
            <w:tcW w:w="2267" w:type="dxa"/>
          </w:tcPr>
          <w:p w14:paraId="5C613006" w14:textId="4CCAC9CF" w:rsidR="000917A6" w:rsidRDefault="000917A6" w:rsidP="000917A6">
            <w:pPr>
              <w:pStyle w:val="TableBody"/>
              <w:ind w:right="113"/>
              <w:jc w:val="right"/>
            </w:pPr>
            <w:r w:rsidRPr="00F03274">
              <w:t>2</w:t>
            </w:r>
            <w:r w:rsidR="007D3812">
              <w:t>3</w:t>
            </w:r>
            <w:r w:rsidRPr="00F03274">
              <w:t>.</w:t>
            </w:r>
            <w:r w:rsidR="00824107">
              <w:t>0</w:t>
            </w:r>
            <w:r w:rsidRPr="00F03274">
              <w:t>%</w:t>
            </w:r>
          </w:p>
        </w:tc>
        <w:tc>
          <w:tcPr>
            <w:tcW w:w="2268" w:type="dxa"/>
          </w:tcPr>
          <w:p w14:paraId="01E5D981" w14:textId="0A6876D5" w:rsidR="000917A6" w:rsidRPr="00F03274" w:rsidRDefault="000917A6" w:rsidP="000917A6">
            <w:pPr>
              <w:pStyle w:val="TableBody"/>
              <w:ind w:right="113"/>
              <w:jc w:val="right"/>
            </w:pPr>
            <w:r w:rsidRPr="00A22B58">
              <w:t>2.</w:t>
            </w:r>
            <w:r w:rsidR="008270F8">
              <w:t>6</w:t>
            </w:r>
            <w:r w:rsidRPr="00A22B58">
              <w:t>%</w:t>
            </w:r>
          </w:p>
        </w:tc>
      </w:tr>
      <w:tr w:rsidR="000917A6" w14:paraId="452B1890" w14:textId="0A95F620" w:rsidTr="000917A6">
        <w:trPr>
          <w:cnfStyle w:val="000000010000" w:firstRow="0" w:lastRow="0" w:firstColumn="0" w:lastColumn="0" w:oddVBand="0" w:evenVBand="0" w:oddHBand="0" w:evenHBand="1" w:firstRowFirstColumn="0" w:firstRowLastColumn="0" w:lastRowFirstColumn="0" w:lastRowLastColumn="0"/>
        </w:trPr>
        <w:tc>
          <w:tcPr>
            <w:tcW w:w="3686" w:type="dxa"/>
          </w:tcPr>
          <w:p w14:paraId="15C904BC" w14:textId="3AE092D0" w:rsidR="000917A6" w:rsidRDefault="000917A6" w:rsidP="000917A6">
            <w:pPr>
              <w:pStyle w:val="TableBody"/>
            </w:pPr>
            <w:r w:rsidRPr="00AE6193">
              <w:t>Registration</w:t>
            </w:r>
          </w:p>
        </w:tc>
        <w:tc>
          <w:tcPr>
            <w:tcW w:w="1417" w:type="dxa"/>
          </w:tcPr>
          <w:p w14:paraId="5BC76202" w14:textId="758A8462" w:rsidR="000917A6" w:rsidRDefault="000917A6" w:rsidP="000917A6">
            <w:pPr>
              <w:pStyle w:val="TableBody"/>
              <w:ind w:right="113"/>
              <w:jc w:val="right"/>
            </w:pPr>
            <w:r w:rsidRPr="00F03274">
              <w:t>1.1%</w:t>
            </w:r>
          </w:p>
        </w:tc>
        <w:tc>
          <w:tcPr>
            <w:tcW w:w="2267" w:type="dxa"/>
          </w:tcPr>
          <w:p w14:paraId="0B07CC08" w14:textId="1AC36AD5" w:rsidR="000917A6" w:rsidRDefault="00824107" w:rsidP="000917A6">
            <w:pPr>
              <w:pStyle w:val="TableBody"/>
              <w:ind w:right="113"/>
              <w:jc w:val="right"/>
            </w:pPr>
            <w:r>
              <w:t>4</w:t>
            </w:r>
            <w:r w:rsidR="000917A6" w:rsidRPr="00F03274">
              <w:t>.</w:t>
            </w:r>
            <w:r>
              <w:t>9</w:t>
            </w:r>
            <w:r w:rsidR="000917A6" w:rsidRPr="00F03274">
              <w:t>%</w:t>
            </w:r>
          </w:p>
        </w:tc>
        <w:tc>
          <w:tcPr>
            <w:tcW w:w="2268" w:type="dxa"/>
          </w:tcPr>
          <w:p w14:paraId="54419BC2" w14:textId="121EE0D9" w:rsidR="000917A6" w:rsidRPr="00F03274" w:rsidRDefault="000917A6" w:rsidP="000917A6">
            <w:pPr>
              <w:pStyle w:val="TableBody"/>
              <w:ind w:right="113"/>
              <w:jc w:val="right"/>
            </w:pPr>
            <w:r w:rsidRPr="00A22B58">
              <w:t>0.</w:t>
            </w:r>
            <w:r w:rsidR="008270F8">
              <w:t>1</w:t>
            </w:r>
            <w:r w:rsidRPr="00A22B58">
              <w:t>%</w:t>
            </w:r>
          </w:p>
        </w:tc>
      </w:tr>
      <w:tr w:rsidR="000917A6" w14:paraId="3D9FB3EE" w14:textId="1075119B" w:rsidTr="000917A6">
        <w:trPr>
          <w:cnfStyle w:val="000000100000" w:firstRow="0" w:lastRow="0" w:firstColumn="0" w:lastColumn="0" w:oddVBand="0" w:evenVBand="0" w:oddHBand="1" w:evenHBand="0" w:firstRowFirstColumn="0" w:firstRowLastColumn="0" w:lastRowFirstColumn="0" w:lastRowLastColumn="0"/>
        </w:trPr>
        <w:tc>
          <w:tcPr>
            <w:tcW w:w="3686" w:type="dxa"/>
          </w:tcPr>
          <w:p w14:paraId="215A14FF" w14:textId="26636E6D" w:rsidR="000917A6" w:rsidRDefault="000917A6" w:rsidP="000917A6">
            <w:pPr>
              <w:pStyle w:val="TableBody"/>
            </w:pPr>
            <w:r w:rsidRPr="00AE6193">
              <w:t>Repairs and maintenance</w:t>
            </w:r>
          </w:p>
        </w:tc>
        <w:tc>
          <w:tcPr>
            <w:tcW w:w="1417" w:type="dxa"/>
          </w:tcPr>
          <w:p w14:paraId="17E43575" w14:textId="65BFE4F7" w:rsidR="000917A6" w:rsidRDefault="000917A6" w:rsidP="000917A6">
            <w:pPr>
              <w:pStyle w:val="TableBody"/>
              <w:ind w:right="113"/>
              <w:jc w:val="right"/>
            </w:pPr>
            <w:r w:rsidRPr="00F03274">
              <w:t>6.3%</w:t>
            </w:r>
          </w:p>
        </w:tc>
        <w:tc>
          <w:tcPr>
            <w:tcW w:w="2267" w:type="dxa"/>
          </w:tcPr>
          <w:p w14:paraId="28E39389" w14:textId="3BA48C4B" w:rsidR="000917A6" w:rsidRDefault="00824107" w:rsidP="000917A6">
            <w:pPr>
              <w:pStyle w:val="TableBody"/>
              <w:ind w:right="113"/>
              <w:jc w:val="right"/>
            </w:pPr>
            <w:r>
              <w:t>7</w:t>
            </w:r>
            <w:r w:rsidR="000917A6" w:rsidRPr="00F03274">
              <w:t>.</w:t>
            </w:r>
            <w:r>
              <w:t>5</w:t>
            </w:r>
            <w:r w:rsidR="000917A6" w:rsidRPr="00F03274">
              <w:t>%</w:t>
            </w:r>
          </w:p>
        </w:tc>
        <w:tc>
          <w:tcPr>
            <w:tcW w:w="2268" w:type="dxa"/>
          </w:tcPr>
          <w:p w14:paraId="5A12D5D7" w14:textId="4E876226" w:rsidR="000917A6" w:rsidRPr="00F03274" w:rsidRDefault="000917A6" w:rsidP="000917A6">
            <w:pPr>
              <w:pStyle w:val="TableBody"/>
              <w:ind w:right="113"/>
              <w:jc w:val="right"/>
            </w:pPr>
            <w:r w:rsidRPr="00A22B58">
              <w:t>0.</w:t>
            </w:r>
            <w:r w:rsidR="008270F8">
              <w:t>5</w:t>
            </w:r>
            <w:r w:rsidRPr="00A22B58">
              <w:t>%</w:t>
            </w:r>
          </w:p>
        </w:tc>
      </w:tr>
      <w:tr w:rsidR="000917A6" w14:paraId="1595A838" w14:textId="134C9E43" w:rsidTr="000917A6">
        <w:trPr>
          <w:cnfStyle w:val="000000010000" w:firstRow="0" w:lastRow="0" w:firstColumn="0" w:lastColumn="0" w:oddVBand="0" w:evenVBand="0" w:oddHBand="0" w:evenHBand="1" w:firstRowFirstColumn="0" w:firstRowLastColumn="0" w:lastRowFirstColumn="0" w:lastRowLastColumn="0"/>
        </w:trPr>
        <w:tc>
          <w:tcPr>
            <w:tcW w:w="3686" w:type="dxa"/>
          </w:tcPr>
          <w:p w14:paraId="32C67E0A" w14:textId="535F13E4" w:rsidR="000917A6" w:rsidRDefault="000917A6" w:rsidP="000917A6">
            <w:pPr>
              <w:pStyle w:val="TableBody"/>
            </w:pPr>
            <w:r w:rsidRPr="00AE6193">
              <w:t>Administration</w:t>
            </w:r>
          </w:p>
        </w:tc>
        <w:tc>
          <w:tcPr>
            <w:tcW w:w="1417" w:type="dxa"/>
          </w:tcPr>
          <w:p w14:paraId="03DE118A" w14:textId="4B17FE6E" w:rsidR="000917A6" w:rsidRDefault="000917A6" w:rsidP="000917A6">
            <w:pPr>
              <w:pStyle w:val="TableBody"/>
              <w:ind w:right="113"/>
              <w:jc w:val="right"/>
            </w:pPr>
            <w:r w:rsidRPr="00F03274">
              <w:t>6.5%</w:t>
            </w:r>
          </w:p>
        </w:tc>
        <w:tc>
          <w:tcPr>
            <w:tcW w:w="2267" w:type="dxa"/>
          </w:tcPr>
          <w:p w14:paraId="79538EAE" w14:textId="7A14FC3E" w:rsidR="000917A6" w:rsidRDefault="000917A6" w:rsidP="000917A6">
            <w:pPr>
              <w:pStyle w:val="TableBody"/>
              <w:ind w:right="113"/>
              <w:jc w:val="right"/>
            </w:pPr>
            <w:r w:rsidRPr="00F03274">
              <w:t>6.</w:t>
            </w:r>
            <w:r w:rsidR="007D3812">
              <w:t>7</w:t>
            </w:r>
            <w:r w:rsidRPr="00F03274">
              <w:t>%</w:t>
            </w:r>
          </w:p>
        </w:tc>
        <w:tc>
          <w:tcPr>
            <w:tcW w:w="2268" w:type="dxa"/>
          </w:tcPr>
          <w:p w14:paraId="18F933B6" w14:textId="1BF4A437" w:rsidR="000917A6" w:rsidRPr="00F03274" w:rsidRDefault="000917A6" w:rsidP="000917A6">
            <w:pPr>
              <w:pStyle w:val="TableBody"/>
              <w:ind w:right="113"/>
              <w:jc w:val="right"/>
            </w:pPr>
            <w:r w:rsidRPr="00A22B58">
              <w:t>0.4%</w:t>
            </w:r>
          </w:p>
        </w:tc>
      </w:tr>
      <w:tr w:rsidR="000917A6" w14:paraId="622C1E89" w14:textId="798E4D63" w:rsidTr="000917A6">
        <w:trPr>
          <w:cnfStyle w:val="000000100000" w:firstRow="0" w:lastRow="0" w:firstColumn="0" w:lastColumn="0" w:oddVBand="0" w:evenVBand="0" w:oddHBand="1" w:evenHBand="0" w:firstRowFirstColumn="0" w:firstRowLastColumn="0" w:lastRowFirstColumn="0" w:lastRowLastColumn="0"/>
        </w:trPr>
        <w:tc>
          <w:tcPr>
            <w:tcW w:w="3686" w:type="dxa"/>
          </w:tcPr>
          <w:p w14:paraId="29631B53" w14:textId="6BC6A08B" w:rsidR="000917A6" w:rsidRDefault="000917A6" w:rsidP="000917A6">
            <w:pPr>
              <w:pStyle w:val="TableBody"/>
            </w:pPr>
            <w:r w:rsidRPr="00E94E8E">
              <w:rPr>
                <w:b/>
                <w:bCs/>
              </w:rPr>
              <w:t>Total operating costs</w:t>
            </w:r>
          </w:p>
        </w:tc>
        <w:tc>
          <w:tcPr>
            <w:tcW w:w="1417" w:type="dxa"/>
          </w:tcPr>
          <w:p w14:paraId="5A1C14B8" w14:textId="1E95CD6F" w:rsidR="000917A6" w:rsidRPr="00694BC5" w:rsidRDefault="000917A6" w:rsidP="000917A6">
            <w:pPr>
              <w:pStyle w:val="TableBody"/>
              <w:ind w:right="113"/>
              <w:jc w:val="right"/>
              <w:rPr>
                <w:b/>
                <w:bCs/>
              </w:rPr>
            </w:pPr>
            <w:r w:rsidRPr="00694BC5">
              <w:rPr>
                <w:b/>
                <w:bCs/>
              </w:rPr>
              <w:t>45%</w:t>
            </w:r>
          </w:p>
        </w:tc>
        <w:tc>
          <w:tcPr>
            <w:tcW w:w="2267" w:type="dxa"/>
          </w:tcPr>
          <w:p w14:paraId="0253C152" w14:textId="53B10657" w:rsidR="000917A6" w:rsidRPr="0042616C" w:rsidRDefault="00C47B14" w:rsidP="000917A6">
            <w:pPr>
              <w:pStyle w:val="TableBody"/>
              <w:ind w:right="113"/>
              <w:jc w:val="right"/>
              <w:rPr>
                <w:b/>
              </w:rPr>
            </w:pPr>
            <w:r w:rsidRPr="0042616C">
              <w:rPr>
                <w:b/>
              </w:rPr>
              <w:t>8.</w:t>
            </w:r>
            <w:r w:rsidR="00824107" w:rsidRPr="0042616C">
              <w:rPr>
                <w:b/>
                <w:bCs/>
              </w:rPr>
              <w:t>1</w:t>
            </w:r>
            <w:r w:rsidRPr="0042616C">
              <w:rPr>
                <w:b/>
              </w:rPr>
              <w:t>%</w:t>
            </w:r>
          </w:p>
        </w:tc>
        <w:tc>
          <w:tcPr>
            <w:tcW w:w="2268" w:type="dxa"/>
          </w:tcPr>
          <w:p w14:paraId="4C5CC2B3" w14:textId="3DCDAEE3" w:rsidR="000917A6" w:rsidRPr="0042616C" w:rsidRDefault="003E56CF" w:rsidP="000917A6">
            <w:pPr>
              <w:pStyle w:val="TableBody"/>
              <w:ind w:right="113"/>
              <w:jc w:val="right"/>
              <w:rPr>
                <w:b/>
              </w:rPr>
            </w:pPr>
            <w:r w:rsidRPr="0042616C">
              <w:rPr>
                <w:b/>
              </w:rPr>
              <w:t>3.</w:t>
            </w:r>
            <w:r w:rsidR="00824107" w:rsidRPr="0042616C">
              <w:rPr>
                <w:b/>
                <w:bCs/>
              </w:rPr>
              <w:t>6</w:t>
            </w:r>
            <w:r w:rsidRPr="0042616C">
              <w:rPr>
                <w:b/>
              </w:rPr>
              <w:t>%</w:t>
            </w:r>
          </w:p>
        </w:tc>
      </w:tr>
      <w:tr w:rsidR="000917A6" w14:paraId="07A80CAF" w14:textId="31D785D7" w:rsidTr="000917A6">
        <w:trPr>
          <w:cnfStyle w:val="000000010000" w:firstRow="0" w:lastRow="0" w:firstColumn="0" w:lastColumn="0" w:oddVBand="0" w:evenVBand="0" w:oddHBand="0" w:evenHBand="1" w:firstRowFirstColumn="0" w:firstRowLastColumn="0" w:lastRowFirstColumn="0" w:lastRowLastColumn="0"/>
        </w:trPr>
        <w:tc>
          <w:tcPr>
            <w:tcW w:w="3686" w:type="dxa"/>
          </w:tcPr>
          <w:p w14:paraId="519C4D01" w14:textId="07E39DD1" w:rsidR="000917A6" w:rsidRDefault="000917A6" w:rsidP="000917A6">
            <w:pPr>
              <w:pStyle w:val="TableBody"/>
            </w:pPr>
            <w:r w:rsidRPr="00AE6193">
              <w:t>Driver labour</w:t>
            </w:r>
          </w:p>
        </w:tc>
        <w:tc>
          <w:tcPr>
            <w:tcW w:w="1417" w:type="dxa"/>
          </w:tcPr>
          <w:p w14:paraId="74430B08" w14:textId="6531D7A9" w:rsidR="000917A6" w:rsidRDefault="000917A6" w:rsidP="000917A6">
            <w:pPr>
              <w:pStyle w:val="TableBody"/>
              <w:ind w:right="113"/>
              <w:jc w:val="right"/>
            </w:pPr>
            <w:r w:rsidRPr="00F03274">
              <w:t>55%</w:t>
            </w:r>
          </w:p>
        </w:tc>
        <w:tc>
          <w:tcPr>
            <w:tcW w:w="2267" w:type="dxa"/>
          </w:tcPr>
          <w:p w14:paraId="4B0B32C8" w14:textId="50951CE2" w:rsidR="000917A6" w:rsidRPr="00C572E1" w:rsidRDefault="00C572E1" w:rsidP="000917A6">
            <w:pPr>
              <w:pStyle w:val="TableBody"/>
              <w:ind w:right="113"/>
              <w:jc w:val="right"/>
            </w:pPr>
            <w:r w:rsidRPr="00C572E1">
              <w:t>12.7%</w:t>
            </w:r>
          </w:p>
        </w:tc>
        <w:tc>
          <w:tcPr>
            <w:tcW w:w="2268" w:type="dxa"/>
          </w:tcPr>
          <w:p w14:paraId="4591980A" w14:textId="2AF270A0" w:rsidR="000917A6" w:rsidRPr="00C572E1" w:rsidRDefault="00C572E1" w:rsidP="000917A6">
            <w:pPr>
              <w:pStyle w:val="TableBody"/>
              <w:ind w:right="113"/>
              <w:jc w:val="right"/>
            </w:pPr>
            <w:r w:rsidRPr="00C572E1">
              <w:t>7.0%</w:t>
            </w:r>
          </w:p>
        </w:tc>
      </w:tr>
      <w:tr w:rsidR="000917A6" w14:paraId="46264316" w14:textId="1F08642B" w:rsidTr="000917A6">
        <w:trPr>
          <w:cnfStyle w:val="000000100000" w:firstRow="0" w:lastRow="0" w:firstColumn="0" w:lastColumn="0" w:oddVBand="0" w:evenVBand="0" w:oddHBand="1" w:evenHBand="0" w:firstRowFirstColumn="0" w:firstRowLastColumn="0" w:lastRowFirstColumn="0" w:lastRowLastColumn="0"/>
        </w:trPr>
        <w:tc>
          <w:tcPr>
            <w:tcW w:w="3686" w:type="dxa"/>
          </w:tcPr>
          <w:p w14:paraId="54FB49E0" w14:textId="21A1DC14" w:rsidR="000917A6" w:rsidRDefault="000917A6" w:rsidP="000917A6">
            <w:pPr>
              <w:pStyle w:val="TableBody"/>
            </w:pPr>
            <w:r w:rsidRPr="00E94E8E">
              <w:rPr>
                <w:b/>
                <w:bCs/>
              </w:rPr>
              <w:t>Total operating and labour costs</w:t>
            </w:r>
          </w:p>
        </w:tc>
        <w:tc>
          <w:tcPr>
            <w:tcW w:w="1417" w:type="dxa"/>
          </w:tcPr>
          <w:p w14:paraId="474DE7F9" w14:textId="4F747493" w:rsidR="000917A6" w:rsidRPr="000917A6" w:rsidRDefault="000917A6" w:rsidP="000917A6">
            <w:pPr>
              <w:pStyle w:val="TableBody"/>
              <w:ind w:right="113"/>
              <w:jc w:val="right"/>
              <w:rPr>
                <w:b/>
                <w:bCs/>
              </w:rPr>
            </w:pPr>
            <w:r w:rsidRPr="000917A6">
              <w:rPr>
                <w:b/>
                <w:bCs/>
              </w:rPr>
              <w:t>100%</w:t>
            </w:r>
          </w:p>
        </w:tc>
        <w:tc>
          <w:tcPr>
            <w:tcW w:w="2267" w:type="dxa"/>
          </w:tcPr>
          <w:p w14:paraId="12C90DE2" w14:textId="0D715F3B" w:rsidR="000917A6" w:rsidRPr="00C572E1" w:rsidRDefault="000917A6" w:rsidP="000917A6">
            <w:pPr>
              <w:pStyle w:val="TableBody"/>
              <w:ind w:right="113"/>
              <w:jc w:val="right"/>
              <w:rPr>
                <w:b/>
                <w:bCs/>
              </w:rPr>
            </w:pPr>
            <w:r w:rsidRPr="00C572E1">
              <w:rPr>
                <w:b/>
                <w:bCs/>
              </w:rPr>
              <w:t>Not applicable</w:t>
            </w:r>
          </w:p>
        </w:tc>
        <w:tc>
          <w:tcPr>
            <w:tcW w:w="2268" w:type="dxa"/>
          </w:tcPr>
          <w:p w14:paraId="60F8ABA9" w14:textId="5E42DE88" w:rsidR="000917A6" w:rsidRPr="00C572E1" w:rsidRDefault="00C572E1" w:rsidP="000917A6">
            <w:pPr>
              <w:pStyle w:val="TableBody"/>
              <w:ind w:right="113"/>
              <w:jc w:val="right"/>
              <w:rPr>
                <w:b/>
                <w:bCs/>
              </w:rPr>
            </w:pPr>
            <w:r w:rsidRPr="00C572E1">
              <w:rPr>
                <w:b/>
                <w:bCs/>
              </w:rPr>
              <w:t>10.</w:t>
            </w:r>
            <w:r w:rsidR="00824107">
              <w:rPr>
                <w:b/>
                <w:bCs/>
              </w:rPr>
              <w:t>6</w:t>
            </w:r>
            <w:r w:rsidRPr="00C572E1">
              <w:rPr>
                <w:b/>
                <w:bCs/>
              </w:rPr>
              <w:t>%</w:t>
            </w:r>
          </w:p>
        </w:tc>
      </w:tr>
    </w:tbl>
    <w:p w14:paraId="02258767" w14:textId="00657184" w:rsidR="003F7BBA" w:rsidRDefault="003F7BBA" w:rsidP="003F7BBA">
      <w:pPr>
        <w:pStyle w:val="Source"/>
        <w:jc w:val="left"/>
      </w:pPr>
      <w:r w:rsidRPr="001B3F35">
        <w:rPr>
          <w:b/>
          <w:bCs/>
        </w:rPr>
        <w:t>Note:</w:t>
      </w:r>
      <w:r>
        <w:t xml:space="preserve"> m</w:t>
      </w:r>
      <w:r w:rsidRPr="00C06445">
        <w:t>ost changes in cost</w:t>
      </w:r>
      <w:r w:rsidR="00E430B6">
        <w:t xml:space="preserve"> </w:t>
      </w:r>
      <w:r w:rsidR="00817759">
        <w:t>inflators</w:t>
      </w:r>
      <w:r w:rsidR="00817759" w:rsidRPr="00C06445">
        <w:t xml:space="preserve"> </w:t>
      </w:r>
      <w:r w:rsidRPr="00C06445">
        <w:t xml:space="preserve">are measured over the period from June 2022 to </w:t>
      </w:r>
      <w:r>
        <w:t>June</w:t>
      </w:r>
      <w:r w:rsidRPr="00C06445">
        <w:t xml:space="preserve"> 2024. </w:t>
      </w:r>
      <w:r w:rsidRPr="00D108A9">
        <w:t xml:space="preserve">However, </w:t>
      </w:r>
      <w:r w:rsidR="00597C49" w:rsidRPr="00597C49">
        <w:t xml:space="preserve">the changes in the cost inflators </w:t>
      </w:r>
      <w:r w:rsidR="00817759" w:rsidRPr="00D108A9">
        <w:t>which use the wage price index (</w:t>
      </w:r>
      <w:r w:rsidR="00BD0655">
        <w:t>network (labour</w:t>
      </w:r>
      <w:r w:rsidR="00817759" w:rsidRPr="00D108A9">
        <w:t xml:space="preserve">) </w:t>
      </w:r>
      <w:r w:rsidR="00BD0655">
        <w:t>and administration</w:t>
      </w:r>
      <w:r w:rsidR="00817759" w:rsidRPr="00D108A9">
        <w:t xml:space="preserve">) and </w:t>
      </w:r>
      <w:r w:rsidR="00817759" w:rsidRPr="00E1007F">
        <w:t>comprehensive car insurance index</w:t>
      </w:r>
      <w:r w:rsidR="00817759">
        <w:t xml:space="preserve"> (insurance)</w:t>
      </w:r>
      <w:r w:rsidR="00BD0655">
        <w:t xml:space="preserve"> are measured from June 2022 to March 2024</w:t>
      </w:r>
      <w:r w:rsidR="000113B4">
        <w:t>.</w:t>
      </w:r>
    </w:p>
    <w:p w14:paraId="5A4EE0D2" w14:textId="2C8F5E5D" w:rsidR="0099389A" w:rsidRDefault="0099389A" w:rsidP="0099389A">
      <w:pPr>
        <w:pStyle w:val="Source"/>
        <w:jc w:val="left"/>
      </w:pPr>
      <w:r w:rsidRPr="0099389A">
        <w:rPr>
          <w:b/>
          <w:bCs/>
        </w:rPr>
        <w:t>Source:</w:t>
      </w:r>
      <w:r w:rsidRPr="00B8039C">
        <w:t xml:space="preserve"> Essential Services Commission analysis</w:t>
      </w:r>
      <w:r>
        <w:t>.</w:t>
      </w:r>
    </w:p>
    <w:p w14:paraId="63BAEE94" w14:textId="2495FB0C" w:rsidR="00850C96" w:rsidRDefault="00845498" w:rsidP="00560EA4">
      <w:r>
        <w:t xml:space="preserve">The key </w:t>
      </w:r>
      <w:r w:rsidR="008E7593">
        <w:t xml:space="preserve">drivers of the </w:t>
      </w:r>
      <w:r w:rsidR="00560EA4">
        <w:t xml:space="preserve">changes in costs </w:t>
      </w:r>
      <w:r w:rsidR="008E7593">
        <w:t>for both conventional taxi</w:t>
      </w:r>
      <w:r w:rsidR="009E7A8B">
        <w:t>s</w:t>
      </w:r>
      <w:r w:rsidR="008E7593">
        <w:t xml:space="preserve"> and wheelchair accessible taxis </w:t>
      </w:r>
      <w:r w:rsidR="0025049B">
        <w:t xml:space="preserve">since our last review </w:t>
      </w:r>
      <w:r w:rsidR="008E7593">
        <w:t>were:</w:t>
      </w:r>
      <w:r w:rsidR="00D50E1E">
        <w:t xml:space="preserve"> </w:t>
      </w:r>
    </w:p>
    <w:p w14:paraId="549B0E6E" w14:textId="4BA4A6B9" w:rsidR="00850C96" w:rsidRDefault="00560EA4" w:rsidP="00850C96">
      <w:pPr>
        <w:pStyle w:val="ListBullet"/>
      </w:pPr>
      <w:r w:rsidRPr="00F60F76">
        <w:rPr>
          <w:b/>
          <w:bCs/>
        </w:rPr>
        <w:t>driver labour</w:t>
      </w:r>
      <w:r w:rsidR="00850C96">
        <w:t xml:space="preserve">: higher driver labour costs reflect an increase in the national minimum wage as determined by the Fair Work Commission of Australia. </w:t>
      </w:r>
    </w:p>
    <w:p w14:paraId="77357317" w14:textId="494F150B" w:rsidR="00850C96" w:rsidRDefault="00560EA4" w:rsidP="00850C96">
      <w:pPr>
        <w:pStyle w:val="ListBullet"/>
      </w:pPr>
      <w:r w:rsidRPr="00F60F76">
        <w:rPr>
          <w:b/>
          <w:bCs/>
        </w:rPr>
        <w:t>vehicle</w:t>
      </w:r>
      <w:r w:rsidR="00850C96">
        <w:t>: higher vehicle costs reflect a global shortage of motor vehicles in Australia due to pandemic-related supply chain constraints, particularly for crucial components such as semiconductors</w:t>
      </w:r>
      <w:r w:rsidR="00E8518B">
        <w:t>,</w:t>
      </w:r>
      <w:r w:rsidR="00850C96">
        <w:rPr>
          <w:rStyle w:val="FootnoteReference"/>
        </w:rPr>
        <w:footnoteReference w:id="84"/>
      </w:r>
      <w:r w:rsidR="00850C96">
        <w:t xml:space="preserve"> and higher borrowing costs compared to 2022.</w:t>
      </w:r>
    </w:p>
    <w:p w14:paraId="71AF4F02" w14:textId="48A5DB75" w:rsidR="00850C96" w:rsidRDefault="00560EA4" w:rsidP="00850C96">
      <w:pPr>
        <w:pStyle w:val="ListBullet"/>
      </w:pPr>
      <w:r w:rsidRPr="00F60F76">
        <w:rPr>
          <w:b/>
          <w:bCs/>
        </w:rPr>
        <w:t>insurance</w:t>
      </w:r>
      <w:r w:rsidR="00850C96">
        <w:t xml:space="preserve">: insurance costs have been increasing across the economy due to increases in the number of claims and replacement costs. </w:t>
      </w:r>
    </w:p>
    <w:p w14:paraId="4B4BF735" w14:textId="3650080A" w:rsidR="00850C96" w:rsidRDefault="00560EA4" w:rsidP="00850C96">
      <w:pPr>
        <w:pStyle w:val="ListBullet"/>
      </w:pPr>
      <w:r w:rsidRPr="00F60F76">
        <w:rPr>
          <w:b/>
          <w:bCs/>
        </w:rPr>
        <w:t>fuel</w:t>
      </w:r>
      <w:r w:rsidR="00850C96">
        <w:t xml:space="preserve">: fuel prices have increased in recent times, however prices are still below those in June 2022 when prices peaked. </w:t>
      </w:r>
    </w:p>
    <w:p w14:paraId="3C3CF76D" w14:textId="3CFB786B" w:rsidR="002F4B0B" w:rsidRDefault="002F4B0B" w:rsidP="00827186">
      <w:pPr>
        <w:spacing w:line="259" w:lineRule="auto"/>
        <w:sectPr w:rsidR="002F4B0B" w:rsidSect="0053218D">
          <w:footerReference w:type="default" r:id="rId61"/>
          <w:type w:val="continuous"/>
          <w:pgSz w:w="11906" w:h="16838" w:code="9"/>
          <w:pgMar w:top="1134" w:right="1134" w:bottom="1134" w:left="1134" w:header="709" w:footer="692" w:gutter="0"/>
          <w:cols w:space="708"/>
          <w:docGrid w:linePitch="360"/>
        </w:sectPr>
      </w:pPr>
    </w:p>
    <w:p w14:paraId="34C22C14" w14:textId="306AF5E2" w:rsidR="009C3565" w:rsidRDefault="00F05EA1" w:rsidP="00F05EA1">
      <w:pPr>
        <w:pStyle w:val="Heading1"/>
      </w:pPr>
      <w:bookmarkStart w:id="244" w:name="_Appendix_E:_Non-cash"/>
      <w:bookmarkStart w:id="245" w:name="_Toc174692696"/>
      <w:bookmarkEnd w:id="244"/>
      <w:r w:rsidRPr="00F05EA1">
        <w:lastRenderedPageBreak/>
        <w:t xml:space="preserve">Appendix </w:t>
      </w:r>
      <w:r w:rsidR="008764D4">
        <w:t>F</w:t>
      </w:r>
      <w:r w:rsidRPr="00F05EA1">
        <w:t>: Non</w:t>
      </w:r>
      <w:r w:rsidR="00F721F2">
        <w:noBreakHyphen/>
      </w:r>
      <w:r w:rsidRPr="00F05EA1">
        <w:t>cash payment surcharge benchmarking analysis</w:t>
      </w:r>
      <w:bookmarkEnd w:id="245"/>
    </w:p>
    <w:p w14:paraId="48681F2E" w14:textId="794A80F5" w:rsidR="001E31E8" w:rsidRDefault="00482321" w:rsidP="001E31E8">
      <w:r>
        <w:t xml:space="preserve">This </w:t>
      </w:r>
      <w:r w:rsidR="00D03189">
        <w:t>A</w:t>
      </w:r>
      <w:r>
        <w:t>ppendix provides more detail on the</w:t>
      </w:r>
      <w:r w:rsidR="00454B47">
        <w:t xml:space="preserve"> </w:t>
      </w:r>
      <w:r w:rsidR="001E31E8">
        <w:t xml:space="preserve">benchmarking </w:t>
      </w:r>
      <w:r>
        <w:t>analysis we used t</w:t>
      </w:r>
      <w:r w:rsidR="00E62E29">
        <w:t>o assess the</w:t>
      </w:r>
      <w:r w:rsidR="001E31E8">
        <w:t xml:space="preserve"> reasonable</w:t>
      </w:r>
      <w:r w:rsidR="00E62E29">
        <w:t>ness</w:t>
      </w:r>
      <w:r w:rsidR="001E31E8">
        <w:t xml:space="preserve"> </w:t>
      </w:r>
      <w:r w:rsidR="008B7C1D">
        <w:t>of</w:t>
      </w:r>
      <w:r w:rsidR="001E31E8">
        <w:t xml:space="preserve"> the current maximum </w:t>
      </w:r>
      <w:r w:rsidR="004005C6">
        <w:t xml:space="preserve">non-cash payment </w:t>
      </w:r>
      <w:r w:rsidR="001E31E8">
        <w:t>surcharge</w:t>
      </w:r>
      <w:r w:rsidR="003E3551">
        <w:t>s</w:t>
      </w:r>
      <w:r w:rsidR="001E31E8">
        <w:t>. We used a similar benchmarking approach in our 2019 and 2022 reviews.</w:t>
      </w:r>
    </w:p>
    <w:p w14:paraId="5D810392" w14:textId="7C1E4866" w:rsidR="001E31E8" w:rsidRDefault="001E31E8" w:rsidP="001E31E8">
      <w:r>
        <w:t xml:space="preserve">Benchmarking uses information on prices or costs from comparable markets to assess the reasonable cost of processing </w:t>
      </w:r>
      <w:r w:rsidR="00F721F2">
        <w:t>non</w:t>
      </w:r>
      <w:r w:rsidR="00F721F2">
        <w:noBreakHyphen/>
        <w:t>cash</w:t>
      </w:r>
      <w:r>
        <w:t xml:space="preserve"> payments. We consider that payment terminals on offer to small businesses from banks and merchant aggregators in Australia are an appropriate benchmark for the reasonable cost of processing </w:t>
      </w:r>
      <w:r w:rsidR="00F721F2">
        <w:t>non</w:t>
      </w:r>
      <w:r w:rsidR="00F721F2">
        <w:noBreakHyphen/>
        <w:t>cash</w:t>
      </w:r>
      <w:r>
        <w:t xml:space="preserve"> payments for the typical taxi in Victoria.</w:t>
      </w:r>
    </w:p>
    <w:p w14:paraId="08E408A2" w14:textId="278627A1" w:rsidR="001E31E8" w:rsidRDefault="001E31E8" w:rsidP="001E31E8">
      <w:r>
        <w:t xml:space="preserve">In our benchmarking we looked at the fees and charges that may apply to small businesses </w:t>
      </w:r>
      <w:r w:rsidR="009E29FA">
        <w:t xml:space="preserve">for the </w:t>
      </w:r>
      <w:r>
        <w:t>processing of $3,250</w:t>
      </w:r>
      <w:r w:rsidR="00F721F2">
        <w:t> </w:t>
      </w:r>
      <w:r w:rsidR="006857DD">
        <w:t>in non</w:t>
      </w:r>
      <w:r w:rsidR="006857DD">
        <w:noBreakHyphen/>
        <w:t xml:space="preserve">cash payments </w:t>
      </w:r>
      <w:r w:rsidR="00F721F2">
        <w:t>per </w:t>
      </w:r>
      <w:r>
        <w:t xml:space="preserve">month (similar to the </w:t>
      </w:r>
      <w:r w:rsidR="00D41D35">
        <w:t xml:space="preserve">non-cash </w:t>
      </w:r>
      <w:r>
        <w:t xml:space="preserve">revenue of the typical taxi) and the implied surcharge these small businesses would need to apply to recover these costs. We have tailored our benchmarking to the taxi industry in Victoria to ensure it is comparable with taxi </w:t>
      </w:r>
      <w:r w:rsidR="00F721F2">
        <w:t>non</w:t>
      </w:r>
      <w:r w:rsidR="00F721F2">
        <w:noBreakHyphen/>
        <w:t>cash</w:t>
      </w:r>
      <w:r>
        <w:t xml:space="preserve"> payment surcharges. Our benchmarking does not include the costs of issuing payment instruments.</w:t>
      </w:r>
    </w:p>
    <w:p w14:paraId="2F2BE0D5" w14:textId="3523F8ED" w:rsidR="001E31E8" w:rsidRDefault="001E31E8" w:rsidP="001E31E8">
      <w:r>
        <w:t xml:space="preserve">Our benchmarking suggests that it would be possible for a small business using two payment terminals to process </w:t>
      </w:r>
      <w:r w:rsidR="00F721F2">
        <w:t>non</w:t>
      </w:r>
      <w:r w:rsidR="00F721F2">
        <w:noBreakHyphen/>
        <w:t>cash</w:t>
      </w:r>
      <w:r>
        <w:t xml:space="preserve"> payments of $3,250</w:t>
      </w:r>
      <w:r w:rsidR="00F721F2">
        <w:t> per </w:t>
      </w:r>
      <w:r>
        <w:t>month ($1</w:t>
      </w:r>
      <w:r w:rsidR="00D32825">
        <w:t>,</w:t>
      </w:r>
      <w:r>
        <w:t>625</w:t>
      </w:r>
      <w:r w:rsidR="00F721F2">
        <w:t> per </w:t>
      </w:r>
      <w:r>
        <w:t xml:space="preserve">terminal) with a surcharge </w:t>
      </w:r>
      <w:r w:rsidRPr="004F19D4">
        <w:t>between 1.8</w:t>
      </w:r>
      <w:r w:rsidR="00F721F2" w:rsidRPr="004F19D4">
        <w:t> per </w:t>
      </w:r>
      <w:r w:rsidRPr="004F19D4">
        <w:t>cent and 3.6</w:t>
      </w:r>
      <w:r w:rsidR="00F721F2" w:rsidRPr="004F19D4">
        <w:t> per</w:t>
      </w:r>
      <w:r w:rsidR="00F721F2">
        <w:t> </w:t>
      </w:r>
      <w:r>
        <w:t>cent.</w:t>
      </w:r>
    </w:p>
    <w:p w14:paraId="415D04C6" w14:textId="0D9C7913" w:rsidR="001E31E8" w:rsidRDefault="001E31E8" w:rsidP="001E31E8">
      <w:r>
        <w:t xml:space="preserve">This </w:t>
      </w:r>
      <w:r w:rsidR="00E8518B">
        <w:t>A</w:t>
      </w:r>
      <w:r>
        <w:t xml:space="preserve">ppendix contains our analysis of benchmark costs for </w:t>
      </w:r>
      <w:r w:rsidR="00F721F2">
        <w:t>non</w:t>
      </w:r>
      <w:r w:rsidR="00F721F2">
        <w:noBreakHyphen/>
        <w:t>cash</w:t>
      </w:r>
      <w:r>
        <w:t xml:space="preserve"> payment services on offer to small businesses across the </w:t>
      </w:r>
      <w:r w:rsidR="00D32825">
        <w:t xml:space="preserve">broader </w:t>
      </w:r>
      <w:r>
        <w:t xml:space="preserve">Australian economy. All figures presented in this </w:t>
      </w:r>
      <w:r w:rsidR="00D03189">
        <w:t>A</w:t>
      </w:r>
      <w:r w:rsidR="00D32825">
        <w:t xml:space="preserve">ppendix </w:t>
      </w:r>
      <w:r>
        <w:t xml:space="preserve">are inclusive of GST. </w:t>
      </w:r>
    </w:p>
    <w:p w14:paraId="288CFF04" w14:textId="3A3ACF41" w:rsidR="001E31E8" w:rsidRDefault="001E31E8" w:rsidP="00C17519">
      <w:pPr>
        <w:pStyle w:val="Heading2"/>
      </w:pPr>
      <w:bookmarkStart w:id="246" w:name="_Toc174692697"/>
      <w:r>
        <w:t xml:space="preserve">How we estimated the reasonable cost of processing </w:t>
      </w:r>
      <w:r w:rsidR="00F721F2">
        <w:t>non</w:t>
      </w:r>
      <w:r w:rsidR="00F721F2">
        <w:noBreakHyphen/>
        <w:t>cash</w:t>
      </w:r>
      <w:r>
        <w:t xml:space="preserve"> payments</w:t>
      </w:r>
      <w:bookmarkEnd w:id="246"/>
      <w:r>
        <w:t xml:space="preserve"> </w:t>
      </w:r>
    </w:p>
    <w:p w14:paraId="4420032F" w14:textId="48A0027D" w:rsidR="001E31E8" w:rsidRDefault="001E31E8" w:rsidP="00C17519">
      <w:pPr>
        <w:keepNext/>
        <w:keepLines/>
      </w:pPr>
      <w:r>
        <w:t xml:space="preserve">We used publicly available offers for payment terminals and revenue data from taxi payment processors to estimate the implied surcharge that small businesses would need to recover the costs of processing </w:t>
      </w:r>
      <w:r w:rsidR="00F721F2">
        <w:t>non</w:t>
      </w:r>
      <w:r w:rsidR="00F721F2">
        <w:noBreakHyphen/>
        <w:t>cash</w:t>
      </w:r>
      <w:r>
        <w:t xml:space="preserve"> payments of $3,250</w:t>
      </w:r>
      <w:r w:rsidR="00F721F2">
        <w:t> per </w:t>
      </w:r>
      <w:r>
        <w:t xml:space="preserve">month. Our benchmarking </w:t>
      </w:r>
      <w:r w:rsidR="00D32825">
        <w:t xml:space="preserve">analysis </w:t>
      </w:r>
      <w:r w:rsidR="00AF433A">
        <w:t>is</w:t>
      </w:r>
      <w:r>
        <w:t xml:space="preserve"> explained</w:t>
      </w:r>
      <w:r w:rsidR="00AF433A">
        <w:t xml:space="preserve"> in detail</w:t>
      </w:r>
      <w:r>
        <w:t xml:space="preserve"> below.</w:t>
      </w:r>
    </w:p>
    <w:p w14:paraId="1B270DE6" w14:textId="77777777" w:rsidR="001E31E8" w:rsidRDefault="001E31E8" w:rsidP="001E31E8">
      <w:pPr>
        <w:pStyle w:val="Heading3"/>
      </w:pPr>
      <w:bookmarkStart w:id="247" w:name="_Toc166654723"/>
      <w:bookmarkStart w:id="248" w:name="_Toc166662278"/>
      <w:bookmarkStart w:id="249" w:name="_Toc166669842"/>
      <w:bookmarkStart w:id="250" w:name="_Toc166678907"/>
      <w:bookmarkStart w:id="251" w:name="_Toc167345862"/>
      <w:bookmarkStart w:id="252" w:name="_Toc167346556"/>
      <w:bookmarkStart w:id="253" w:name="_Toc167780354"/>
      <w:bookmarkStart w:id="254" w:name="_Toc173691432"/>
      <w:bookmarkStart w:id="255" w:name="_Toc174692698"/>
      <w:r>
        <w:t>We have used EFTPOS terminals in our benchmarking</w:t>
      </w:r>
      <w:bookmarkEnd w:id="247"/>
      <w:bookmarkEnd w:id="248"/>
      <w:bookmarkEnd w:id="249"/>
      <w:bookmarkEnd w:id="250"/>
      <w:bookmarkEnd w:id="251"/>
      <w:bookmarkEnd w:id="252"/>
      <w:bookmarkEnd w:id="253"/>
      <w:bookmarkEnd w:id="254"/>
      <w:bookmarkEnd w:id="255"/>
    </w:p>
    <w:p w14:paraId="444CF2A4" w14:textId="2DC8B995" w:rsidR="001E31E8" w:rsidRDefault="001E31E8" w:rsidP="001E31E8">
      <w:r>
        <w:t xml:space="preserve">There is a range of products available to small businesses for processing </w:t>
      </w:r>
      <w:r w:rsidR="00F721F2">
        <w:t>non</w:t>
      </w:r>
      <w:r w:rsidR="00F721F2">
        <w:noBreakHyphen/>
        <w:t>cash</w:t>
      </w:r>
      <w:r>
        <w:t xml:space="preserve"> payments including EFTPOS terminals</w:t>
      </w:r>
      <w:r w:rsidR="00EE202D">
        <w:t xml:space="preserve">, </w:t>
      </w:r>
      <w:r>
        <w:t>mobile point of sale (mPOS) terminals</w:t>
      </w:r>
      <w:r w:rsidR="00EE202D">
        <w:t xml:space="preserve"> and tap to phone services</w:t>
      </w:r>
      <w:r>
        <w:t>.</w:t>
      </w:r>
    </w:p>
    <w:p w14:paraId="57055F5C" w14:textId="4D241492" w:rsidR="001E31E8" w:rsidRDefault="001E31E8" w:rsidP="001E31E8">
      <w:r>
        <w:lastRenderedPageBreak/>
        <w:t xml:space="preserve">An EFTPOS terminal is a standalone terminal, while an mPOS terminal is a card reader which connects to a smartphone or tablet to process </w:t>
      </w:r>
      <w:r w:rsidR="00F721F2">
        <w:t>non</w:t>
      </w:r>
      <w:r w:rsidR="00F721F2">
        <w:noBreakHyphen/>
        <w:t>cash</w:t>
      </w:r>
      <w:r>
        <w:t xml:space="preserve"> payments. </w:t>
      </w:r>
      <w:r w:rsidR="00AD6C84">
        <w:t>To use an mPOS</w:t>
      </w:r>
      <w:r w:rsidR="001C05C1">
        <w:t xml:space="preserve"> terminal</w:t>
      </w:r>
      <w:r w:rsidR="00AD6C84">
        <w:t>, t</w:t>
      </w:r>
      <w:r>
        <w:t>he merchant downloads an app on their smartphone or tablet</w:t>
      </w:r>
      <w:r w:rsidR="00533837">
        <w:t>.</w:t>
      </w:r>
      <w:r>
        <w:t xml:space="preserve"> </w:t>
      </w:r>
      <w:r w:rsidR="00533837">
        <w:t xml:space="preserve">The app </w:t>
      </w:r>
      <w:r w:rsidR="00352837">
        <w:t>allows the merchant</w:t>
      </w:r>
      <w:r>
        <w:t xml:space="preserve"> to manage transactions and receipts</w:t>
      </w:r>
      <w:r w:rsidR="00A721BA">
        <w:t>, which</w:t>
      </w:r>
      <w:r w:rsidR="00D434E8">
        <w:t xml:space="preserve"> </w:t>
      </w:r>
      <w:r w:rsidR="00C84258">
        <w:t>may be sent via email or SMS or printed via a Bluetooth printer</w:t>
      </w:r>
      <w:r>
        <w:t xml:space="preserve">. </w:t>
      </w:r>
      <w:r w:rsidR="00EE202D">
        <w:t>T</w:t>
      </w:r>
      <w:r w:rsidR="0064306F">
        <w:t xml:space="preserve">ap to phone services </w:t>
      </w:r>
      <w:r w:rsidR="00EE202D">
        <w:t>a</w:t>
      </w:r>
      <w:r w:rsidR="0064306F">
        <w:t>llow merchants to process non</w:t>
      </w:r>
      <w:r w:rsidR="0064306F">
        <w:noBreakHyphen/>
        <w:t>cash payments using only an app on a phone or tablet.</w:t>
      </w:r>
    </w:p>
    <w:p w14:paraId="042827D7" w14:textId="30260B55" w:rsidR="001E31E8" w:rsidRDefault="001E31E8" w:rsidP="001E31E8">
      <w:r>
        <w:t xml:space="preserve">There are some differences in features between EFTPOS and mPOS terminals. For example, most mPOS terminals do not allow automatic surcharging. This could be problematic </w:t>
      </w:r>
      <w:r w:rsidR="007B7C25">
        <w:t xml:space="preserve">for a taxi driver </w:t>
      </w:r>
      <w:r>
        <w:t xml:space="preserve">because if </w:t>
      </w:r>
      <w:r w:rsidR="007B7C25">
        <w:t>they</w:t>
      </w:r>
      <w:r>
        <w:t xml:space="preserve"> were to use an mPOS terminal they would need to manually calculate the surcharge each time they used the terminal. This would be time consuming, potentially inaccurate and could introduce opportunities for fraud. </w:t>
      </w:r>
    </w:p>
    <w:p w14:paraId="0D55AFB9" w14:textId="759821ED" w:rsidR="002B3B6E" w:rsidRDefault="001E31E8" w:rsidP="001E31E8">
      <w:r>
        <w:t xml:space="preserve">We consider EFTPOS terminals to be more comparable to the </w:t>
      </w:r>
      <w:r w:rsidR="00E42A50">
        <w:t xml:space="preserve">majority of </w:t>
      </w:r>
      <w:r w:rsidR="009814BC">
        <w:t xml:space="preserve">payment </w:t>
      </w:r>
      <w:r>
        <w:t>terminals used in taxis and we have used</w:t>
      </w:r>
      <w:r w:rsidR="00D052FF">
        <w:t xml:space="preserve"> the cost of</w:t>
      </w:r>
      <w:r>
        <w:t xml:space="preserve"> EFTPOS terminals as the benchmark for the reasonable cost of processing </w:t>
      </w:r>
      <w:r w:rsidR="00F721F2">
        <w:t>non</w:t>
      </w:r>
      <w:r w:rsidR="00F721F2">
        <w:noBreakHyphen/>
        <w:t>cash</w:t>
      </w:r>
      <w:r>
        <w:t xml:space="preserve"> payments</w:t>
      </w:r>
      <w:r w:rsidR="0012363B">
        <w:t xml:space="preserve"> (for most payment methods)</w:t>
      </w:r>
      <w:r>
        <w:t>.</w:t>
      </w:r>
      <w:r w:rsidR="00BF4885">
        <w:rPr>
          <w:rStyle w:val="FootnoteReference"/>
        </w:rPr>
        <w:footnoteReference w:id="85"/>
      </w:r>
      <w:r>
        <w:t xml:space="preserve"> </w:t>
      </w:r>
      <w:r w:rsidR="00E42A50">
        <w:t xml:space="preserve">However, </w:t>
      </w:r>
      <w:r w:rsidR="009E22CF">
        <w:t xml:space="preserve">given </w:t>
      </w:r>
      <w:r w:rsidR="007122B9">
        <w:t>that some taxi operators do use mPOS terminals</w:t>
      </w:r>
      <w:r w:rsidR="00BC66E9">
        <w:t xml:space="preserve"> despite the potential problems </w:t>
      </w:r>
      <w:r w:rsidR="009F1377">
        <w:t xml:space="preserve">noted above, we have also </w:t>
      </w:r>
      <w:r w:rsidR="0026797B">
        <w:t>benchmarked</w:t>
      </w:r>
      <w:r w:rsidR="009F1377">
        <w:t xml:space="preserve"> </w:t>
      </w:r>
      <w:r w:rsidR="00220741">
        <w:t>the cost of mPOS</w:t>
      </w:r>
      <w:r w:rsidR="008E7433">
        <w:t xml:space="preserve"> </w:t>
      </w:r>
      <w:r w:rsidR="009C7DA3">
        <w:t>terminals</w:t>
      </w:r>
      <w:r w:rsidR="00FD4FFB">
        <w:t xml:space="preserve"> for comparison.</w:t>
      </w:r>
    </w:p>
    <w:p w14:paraId="245DBE2F" w14:textId="2800E418" w:rsidR="001E31E8" w:rsidDel="003D615F" w:rsidRDefault="001E31E8" w:rsidP="001E31E8">
      <w:pPr>
        <w:pStyle w:val="Heading3"/>
      </w:pPr>
      <w:bookmarkStart w:id="256" w:name="_Toc166654724"/>
      <w:bookmarkStart w:id="257" w:name="_Toc166662279"/>
      <w:bookmarkStart w:id="258" w:name="_Toc166669843"/>
      <w:bookmarkStart w:id="259" w:name="_Toc166678908"/>
      <w:bookmarkStart w:id="260" w:name="_Toc167345863"/>
      <w:bookmarkStart w:id="261" w:name="_Toc167346557"/>
      <w:bookmarkStart w:id="262" w:name="_Toc167780355"/>
      <w:bookmarkStart w:id="263" w:name="_Toc173691433"/>
      <w:bookmarkStart w:id="264" w:name="_Toc174692699"/>
      <w:r w:rsidDel="003D615F">
        <w:t>We have assumed multiple payment terminals in our benchmarking</w:t>
      </w:r>
      <w:bookmarkEnd w:id="256"/>
      <w:bookmarkEnd w:id="257"/>
      <w:bookmarkEnd w:id="258"/>
      <w:bookmarkEnd w:id="259"/>
      <w:bookmarkEnd w:id="260"/>
      <w:bookmarkEnd w:id="261"/>
      <w:bookmarkEnd w:id="262"/>
      <w:bookmarkEnd w:id="263"/>
      <w:bookmarkEnd w:id="264"/>
    </w:p>
    <w:p w14:paraId="7C252DAB" w14:textId="15A72119" w:rsidR="007D4D4E" w:rsidRPr="007D4D4E" w:rsidDel="00E17E31" w:rsidRDefault="007D4D4E" w:rsidP="005E2EE5">
      <w:r w:rsidDel="00E17E31">
        <w:t xml:space="preserve">We have heard in this and previous reviews that most taxi drivers choose to have at least a second </w:t>
      </w:r>
      <w:r w:rsidR="00060808">
        <w:t xml:space="preserve">payment </w:t>
      </w:r>
      <w:r w:rsidDel="00E17E31">
        <w:t xml:space="preserve">terminal. They may choose to have an additional terminal as a backup device or due to their relationship with a booking service provider or taxi operator, </w:t>
      </w:r>
      <w:r w:rsidR="00AB4945" w:rsidDel="00E17E31">
        <w:t xml:space="preserve">or because of </w:t>
      </w:r>
      <w:r w:rsidDel="00E17E31">
        <w:t xml:space="preserve">cash flow control, driver incentives and commissions, or other service offerings. </w:t>
      </w:r>
    </w:p>
    <w:p w14:paraId="69922B25" w14:textId="3A49C871" w:rsidR="001E31E8" w:rsidDel="003D615F" w:rsidRDefault="001E31E8" w:rsidP="001E31E8">
      <w:r w:rsidDel="003D615F">
        <w:t xml:space="preserve">We consider that the practice of having multiple terminals increases the cost of </w:t>
      </w:r>
      <w:r w:rsidR="0026221B">
        <w:t xml:space="preserve">facilitating non-cash </w:t>
      </w:r>
      <w:r w:rsidDel="003D615F">
        <w:t xml:space="preserve">payments. The difference between having one terminal or multiple terminals is that with multiple terminals fewer transactions are processed through each terminal. The </w:t>
      </w:r>
      <w:r w:rsidR="00B252A6" w:rsidDel="003D615F">
        <w:t>fixed</w:t>
      </w:r>
      <w:r w:rsidDel="003D615F">
        <w:t xml:space="preserve"> costs of processing </w:t>
      </w:r>
      <w:r w:rsidR="00F721F2" w:rsidDel="003D615F">
        <w:t>non</w:t>
      </w:r>
      <w:r w:rsidR="00F721F2" w:rsidDel="003D615F">
        <w:noBreakHyphen/>
        <w:t>cash</w:t>
      </w:r>
      <w:r w:rsidDel="003D615F">
        <w:t xml:space="preserve"> payments must then be recovered from a smaller number of transactions.</w:t>
      </w:r>
    </w:p>
    <w:p w14:paraId="1653959B" w14:textId="20DF9FC1" w:rsidR="001E31E8" w:rsidRDefault="001E31E8" w:rsidP="001E31E8">
      <w:r>
        <w:t xml:space="preserve">If we </w:t>
      </w:r>
      <w:r w:rsidR="009F33B9">
        <w:t xml:space="preserve">only </w:t>
      </w:r>
      <w:r>
        <w:t xml:space="preserve">allowed for a single terminal in our benchmarking, the benchmark costs overall would be lower. For example, our benchmarking suggests that with a single terminal, it would be possible for a </w:t>
      </w:r>
      <w:r w:rsidRPr="004F19D4">
        <w:t xml:space="preserve">small business to recover the cost of processing </w:t>
      </w:r>
      <w:r w:rsidR="00F721F2" w:rsidRPr="004F19D4">
        <w:t>non</w:t>
      </w:r>
      <w:r w:rsidR="00F721F2" w:rsidRPr="004F19D4">
        <w:noBreakHyphen/>
        <w:t>cash</w:t>
      </w:r>
      <w:r w:rsidRPr="004F19D4">
        <w:t xml:space="preserve"> payments with a surcharge </w:t>
      </w:r>
      <w:r w:rsidR="00877E21">
        <w:t xml:space="preserve">between 1.6 per cent and 2.4 per cent </w:t>
      </w:r>
      <w:r w:rsidR="00BC112C">
        <w:t>(</w:t>
      </w:r>
      <w:r w:rsidRPr="004F19D4">
        <w:t xml:space="preserve">compared to </w:t>
      </w:r>
      <w:r w:rsidR="00BC112C">
        <w:t xml:space="preserve">a range of </w:t>
      </w:r>
      <w:r w:rsidR="00A12195">
        <w:t xml:space="preserve">1.8 per cent and 3.6 </w:t>
      </w:r>
      <w:r w:rsidR="00F721F2" w:rsidRPr="004F19D4">
        <w:t>per</w:t>
      </w:r>
      <w:r w:rsidR="00F721F2">
        <w:t> </w:t>
      </w:r>
      <w:r>
        <w:t>cent with multiple terminals</w:t>
      </w:r>
      <w:r w:rsidR="00A12195">
        <w:t>)</w:t>
      </w:r>
      <w:r>
        <w:t xml:space="preserve">. </w:t>
      </w:r>
    </w:p>
    <w:p w14:paraId="1057F809" w14:textId="790DFDC0" w:rsidR="001E31E8" w:rsidDel="001B446C" w:rsidRDefault="001E31E8" w:rsidP="001E31E8">
      <w:r w:rsidDel="001B446C">
        <w:lastRenderedPageBreak/>
        <w:t>However, we are required to ensure that taxi payment processors can recover the reasonable cost</w:t>
      </w:r>
      <w:r w:rsidR="00C70CC2" w:rsidDel="001B446C">
        <w:t xml:space="preserve"> of accepting and processing non-cash transactions</w:t>
      </w:r>
      <w:r w:rsidDel="001B446C">
        <w:t>, and the information currently available to us suggests that the reasonable cost includes multiple terminals</w:t>
      </w:r>
      <w:r w:rsidR="00AD2D0A" w:rsidDel="001B446C">
        <w:t>.</w:t>
      </w:r>
      <w:r w:rsidDel="001B446C">
        <w:t xml:space="preserve"> </w:t>
      </w:r>
      <w:r w:rsidR="00AD2D0A" w:rsidDel="001B446C">
        <w:t>T</w:t>
      </w:r>
      <w:r w:rsidDel="001B446C">
        <w:t>herefore</w:t>
      </w:r>
      <w:r w:rsidR="00AD2D0A" w:rsidDel="001B446C">
        <w:t>,</w:t>
      </w:r>
      <w:r w:rsidDel="001B446C">
        <w:t xml:space="preserve"> we have accounted for this in our benchmarking. This is consistent with our obligation under section 8A of the </w:t>
      </w:r>
      <w:r w:rsidRPr="0041256B" w:rsidDel="001B446C">
        <w:rPr>
          <w:i/>
        </w:rPr>
        <w:t>Essential Services Commission Act 2001</w:t>
      </w:r>
      <w:r w:rsidDel="001B446C">
        <w:t xml:space="preserve"> to have regard to the degree of and scope for competition within the taxi payments industry. </w:t>
      </w:r>
    </w:p>
    <w:p w14:paraId="021B4695" w14:textId="0CF21678" w:rsidR="00F37AF2" w:rsidRDefault="001E31E8" w:rsidP="001E31E8">
      <w:r w:rsidDel="00E91B8E">
        <w:t xml:space="preserve">If we did not allow for multiple terminals in our benchmarking, a potential consequence might be to limit taxi drivers to </w:t>
      </w:r>
      <w:r w:rsidR="00A629A1">
        <w:t xml:space="preserve">only </w:t>
      </w:r>
      <w:r w:rsidDel="00E91B8E">
        <w:t>using the terminals which by default</w:t>
      </w:r>
      <w:r w:rsidR="007B0853">
        <w:t xml:space="preserve"> are</w:t>
      </w:r>
      <w:r w:rsidDel="00E91B8E">
        <w:t xml:space="preserve"> capable of processing </w:t>
      </w:r>
      <w:r w:rsidR="0026275D">
        <w:t>Multi Purpose Taxi Program (</w:t>
      </w:r>
      <w:r w:rsidDel="00E91B8E">
        <w:t>MPTP</w:t>
      </w:r>
      <w:r w:rsidR="0026275D">
        <w:t>)</w:t>
      </w:r>
      <w:r w:rsidDel="00E91B8E">
        <w:t xml:space="preserve"> subsidies. </w:t>
      </w:r>
      <w:r w:rsidR="00481A4D">
        <w:t xml:space="preserve">At the time of our draft decision, </w:t>
      </w:r>
      <w:r w:rsidDel="00E91B8E">
        <w:t xml:space="preserve">A2B </w:t>
      </w:r>
      <w:r w:rsidR="00773BF6" w:rsidDel="00E91B8E">
        <w:t>supplie</w:t>
      </w:r>
      <w:r w:rsidR="00F23F02">
        <w:t>d</w:t>
      </w:r>
      <w:r w:rsidR="00773BF6" w:rsidDel="00E91B8E">
        <w:t xml:space="preserve"> </w:t>
      </w:r>
      <w:r w:rsidDel="00E91B8E">
        <w:t>MPTP enabled payment terminals to most taxis in Victoria.</w:t>
      </w:r>
      <w:r w:rsidR="00B116C1">
        <w:rPr>
          <w:rStyle w:val="FootnoteReference"/>
        </w:rPr>
        <w:footnoteReference w:id="86"/>
      </w:r>
      <w:r w:rsidDel="00E91B8E">
        <w:t xml:space="preserve"> </w:t>
      </w:r>
      <w:r w:rsidR="00952B6B">
        <w:t xml:space="preserve">Since our draft decision, </w:t>
      </w:r>
      <w:r w:rsidR="00AA20F1">
        <w:t xml:space="preserve">a joint arrangement between </w:t>
      </w:r>
      <w:r w:rsidR="00952B6B">
        <w:t>GM Cabs and Silver</w:t>
      </w:r>
      <w:r w:rsidR="00C93D19">
        <w:t xml:space="preserve"> T</w:t>
      </w:r>
      <w:r w:rsidR="00952B6B">
        <w:t xml:space="preserve">op </w:t>
      </w:r>
      <w:r w:rsidR="00DE34CF">
        <w:t xml:space="preserve">whereby a </w:t>
      </w:r>
      <w:r w:rsidR="00265DA7">
        <w:t xml:space="preserve">GM Cabs payment terminal integrated with </w:t>
      </w:r>
      <w:r w:rsidR="00DE34CF">
        <w:t xml:space="preserve">a </w:t>
      </w:r>
      <w:r w:rsidR="00265DA7">
        <w:t>Silver Top taxi meter</w:t>
      </w:r>
      <w:r w:rsidR="00DE34CF">
        <w:t xml:space="preserve"> has</w:t>
      </w:r>
      <w:r w:rsidR="00952B6B">
        <w:t xml:space="preserve"> also </w:t>
      </w:r>
      <w:r w:rsidR="003710D5">
        <w:t xml:space="preserve">been </w:t>
      </w:r>
      <w:r w:rsidR="00952B6B">
        <w:t xml:space="preserve">approved to </w:t>
      </w:r>
      <w:r w:rsidR="00F45279">
        <w:t>pr</w:t>
      </w:r>
      <w:r w:rsidR="00066D45">
        <w:t>ocess</w:t>
      </w:r>
      <w:r w:rsidR="00F45279">
        <w:t xml:space="preserve"> MPTP trips. </w:t>
      </w:r>
      <w:r w:rsidR="00D953BB">
        <w:t xml:space="preserve">While this arrangement is new and </w:t>
      </w:r>
      <w:r w:rsidR="00BB7412">
        <w:t xml:space="preserve">still being deployed, </w:t>
      </w:r>
      <w:r w:rsidR="00C41403">
        <w:t xml:space="preserve">we expect </w:t>
      </w:r>
      <w:r w:rsidR="00813410">
        <w:t xml:space="preserve">that this arrangement, together with </w:t>
      </w:r>
      <w:r w:rsidR="00991A03">
        <w:t>f</w:t>
      </w:r>
      <w:r w:rsidR="00060A54">
        <w:t>u</w:t>
      </w:r>
      <w:r w:rsidR="00BC68AE">
        <w:t>rther approvals of MPTP</w:t>
      </w:r>
      <w:r w:rsidR="00504CEA">
        <w:t xml:space="preserve"> </w:t>
      </w:r>
      <w:r w:rsidR="006238B0">
        <w:t>processors in future</w:t>
      </w:r>
      <w:r w:rsidR="00D63D08">
        <w:t xml:space="preserve">, </w:t>
      </w:r>
      <w:r w:rsidR="00DE1FA8">
        <w:t>may improve competition</w:t>
      </w:r>
      <w:r w:rsidR="00FA62D9">
        <w:t xml:space="preserve"> amongst payment pro</w:t>
      </w:r>
      <w:r w:rsidR="00DE59E1">
        <w:t xml:space="preserve">cessors. </w:t>
      </w:r>
      <w:r w:rsidR="00F37AF2">
        <w:t xml:space="preserve">However, </w:t>
      </w:r>
      <w:r w:rsidR="00390E5A">
        <w:t xml:space="preserve">there are </w:t>
      </w:r>
      <w:r w:rsidR="00CB2403">
        <w:t xml:space="preserve">currently </w:t>
      </w:r>
      <w:r w:rsidR="00390E5A">
        <w:t xml:space="preserve">some payment </w:t>
      </w:r>
      <w:r w:rsidR="00CF64AF">
        <w:t xml:space="preserve">processors </w:t>
      </w:r>
      <w:r w:rsidR="00BB5377">
        <w:t xml:space="preserve">who </w:t>
      </w:r>
      <w:r w:rsidR="000C4BDA">
        <w:t xml:space="preserve">are not able to process MPTP subsidies and rely on drivers having at least a second terminal to be able to </w:t>
      </w:r>
      <w:r w:rsidR="00860521">
        <w:t>participate in the taxi payment processing market</w:t>
      </w:r>
      <w:r w:rsidR="00CF1867">
        <w:t>.</w:t>
      </w:r>
    </w:p>
    <w:p w14:paraId="19D32D4A" w14:textId="2998B6CE" w:rsidR="001E31E8" w:rsidDel="00E91B8E" w:rsidRDefault="008912E9" w:rsidP="001E31E8">
      <w:r>
        <w:t>Given the changes that are likely to occur</w:t>
      </w:r>
      <w:r w:rsidR="004F0A50">
        <w:t>,</w:t>
      </w:r>
      <w:r w:rsidR="00EC231A">
        <w:t xml:space="preserve"> we </w:t>
      </w:r>
      <w:r>
        <w:t>will</w:t>
      </w:r>
      <w:r w:rsidR="00EC231A">
        <w:t xml:space="preserve"> </w:t>
      </w:r>
      <w:r w:rsidR="003954EC">
        <w:t>need to</w:t>
      </w:r>
      <w:r w:rsidR="00EC231A">
        <w:t xml:space="preserve"> revisit </w:t>
      </w:r>
      <w:r w:rsidR="007B459A">
        <w:t>our</w:t>
      </w:r>
      <w:r w:rsidR="00EC231A">
        <w:t xml:space="preserve"> assumption </w:t>
      </w:r>
      <w:r w:rsidR="007B459A">
        <w:t xml:space="preserve">of multiple terminals </w:t>
      </w:r>
      <w:r w:rsidR="00EC231A">
        <w:t xml:space="preserve">in future reviews. </w:t>
      </w:r>
    </w:p>
    <w:p w14:paraId="4EE866F5" w14:textId="686FB906" w:rsidR="001E31E8" w:rsidDel="00B8642D" w:rsidRDefault="001E31E8" w:rsidP="001E31E8">
      <w:r w:rsidDel="00B8642D">
        <w:t xml:space="preserve">We are also aware that there may </w:t>
      </w:r>
      <w:r w:rsidR="007B459A">
        <w:t>currently</w:t>
      </w:r>
      <w:r w:rsidDel="00B8642D">
        <w:t xml:space="preserve"> be more than two payment terminals in use in each taxi. Many drivers have their own terminal, and often these drivers work in more than one taxi. Additionally, smartphones may also be used as payment terminals in some cases. We note that our benchmarking is based on actual monthly revenue</w:t>
      </w:r>
      <w:r w:rsidR="00F721F2" w:rsidDel="00B8642D">
        <w:t> </w:t>
      </w:r>
      <w:r w:rsidR="00F721F2" w:rsidRPr="00F721F2" w:rsidDel="00B8642D">
        <w:rPr>
          <w:b/>
          <w:bCs/>
        </w:rPr>
        <w:t>per </w:t>
      </w:r>
      <w:r w:rsidRPr="00F721F2" w:rsidDel="00B8642D">
        <w:rPr>
          <w:b/>
          <w:bCs/>
        </w:rPr>
        <w:t>t</w:t>
      </w:r>
      <w:r w:rsidRPr="00F01466" w:rsidDel="00B8642D">
        <w:rPr>
          <w:b/>
          <w:bCs/>
        </w:rPr>
        <w:t>erminal</w:t>
      </w:r>
      <w:r w:rsidDel="00B8642D">
        <w:t xml:space="preserve"> as provided by taxi payment processors in our previous reviews</w:t>
      </w:r>
      <w:r w:rsidR="00340D5D" w:rsidDel="00B8642D">
        <w:t xml:space="preserve"> </w:t>
      </w:r>
      <w:r w:rsidR="00353165" w:rsidDel="00B8642D">
        <w:t>(adjusted by</w:t>
      </w:r>
      <w:r w:rsidR="00340D5D" w:rsidDel="00B8642D">
        <w:t xml:space="preserve"> the change in non-cash payment transactions per terminal from stakeholder submissions</w:t>
      </w:r>
      <w:r w:rsidR="000E52FF" w:rsidDel="00B8642D">
        <w:t>)</w:t>
      </w:r>
      <w:r w:rsidDel="00B8642D">
        <w:t>. This means that if we assumed there were more terminals in the typical taxi, the monthly revenue</w:t>
      </w:r>
      <w:r w:rsidR="00F721F2" w:rsidDel="00B8642D">
        <w:t> per </w:t>
      </w:r>
      <w:r w:rsidDel="00B8642D">
        <w:t xml:space="preserve">terminal would be the same. Only the total </w:t>
      </w:r>
      <w:r w:rsidR="003D031F" w:rsidDel="00B8642D">
        <w:t xml:space="preserve">non-cash </w:t>
      </w:r>
      <w:r w:rsidDel="00B8642D">
        <w:t>revenue for the typical taxi would be higher which would reduce the implied surcharge for our single terminal benchmarking.</w:t>
      </w:r>
    </w:p>
    <w:p w14:paraId="016AE273" w14:textId="133DDE39" w:rsidR="001E31E8" w:rsidRDefault="001E31E8" w:rsidP="001E31E8">
      <w:pPr>
        <w:pStyle w:val="Heading3"/>
      </w:pPr>
      <w:bookmarkStart w:id="265" w:name="_Toc166654725"/>
      <w:bookmarkStart w:id="266" w:name="_Toc166662280"/>
      <w:bookmarkStart w:id="267" w:name="_Toc166669844"/>
      <w:bookmarkStart w:id="268" w:name="_Toc166678909"/>
      <w:bookmarkStart w:id="269" w:name="_Toc167345864"/>
      <w:bookmarkStart w:id="270" w:name="_Toc167346558"/>
      <w:bookmarkStart w:id="271" w:name="_Toc167780356"/>
      <w:bookmarkStart w:id="272" w:name="_Toc173691434"/>
      <w:bookmarkStart w:id="273" w:name="_Toc174692700"/>
      <w:r>
        <w:t xml:space="preserve">We estimated the monthly revenue from </w:t>
      </w:r>
      <w:r w:rsidR="00F721F2">
        <w:t>non</w:t>
      </w:r>
      <w:r w:rsidR="00F721F2">
        <w:noBreakHyphen/>
        <w:t>cash</w:t>
      </w:r>
      <w:r>
        <w:t xml:space="preserve"> payments</w:t>
      </w:r>
      <w:bookmarkEnd w:id="265"/>
      <w:bookmarkEnd w:id="266"/>
      <w:bookmarkEnd w:id="267"/>
      <w:bookmarkEnd w:id="268"/>
      <w:bookmarkEnd w:id="269"/>
      <w:bookmarkEnd w:id="270"/>
      <w:bookmarkEnd w:id="271"/>
      <w:bookmarkEnd w:id="272"/>
      <w:bookmarkEnd w:id="273"/>
    </w:p>
    <w:p w14:paraId="7C7E0FB2" w14:textId="77777777" w:rsidR="001E31E8" w:rsidRDefault="001E31E8" w:rsidP="001E31E8">
      <w:r>
        <w:t>To estimate the monthly revenue for our benchmarking, we used data collected from taxi payment processors in previous reviews and information provided to us by stakeholders in this review.</w:t>
      </w:r>
    </w:p>
    <w:p w14:paraId="1FAEBF4B" w14:textId="3D14759B" w:rsidR="00D240B8" w:rsidRDefault="001E31E8" w:rsidP="001E31E8">
      <w:r>
        <w:lastRenderedPageBreak/>
        <w:t xml:space="preserve">As we have not collected financial data from payment processors for this review, we used the monthly </w:t>
      </w:r>
      <w:r w:rsidR="00E95B22">
        <w:t xml:space="preserve">non-cash </w:t>
      </w:r>
      <w:r>
        <w:t>revenue for the typical taxi from our 2019 review as the starting point.</w:t>
      </w:r>
      <w:r w:rsidR="00F01466">
        <w:rPr>
          <w:rStyle w:val="FootnoteReference"/>
        </w:rPr>
        <w:footnoteReference w:id="87"/>
      </w:r>
      <w:r>
        <w:t xml:space="preserve"> </w:t>
      </w:r>
      <w:r w:rsidR="00746353">
        <w:t xml:space="preserve">We have heard </w:t>
      </w:r>
      <w:r w:rsidR="00D04BD8">
        <w:t>from stakeholders that revenue per</w:t>
      </w:r>
      <w:r w:rsidR="001348CA">
        <w:t xml:space="preserve"> terminal is </w:t>
      </w:r>
      <w:r w:rsidR="001E454D">
        <w:t>below 2019 levels.</w:t>
      </w:r>
      <w:r w:rsidR="00056620">
        <w:t xml:space="preserve"> We do not have data</w:t>
      </w:r>
      <w:r w:rsidR="00EB4319">
        <w:t xml:space="preserve"> for the entire industry on </w:t>
      </w:r>
      <w:r w:rsidR="00A43F99">
        <w:t>the level of change in</w:t>
      </w:r>
      <w:r w:rsidR="00EB4319">
        <w:t xml:space="preserve"> revenue per terminal, but</w:t>
      </w:r>
      <w:r w:rsidR="0027432C">
        <w:t xml:space="preserve"> A2B stated in its submission that</w:t>
      </w:r>
      <w:r w:rsidR="00933884">
        <w:t xml:space="preserve"> </w:t>
      </w:r>
      <w:r w:rsidR="00070FE4">
        <w:t xml:space="preserve">the volume of </w:t>
      </w:r>
      <w:r w:rsidR="00933884">
        <w:t>in-car credit and debit transactions ha</w:t>
      </w:r>
      <w:r w:rsidR="00890C01">
        <w:t>d decreased by 26 per cent between October 2019 and October 2023.</w:t>
      </w:r>
      <w:r w:rsidR="00890C01">
        <w:rPr>
          <w:rStyle w:val="FootnoteReference"/>
        </w:rPr>
        <w:footnoteReference w:id="88"/>
      </w:r>
      <w:r w:rsidR="00EA3464">
        <w:t xml:space="preserve"> Given that A2B</w:t>
      </w:r>
      <w:r w:rsidR="00ED6F67">
        <w:t xml:space="preserve"> </w:t>
      </w:r>
      <w:r w:rsidR="00CD3D8C">
        <w:t>currently</w:t>
      </w:r>
      <w:r w:rsidR="00ED6F67">
        <w:t xml:space="preserve"> supplies the primary </w:t>
      </w:r>
      <w:r w:rsidR="00E811B2">
        <w:t xml:space="preserve">payment </w:t>
      </w:r>
      <w:r w:rsidR="00ED6F67">
        <w:t>terminal for most taxis</w:t>
      </w:r>
      <w:r w:rsidR="00431B28">
        <w:t xml:space="preserve"> in Victoria, and we do not have any other data</w:t>
      </w:r>
      <w:r w:rsidR="006B59D4">
        <w:t xml:space="preserve">, we have reduced the revenue per terminal </w:t>
      </w:r>
      <w:r w:rsidR="00DA69BB">
        <w:t>for our benchmarking</w:t>
      </w:r>
      <w:r w:rsidR="006B59D4">
        <w:t xml:space="preserve"> by 26 per cent.</w:t>
      </w:r>
    </w:p>
    <w:p w14:paraId="0B2D092B" w14:textId="430C91DC" w:rsidR="001E31E8" w:rsidRDefault="001E31E8" w:rsidP="001E31E8">
      <w:r>
        <w:t xml:space="preserve">Based on this, the monthly </w:t>
      </w:r>
      <w:r w:rsidR="00F167E6">
        <w:t xml:space="preserve">non-cash </w:t>
      </w:r>
      <w:r>
        <w:t xml:space="preserve">revenue for the typical taxi in our benchmarking </w:t>
      </w:r>
      <w:r w:rsidR="00071948">
        <w:t xml:space="preserve">analysis </w:t>
      </w:r>
      <w:r>
        <w:t xml:space="preserve">decreased from $4,392 in our 2019 review to $3,250 </w:t>
      </w:r>
      <w:r w:rsidR="009B77FB">
        <w:t>i</w:t>
      </w:r>
      <w:r>
        <w:t>n this review</w:t>
      </w:r>
      <w:r w:rsidR="00562DB0">
        <w:t xml:space="preserve"> (in nominal terms)</w:t>
      </w:r>
      <w:r>
        <w:t>.</w:t>
      </w:r>
    </w:p>
    <w:p w14:paraId="59C56C0B" w14:textId="7977B2D2" w:rsidR="001E31E8" w:rsidRDefault="001E31E8" w:rsidP="001E31E8">
      <w:r>
        <w:t xml:space="preserve">We consider that this is the appropriate </w:t>
      </w:r>
      <w:r w:rsidR="00D95C5E">
        <w:t xml:space="preserve">amount </w:t>
      </w:r>
      <w:r>
        <w:t xml:space="preserve">to use for the monthly revenue in our benchmarking </w:t>
      </w:r>
      <w:r w:rsidR="76B2D197">
        <w:t xml:space="preserve">because </w:t>
      </w:r>
      <w:r>
        <w:t xml:space="preserve">it is specific to taxis in Victoria and </w:t>
      </w:r>
      <w:r w:rsidR="004139AC">
        <w:t xml:space="preserve">reflects </w:t>
      </w:r>
      <w:r>
        <w:t xml:space="preserve">the </w:t>
      </w:r>
      <w:r w:rsidR="1F81FAC2">
        <w:t>latest</w:t>
      </w:r>
      <w:r>
        <w:t xml:space="preserve"> information available to us. </w:t>
      </w:r>
    </w:p>
    <w:p w14:paraId="05CECF65" w14:textId="64F6235F" w:rsidR="001E31E8" w:rsidRDefault="001E31E8" w:rsidP="001E31E8">
      <w:r>
        <w:t xml:space="preserve">We note that, if the monthly </w:t>
      </w:r>
      <w:r w:rsidR="00772F59">
        <w:t xml:space="preserve">non-cash </w:t>
      </w:r>
      <w:r>
        <w:t xml:space="preserve">revenue for a particular taxi is higher or lower than what we have used in our benchmarking, the actual cost of processing </w:t>
      </w:r>
      <w:r w:rsidR="00F721F2">
        <w:t>non</w:t>
      </w:r>
      <w:r w:rsidR="00F721F2">
        <w:noBreakHyphen/>
        <w:t>cash</w:t>
      </w:r>
      <w:r>
        <w:t xml:space="preserve"> payments as a percentage of monthly revenue may be different from our benchmarks.</w:t>
      </w:r>
    </w:p>
    <w:p w14:paraId="69F710A8" w14:textId="44BD6885" w:rsidR="001E31E8" w:rsidRDefault="001E31E8" w:rsidP="001E31E8">
      <w:pPr>
        <w:pStyle w:val="Heading3"/>
      </w:pPr>
      <w:bookmarkStart w:id="274" w:name="_Toc166654726"/>
      <w:bookmarkStart w:id="275" w:name="_Toc166662281"/>
      <w:bookmarkStart w:id="276" w:name="_Toc166669845"/>
      <w:bookmarkStart w:id="277" w:name="_Toc166678910"/>
      <w:bookmarkStart w:id="278" w:name="_Toc167345865"/>
      <w:bookmarkStart w:id="279" w:name="_Toc167346559"/>
      <w:bookmarkStart w:id="280" w:name="_Toc167780357"/>
      <w:bookmarkStart w:id="281" w:name="_Toc173691435"/>
      <w:bookmarkStart w:id="282" w:name="_Toc174692701"/>
      <w:r>
        <w:t xml:space="preserve">We estimated the monthly cost of processing </w:t>
      </w:r>
      <w:r w:rsidR="00F721F2">
        <w:t>non</w:t>
      </w:r>
      <w:r w:rsidR="00F721F2">
        <w:noBreakHyphen/>
        <w:t>cash</w:t>
      </w:r>
      <w:r>
        <w:t xml:space="preserve"> payments</w:t>
      </w:r>
      <w:bookmarkEnd w:id="274"/>
      <w:bookmarkEnd w:id="275"/>
      <w:bookmarkEnd w:id="276"/>
      <w:bookmarkEnd w:id="277"/>
      <w:bookmarkEnd w:id="278"/>
      <w:bookmarkEnd w:id="279"/>
      <w:bookmarkEnd w:id="280"/>
      <w:bookmarkEnd w:id="281"/>
      <w:bookmarkEnd w:id="282"/>
    </w:p>
    <w:p w14:paraId="4646FB5C" w14:textId="3655E54E" w:rsidR="001E31E8" w:rsidRDefault="001E31E8" w:rsidP="001E31E8">
      <w:r>
        <w:t xml:space="preserve">To estimate the monthly cost of processing </w:t>
      </w:r>
      <w:r w:rsidR="00F721F2">
        <w:t>non</w:t>
      </w:r>
      <w:r w:rsidR="00F721F2">
        <w:noBreakHyphen/>
        <w:t>cash</w:t>
      </w:r>
      <w:r>
        <w:t xml:space="preserve"> payments of $3,250 for a small business, we used publicly available information on market offers </w:t>
      </w:r>
      <w:r w:rsidRPr="004F19D4">
        <w:t>from 1</w:t>
      </w:r>
      <w:r w:rsidR="007C49B0" w:rsidRPr="004F19D4">
        <w:t>0</w:t>
      </w:r>
      <w:r w:rsidRPr="004F19D4">
        <w:t xml:space="preserve"> payment</w:t>
      </w:r>
      <w:r>
        <w:t xml:space="preserve"> processors, including banks and merchant aggregators. The</w:t>
      </w:r>
      <w:r w:rsidR="008C0DB6">
        <w:t>se</w:t>
      </w:r>
      <w:r>
        <w:t xml:space="preserve"> market offers include the fees and charges that may apply to a small business </w:t>
      </w:r>
      <w:r w:rsidR="008C0DB6">
        <w:t xml:space="preserve">that </w:t>
      </w:r>
      <w:r>
        <w:t>has an EFTPOS terminal with the payment processor. We</w:t>
      </w:r>
      <w:r w:rsidDel="00D1284B">
        <w:t xml:space="preserve"> </w:t>
      </w:r>
      <w:r w:rsidR="00D1284B">
        <w:t xml:space="preserve">included </w:t>
      </w:r>
      <w:r>
        <w:t xml:space="preserve">these payment processors </w:t>
      </w:r>
      <w:r w:rsidR="00D1284B">
        <w:t xml:space="preserve">in our benchmarking </w:t>
      </w:r>
      <w:r>
        <w:t xml:space="preserve">because: </w:t>
      </w:r>
    </w:p>
    <w:p w14:paraId="2C25DBB4" w14:textId="1C730F8C" w:rsidR="001E31E8" w:rsidRDefault="001E31E8" w:rsidP="001E31E8">
      <w:pPr>
        <w:pStyle w:val="ListBullet"/>
      </w:pPr>
      <w:r>
        <w:t xml:space="preserve">they provide offers to small businesses in Australia processing about $3,250 of </w:t>
      </w:r>
      <w:r w:rsidR="00F721F2">
        <w:t>non</w:t>
      </w:r>
      <w:r w:rsidR="00F721F2">
        <w:noBreakHyphen/>
        <w:t>cash</w:t>
      </w:r>
      <w:r>
        <w:t xml:space="preserve"> payments</w:t>
      </w:r>
      <w:r w:rsidR="00F721F2">
        <w:t> per </w:t>
      </w:r>
      <w:r>
        <w:t xml:space="preserve">month </w:t>
      </w:r>
    </w:p>
    <w:p w14:paraId="436A55B7" w14:textId="7F0280D2" w:rsidR="001E31E8" w:rsidRDefault="001E31E8" w:rsidP="001E31E8">
      <w:pPr>
        <w:pStyle w:val="ListBullet"/>
      </w:pPr>
      <w:r>
        <w:t>information on their fees and charges is publicly available on their websites.</w:t>
      </w:r>
      <w:r w:rsidR="00105446">
        <w:rPr>
          <w:rStyle w:val="FootnoteReference"/>
        </w:rPr>
        <w:footnoteReference w:id="89"/>
      </w:r>
      <w:r>
        <w:t xml:space="preserve">  </w:t>
      </w:r>
    </w:p>
    <w:p w14:paraId="616738B3" w14:textId="3B8736CB" w:rsidR="001E31E8" w:rsidRDefault="001E31E8" w:rsidP="001E31E8">
      <w:r>
        <w:lastRenderedPageBreak/>
        <w:t xml:space="preserve">Some of the fees and charges are fixed and others vary according to the number or value of </w:t>
      </w:r>
      <w:r w:rsidR="00F721F2">
        <w:t>non</w:t>
      </w:r>
      <w:r w:rsidR="00F721F2">
        <w:noBreakHyphen/>
        <w:t>cash</w:t>
      </w:r>
      <w:r>
        <w:t xml:space="preserve"> payment transactions. It is important for us to understand the monthly </w:t>
      </w:r>
      <w:r w:rsidR="00E20F2A">
        <w:t xml:space="preserve">non-cash </w:t>
      </w:r>
      <w:r>
        <w:t>revenue to estimate the variable costs.</w:t>
      </w:r>
    </w:p>
    <w:p w14:paraId="4FF72875" w14:textId="77777777" w:rsidR="001E31E8" w:rsidRDefault="001E31E8" w:rsidP="00530F0D">
      <w:pPr>
        <w:keepNext/>
        <w:keepLines/>
      </w:pPr>
      <w:r>
        <w:t>We used the following fees and charges from the market offers to estimate the monthly cost:</w:t>
      </w:r>
    </w:p>
    <w:p w14:paraId="57D7ECE4" w14:textId="58BE55A1" w:rsidR="001E31E8" w:rsidRDefault="001E31E8" w:rsidP="00530F0D">
      <w:pPr>
        <w:pStyle w:val="ListBullet"/>
        <w:keepNext/>
        <w:keepLines/>
      </w:pPr>
      <w:r>
        <w:t>monthly fee</w:t>
      </w:r>
    </w:p>
    <w:p w14:paraId="11A7BF3F" w14:textId="114EDD45" w:rsidR="001E31E8" w:rsidRDefault="001E31E8" w:rsidP="00530F0D">
      <w:pPr>
        <w:pStyle w:val="ListBullet"/>
        <w:keepNext/>
        <w:keepLines/>
      </w:pPr>
      <w:r>
        <w:t>merchant service fees</w:t>
      </w:r>
    </w:p>
    <w:p w14:paraId="6B60943F" w14:textId="11476AB7" w:rsidR="001E31E8" w:rsidRDefault="001E31E8" w:rsidP="00530F0D">
      <w:pPr>
        <w:pStyle w:val="ListBullet"/>
        <w:keepNext/>
        <w:keepLines/>
      </w:pPr>
      <w:r>
        <w:t>business account fee</w:t>
      </w:r>
    </w:p>
    <w:p w14:paraId="73243636" w14:textId="4D65692B" w:rsidR="001E31E8" w:rsidRDefault="001E31E8" w:rsidP="001E31E8">
      <w:pPr>
        <w:pStyle w:val="ListBullet"/>
      </w:pPr>
      <w:r>
        <w:t>terminal/card reader fee.</w:t>
      </w:r>
    </w:p>
    <w:p w14:paraId="4F40A33D" w14:textId="2E2B7D47" w:rsidR="001E31E8" w:rsidRDefault="001E31E8" w:rsidP="00204C8A">
      <w:r>
        <w:t xml:space="preserve">We included these fees and charges as we consider that they are the main costs associated with processing </w:t>
      </w:r>
      <w:r w:rsidR="00F721F2">
        <w:t>non</w:t>
      </w:r>
      <w:r w:rsidR="00F721F2">
        <w:noBreakHyphen/>
        <w:t>cash</w:t>
      </w:r>
      <w:r>
        <w:t xml:space="preserve"> payments. These fees are explained in more detail below. </w:t>
      </w:r>
    </w:p>
    <w:p w14:paraId="7DC32B1B" w14:textId="77777777" w:rsidR="001E31E8" w:rsidRDefault="001E31E8" w:rsidP="00204C8A">
      <w:pPr>
        <w:pStyle w:val="Heading4"/>
      </w:pPr>
      <w:r>
        <w:t>Monthly fee</w:t>
      </w:r>
    </w:p>
    <w:p w14:paraId="4359A3BE" w14:textId="1D13AF9D" w:rsidR="001E31E8" w:rsidRDefault="001E31E8" w:rsidP="00204C8A">
      <w:r>
        <w:t>The monthly fee is a fixed fee charged</w:t>
      </w:r>
      <w:r w:rsidR="00F721F2">
        <w:t> per </w:t>
      </w:r>
      <w:r>
        <w:t>month. It covers the terminal rental and administrative costs of providing the terminal. Most market offers include terminal rental in this fee, however there are some that include an upfront fee for the purchase of the terminal.</w:t>
      </w:r>
    </w:p>
    <w:p w14:paraId="60EB9074" w14:textId="77777777" w:rsidR="001E31E8" w:rsidRDefault="001E31E8" w:rsidP="00204C8A">
      <w:pPr>
        <w:pStyle w:val="Heading4"/>
      </w:pPr>
      <w:r>
        <w:t>Merchant service fees</w:t>
      </w:r>
    </w:p>
    <w:p w14:paraId="4811A993" w14:textId="4A63D486" w:rsidR="001E31E8" w:rsidRDefault="001E31E8" w:rsidP="00204C8A">
      <w:r>
        <w:t>The merchant service fee is a fee charged</w:t>
      </w:r>
      <w:r w:rsidR="00F721F2">
        <w:t> </w:t>
      </w:r>
      <w:r w:rsidR="00F721F2" w:rsidRPr="00F721F2">
        <w:rPr>
          <w:b/>
          <w:bCs/>
        </w:rPr>
        <w:t>per</w:t>
      </w:r>
      <w:r w:rsidR="00F721F2">
        <w:t> </w:t>
      </w:r>
      <w:r w:rsidRPr="00FE54E8">
        <w:rPr>
          <w:b/>
          <w:bCs/>
        </w:rPr>
        <w:t>transaction</w:t>
      </w:r>
      <w:r>
        <w:t xml:space="preserve">. It is charged by the acquiring entity for processing </w:t>
      </w:r>
      <w:r w:rsidR="00F721F2">
        <w:t>non</w:t>
      </w:r>
      <w:r w:rsidR="00F721F2">
        <w:noBreakHyphen/>
        <w:t>cash</w:t>
      </w:r>
      <w:r>
        <w:t xml:space="preserve"> payments.</w:t>
      </w:r>
    </w:p>
    <w:p w14:paraId="68A35AC5" w14:textId="77777777" w:rsidR="001E31E8" w:rsidRDefault="001E31E8" w:rsidP="00204C8A">
      <w:r>
        <w:t>Most payment processors charge the merchant a percentage of dollar value for each eftpos, Visa and Mastercard transaction. Some charge a flat fee for each eftpos transaction and a percentage of dollar value for each Visa and Mastercard transaction.</w:t>
      </w:r>
    </w:p>
    <w:p w14:paraId="5DDE26C2" w14:textId="46A982EA" w:rsidR="001E31E8" w:rsidRDefault="001E31E8" w:rsidP="00204C8A">
      <w:r>
        <w:t>Typically, the publicly available information on merchant service fees applies to eftpos, Visa and Mastercard transactions only. Other card types such as American Express are often subject to separate pricing, which is not publicly available.</w:t>
      </w:r>
      <w:r w:rsidR="00FE54E8">
        <w:rPr>
          <w:rStyle w:val="FootnoteReference"/>
        </w:rPr>
        <w:footnoteReference w:id="90"/>
      </w:r>
      <w:r>
        <w:t xml:space="preserve"> We have used information from taxi payment processors on merchant service fees for American Express.</w:t>
      </w:r>
      <w:r w:rsidR="0051742E">
        <w:rPr>
          <w:rStyle w:val="FootnoteReference"/>
        </w:rPr>
        <w:footnoteReference w:id="91"/>
      </w:r>
    </w:p>
    <w:p w14:paraId="2E81CF99" w14:textId="72A8423E" w:rsidR="001E31E8" w:rsidRDefault="001E31E8" w:rsidP="00204C8A">
      <w:r>
        <w:t xml:space="preserve">We estimated the share of the value of </w:t>
      </w:r>
      <w:r w:rsidR="00F721F2">
        <w:t>non</w:t>
      </w:r>
      <w:r w:rsidR="00F721F2">
        <w:noBreakHyphen/>
        <w:t>cash</w:t>
      </w:r>
      <w:r>
        <w:t xml:space="preserve"> payments for a typical taxi for each payment type based on information received from taxi payment processors in our 20</w:t>
      </w:r>
      <w:r w:rsidR="002D35F1">
        <w:t>22</w:t>
      </w:r>
      <w:r>
        <w:t xml:space="preserve"> review. These shares are approximately:</w:t>
      </w:r>
    </w:p>
    <w:p w14:paraId="4505E25E" w14:textId="733AC5D5" w:rsidR="001E31E8" w:rsidRDefault="001E31E8" w:rsidP="00204C8A">
      <w:pPr>
        <w:pStyle w:val="ListBullet"/>
      </w:pPr>
      <w:r>
        <w:t xml:space="preserve">eftpos: </w:t>
      </w:r>
      <w:r w:rsidR="002B6CD6">
        <w:t>3</w:t>
      </w:r>
      <w:r>
        <w:t xml:space="preserve"> per</w:t>
      </w:r>
      <w:r w:rsidR="00753879">
        <w:t xml:space="preserve"> </w:t>
      </w:r>
      <w:r>
        <w:t xml:space="preserve">cent </w:t>
      </w:r>
    </w:p>
    <w:p w14:paraId="0DCA1C6C" w14:textId="29A69769" w:rsidR="001E31E8" w:rsidRDefault="001E31E8" w:rsidP="00204C8A">
      <w:pPr>
        <w:pStyle w:val="ListBullet"/>
      </w:pPr>
      <w:r>
        <w:lastRenderedPageBreak/>
        <w:t>Visa/Mastercard: 8</w:t>
      </w:r>
      <w:r w:rsidR="002B6CD6">
        <w:t>8</w:t>
      </w:r>
      <w:r w:rsidR="00F721F2">
        <w:t> per </w:t>
      </w:r>
      <w:r>
        <w:t xml:space="preserve">cent </w:t>
      </w:r>
    </w:p>
    <w:p w14:paraId="5D272809" w14:textId="1ED7DABE" w:rsidR="005C5209" w:rsidRDefault="001E31E8" w:rsidP="00204C8A">
      <w:pPr>
        <w:pStyle w:val="ListBullet"/>
      </w:pPr>
      <w:r>
        <w:t xml:space="preserve">American Express: </w:t>
      </w:r>
      <w:r w:rsidR="002B6CD6">
        <w:t>9</w:t>
      </w:r>
      <w:r w:rsidR="00F721F2">
        <w:t> per </w:t>
      </w:r>
      <w:r>
        <w:t>cent.</w:t>
      </w:r>
      <w:r w:rsidR="00F6637E">
        <w:rPr>
          <w:rStyle w:val="FootnoteReference"/>
        </w:rPr>
        <w:footnoteReference w:id="92"/>
      </w:r>
    </w:p>
    <w:p w14:paraId="71E09282" w14:textId="5E9F5E13" w:rsidR="0021692E" w:rsidRDefault="00EE51AE" w:rsidP="00BA77F4">
      <w:pPr>
        <w:pStyle w:val="Figure-Table-BoxHeading"/>
        <w:keepNext/>
        <w:keepLines/>
        <w:ind w:left="0" w:firstLine="0"/>
      </w:pPr>
      <w:r>
        <w:t xml:space="preserve">Table </w:t>
      </w:r>
      <w:r w:rsidR="008764D4">
        <w:t>F</w:t>
      </w:r>
      <w:r>
        <w:t>.1</w:t>
      </w:r>
      <w:r>
        <w:tab/>
      </w:r>
      <w:r w:rsidR="00260107">
        <w:t xml:space="preserve">Merchant </w:t>
      </w:r>
      <w:r w:rsidR="005C7462">
        <w:t>s</w:t>
      </w:r>
      <w:r w:rsidR="00260107">
        <w:t xml:space="preserve">ervice </w:t>
      </w:r>
      <w:r w:rsidR="005C7462">
        <w:t>f</w:t>
      </w:r>
      <w:r w:rsidR="00260107">
        <w:t>ees</w:t>
      </w:r>
    </w:p>
    <w:tbl>
      <w:tblPr>
        <w:tblStyle w:val="TableGrid"/>
        <w:tblW w:w="0" w:type="auto"/>
        <w:tblLook w:val="04A0" w:firstRow="1" w:lastRow="0" w:firstColumn="1" w:lastColumn="0" w:noHBand="0" w:noVBand="1"/>
      </w:tblPr>
      <w:tblGrid>
        <w:gridCol w:w="4111"/>
        <w:gridCol w:w="5527"/>
      </w:tblGrid>
      <w:tr w:rsidR="00133A30" w14:paraId="07140663" w14:textId="77777777" w:rsidTr="00955ADE">
        <w:trPr>
          <w:cnfStyle w:val="100000000000" w:firstRow="1" w:lastRow="0" w:firstColumn="0" w:lastColumn="0" w:oddVBand="0" w:evenVBand="0" w:oddHBand="0" w:evenHBand="0" w:firstRowFirstColumn="0" w:firstRowLastColumn="0" w:lastRowFirstColumn="0" w:lastRowLastColumn="0"/>
        </w:trPr>
        <w:tc>
          <w:tcPr>
            <w:tcW w:w="4111" w:type="dxa"/>
          </w:tcPr>
          <w:p w14:paraId="11F3D4AF" w14:textId="79FF8368" w:rsidR="00133A30" w:rsidRDefault="00133A30" w:rsidP="00BA77F4">
            <w:pPr>
              <w:pStyle w:val="TableHeading"/>
              <w:keepNext/>
              <w:keepLines/>
            </w:pPr>
            <w:r w:rsidRPr="00427D82">
              <w:t>Merchant service fee type</w:t>
            </w:r>
          </w:p>
        </w:tc>
        <w:tc>
          <w:tcPr>
            <w:tcW w:w="5527" w:type="dxa"/>
          </w:tcPr>
          <w:p w14:paraId="5232EF52" w14:textId="5A6138AC" w:rsidR="00133A30" w:rsidRDefault="00133A30" w:rsidP="00BA77F4">
            <w:pPr>
              <w:pStyle w:val="TableHeading"/>
              <w:keepNext/>
              <w:keepLines/>
            </w:pPr>
            <w:r w:rsidRPr="00427D82">
              <w:t>Method of calculation</w:t>
            </w:r>
          </w:p>
        </w:tc>
      </w:tr>
      <w:tr w:rsidR="009A148B" w14:paraId="1ECD18E8" w14:textId="77777777" w:rsidTr="00955ADE">
        <w:trPr>
          <w:cnfStyle w:val="000000100000" w:firstRow="0" w:lastRow="0" w:firstColumn="0" w:lastColumn="0" w:oddVBand="0" w:evenVBand="0" w:oddHBand="1" w:evenHBand="0" w:firstRowFirstColumn="0" w:firstRowLastColumn="0" w:lastRowFirstColumn="0" w:lastRowLastColumn="0"/>
        </w:trPr>
        <w:tc>
          <w:tcPr>
            <w:tcW w:w="4111" w:type="dxa"/>
          </w:tcPr>
          <w:p w14:paraId="30CB0465" w14:textId="1D30E837" w:rsidR="009A09F0" w:rsidRDefault="009A09F0" w:rsidP="00BA77F4">
            <w:pPr>
              <w:pStyle w:val="TableBody"/>
              <w:keepNext/>
              <w:keepLines/>
              <w:rPr>
                <w:b/>
                <w:vertAlign w:val="superscript"/>
                <w:lang w:val="en-AU"/>
              </w:rPr>
            </w:pPr>
            <w:r w:rsidRPr="17F31E41">
              <w:rPr>
                <w:lang w:val="en-AU"/>
              </w:rPr>
              <w:t>The merchant service fee for eftpos transactions is a flat fee</w:t>
            </w:r>
            <w:r w:rsidR="00F721F2" w:rsidRPr="17F31E41">
              <w:rPr>
                <w:lang w:val="en-AU"/>
              </w:rPr>
              <w:t> per </w:t>
            </w:r>
            <w:r w:rsidRPr="17F31E41">
              <w:rPr>
                <w:lang w:val="en-AU"/>
              </w:rPr>
              <w:t>transaction</w:t>
            </w:r>
            <w:r w:rsidR="008229EF" w:rsidRPr="17F31E41">
              <w:rPr>
                <w:b/>
                <w:vertAlign w:val="superscript"/>
                <w:lang w:val="en-AU"/>
              </w:rPr>
              <w:t>a</w:t>
            </w:r>
          </w:p>
          <w:p w14:paraId="77746357" w14:textId="77777777" w:rsidR="009A09F0" w:rsidRDefault="009A09F0" w:rsidP="00BA77F4">
            <w:pPr>
              <w:pStyle w:val="TableBody"/>
              <w:keepNext/>
              <w:keepLines/>
            </w:pPr>
          </w:p>
          <w:p w14:paraId="2645ACF4" w14:textId="4713F9D7" w:rsidR="009A148B" w:rsidRDefault="009A09F0" w:rsidP="00BA77F4">
            <w:pPr>
              <w:pStyle w:val="TableBody"/>
              <w:keepNext/>
              <w:keepLines/>
            </w:pPr>
            <w:r>
              <w:t>The merchant service fee for Visa, Mastercard and American Express is a percentage fee</w:t>
            </w:r>
          </w:p>
        </w:tc>
        <w:tc>
          <w:tcPr>
            <w:tcW w:w="5527" w:type="dxa"/>
          </w:tcPr>
          <w:p w14:paraId="5F726AE8" w14:textId="77777777" w:rsidR="00697248" w:rsidRDefault="00697248" w:rsidP="00BA77F4">
            <w:pPr>
              <w:pStyle w:val="TableBody"/>
              <w:keepNext/>
              <w:keepLines/>
            </w:pPr>
            <w:r>
              <w:t xml:space="preserve">(a x b) + (c x d) + (e x f) + (g x h) </w:t>
            </w:r>
          </w:p>
          <w:p w14:paraId="437C2105" w14:textId="77777777" w:rsidR="00697248" w:rsidRDefault="00697248" w:rsidP="00BA77F4">
            <w:pPr>
              <w:pStyle w:val="TableBody"/>
              <w:keepNext/>
              <w:keepLines/>
              <w:rPr>
                <w:lang w:val="en-AU"/>
              </w:rPr>
            </w:pPr>
            <w:r w:rsidRPr="17F31E41">
              <w:rPr>
                <w:lang w:val="en-AU"/>
              </w:rPr>
              <w:t>where</w:t>
            </w:r>
          </w:p>
          <w:p w14:paraId="0C0B9563" w14:textId="77777777" w:rsidR="00697248" w:rsidRDefault="00697248" w:rsidP="00BA77F4">
            <w:pPr>
              <w:pStyle w:val="TableBody"/>
              <w:keepNext/>
              <w:keepLines/>
            </w:pPr>
            <w:r w:rsidRPr="17F31E41">
              <w:rPr>
                <w:lang w:val="en-AU"/>
              </w:rPr>
              <w:t>a = number of eftpos transactions</w:t>
            </w:r>
          </w:p>
          <w:p w14:paraId="336E9EE7" w14:textId="77777777" w:rsidR="00697248" w:rsidRDefault="00697248" w:rsidP="00BA77F4">
            <w:pPr>
              <w:pStyle w:val="TableBody"/>
              <w:keepNext/>
              <w:keepLines/>
            </w:pPr>
            <w:r w:rsidRPr="17F31E41">
              <w:rPr>
                <w:lang w:val="en-AU"/>
              </w:rPr>
              <w:t>b = eftpos merchant service fee</w:t>
            </w:r>
          </w:p>
          <w:p w14:paraId="35D2D6A4" w14:textId="77777777" w:rsidR="00697248" w:rsidRDefault="00697248" w:rsidP="00BA77F4">
            <w:pPr>
              <w:pStyle w:val="TableBody"/>
              <w:keepNext/>
              <w:keepLines/>
            </w:pPr>
            <w:r>
              <w:t>c = monthly revenue from Visa transactions</w:t>
            </w:r>
          </w:p>
          <w:p w14:paraId="7481196E" w14:textId="77777777" w:rsidR="00697248" w:rsidRDefault="00697248" w:rsidP="00BA77F4">
            <w:pPr>
              <w:pStyle w:val="TableBody"/>
              <w:keepNext/>
              <w:keepLines/>
            </w:pPr>
            <w:r>
              <w:t>d = Visa merchant service fee</w:t>
            </w:r>
          </w:p>
          <w:p w14:paraId="1C3E0DAD" w14:textId="77777777" w:rsidR="009A148B" w:rsidRDefault="00697248" w:rsidP="00BA77F4">
            <w:pPr>
              <w:pStyle w:val="TableBody"/>
              <w:keepNext/>
              <w:keepLines/>
            </w:pPr>
            <w:r>
              <w:t>e = monthly revenue from Mastercard transactions</w:t>
            </w:r>
          </w:p>
          <w:p w14:paraId="573A8CDB" w14:textId="77777777" w:rsidR="00AC477F" w:rsidRDefault="00AC477F" w:rsidP="00BA77F4">
            <w:pPr>
              <w:pStyle w:val="TableBody"/>
              <w:keepNext/>
              <w:keepLines/>
            </w:pPr>
            <w:r>
              <w:t>f = Mastercard merchant service fee</w:t>
            </w:r>
          </w:p>
          <w:p w14:paraId="7C3A8E83" w14:textId="77777777" w:rsidR="00AC477F" w:rsidRDefault="00AC477F" w:rsidP="00BA77F4">
            <w:pPr>
              <w:pStyle w:val="TableBody"/>
              <w:keepNext/>
              <w:keepLines/>
            </w:pPr>
            <w:r>
              <w:t>g = monthly revenue from American Express transactions</w:t>
            </w:r>
          </w:p>
          <w:p w14:paraId="5A08CDD4" w14:textId="6D7A3970" w:rsidR="00AC477F" w:rsidRDefault="00AC477F" w:rsidP="00BA77F4">
            <w:pPr>
              <w:pStyle w:val="TableBody"/>
              <w:keepNext/>
              <w:keepLines/>
            </w:pPr>
            <w:r>
              <w:t>h = American Express merchant service fee</w:t>
            </w:r>
          </w:p>
        </w:tc>
      </w:tr>
      <w:tr w:rsidR="00AC477F" w14:paraId="1D353FFB" w14:textId="77777777" w:rsidTr="00955ADE">
        <w:trPr>
          <w:cnfStyle w:val="000000010000" w:firstRow="0" w:lastRow="0" w:firstColumn="0" w:lastColumn="0" w:oddVBand="0" w:evenVBand="0" w:oddHBand="0" w:evenHBand="1" w:firstRowFirstColumn="0" w:firstRowLastColumn="0" w:lastRowFirstColumn="0" w:lastRowLastColumn="0"/>
        </w:trPr>
        <w:tc>
          <w:tcPr>
            <w:tcW w:w="4111" w:type="dxa"/>
          </w:tcPr>
          <w:p w14:paraId="2B82456E" w14:textId="357F0495" w:rsidR="00AC477F" w:rsidRPr="00FE124E" w:rsidRDefault="008F4F7C" w:rsidP="00FE124E">
            <w:pPr>
              <w:pStyle w:val="TableBody"/>
            </w:pPr>
            <w:r w:rsidRPr="17F31E41">
              <w:rPr>
                <w:lang w:val="en-AU"/>
              </w:rPr>
              <w:t>The merchant service fee for eftpos, Visa, Mastercard and American Express is a percentage fee</w:t>
            </w:r>
          </w:p>
        </w:tc>
        <w:tc>
          <w:tcPr>
            <w:tcW w:w="5527" w:type="dxa"/>
          </w:tcPr>
          <w:p w14:paraId="55817430" w14:textId="77777777" w:rsidR="00FE124E" w:rsidRPr="00FE124E" w:rsidRDefault="00FE124E" w:rsidP="00FE124E">
            <w:pPr>
              <w:pStyle w:val="TableBody"/>
            </w:pPr>
            <w:r w:rsidRPr="00FE124E">
              <w:t>(k x l) + (c x d) + (e x f) + (g x h)</w:t>
            </w:r>
          </w:p>
          <w:p w14:paraId="62534095" w14:textId="77777777" w:rsidR="00FE124E" w:rsidRPr="00FE124E" w:rsidRDefault="00FE124E" w:rsidP="00FE124E">
            <w:pPr>
              <w:pStyle w:val="TableBody"/>
              <w:rPr>
                <w:lang w:val="en-AU"/>
              </w:rPr>
            </w:pPr>
            <w:r w:rsidRPr="17F31E41">
              <w:rPr>
                <w:lang w:val="en-AU"/>
              </w:rPr>
              <w:t>where</w:t>
            </w:r>
          </w:p>
          <w:p w14:paraId="2EE18A98" w14:textId="77777777" w:rsidR="00FE124E" w:rsidRPr="00FE124E" w:rsidRDefault="00FE124E" w:rsidP="00FE124E">
            <w:pPr>
              <w:pStyle w:val="TableBody"/>
            </w:pPr>
            <w:r w:rsidRPr="17F31E41">
              <w:rPr>
                <w:lang w:val="en-AU"/>
              </w:rPr>
              <w:t>k = monthly revenue from eftpos transactions</w:t>
            </w:r>
          </w:p>
          <w:p w14:paraId="1D8EA35E" w14:textId="77777777" w:rsidR="00FE124E" w:rsidRPr="00FE124E" w:rsidRDefault="00FE124E" w:rsidP="00FE124E">
            <w:pPr>
              <w:pStyle w:val="TableBody"/>
            </w:pPr>
            <w:r w:rsidRPr="17F31E41">
              <w:rPr>
                <w:lang w:val="en-AU"/>
              </w:rPr>
              <w:t>l = eftpos merchant service fee</w:t>
            </w:r>
          </w:p>
          <w:p w14:paraId="041DFED4" w14:textId="77777777" w:rsidR="00FE124E" w:rsidRPr="00FE124E" w:rsidRDefault="00FE124E" w:rsidP="00FE124E">
            <w:pPr>
              <w:pStyle w:val="TableBody"/>
            </w:pPr>
            <w:r w:rsidRPr="00FE124E">
              <w:t>c = monthly revenue from Visa transactions</w:t>
            </w:r>
          </w:p>
          <w:p w14:paraId="0DC5CEE7" w14:textId="77777777" w:rsidR="00FE124E" w:rsidRPr="00FE124E" w:rsidRDefault="00FE124E" w:rsidP="00FE124E">
            <w:pPr>
              <w:pStyle w:val="TableBody"/>
            </w:pPr>
            <w:r w:rsidRPr="00FE124E">
              <w:t>d = Visa merchant service fee</w:t>
            </w:r>
          </w:p>
          <w:p w14:paraId="789F3D1F" w14:textId="77777777" w:rsidR="00FE124E" w:rsidRPr="00FE124E" w:rsidRDefault="00FE124E" w:rsidP="00FE124E">
            <w:pPr>
              <w:pStyle w:val="TableBody"/>
            </w:pPr>
            <w:r w:rsidRPr="00FE124E">
              <w:t>e = monthly revenue from Mastercard transactions</w:t>
            </w:r>
          </w:p>
          <w:p w14:paraId="0FF8B9DD" w14:textId="77777777" w:rsidR="00FE124E" w:rsidRPr="00FE124E" w:rsidRDefault="00FE124E" w:rsidP="00FE124E">
            <w:pPr>
              <w:pStyle w:val="TableBody"/>
            </w:pPr>
            <w:r w:rsidRPr="00FE124E">
              <w:t>f = Mastercard merchant service fee</w:t>
            </w:r>
          </w:p>
          <w:p w14:paraId="53FF0077" w14:textId="77777777" w:rsidR="00FE124E" w:rsidRPr="00FE124E" w:rsidRDefault="00FE124E" w:rsidP="00FE124E">
            <w:pPr>
              <w:pStyle w:val="TableBody"/>
            </w:pPr>
            <w:r w:rsidRPr="00FE124E">
              <w:t>g = monthly revenue from American Express transactions</w:t>
            </w:r>
          </w:p>
          <w:p w14:paraId="78C1C35F" w14:textId="77777777" w:rsidR="00FE124E" w:rsidRPr="00FE124E" w:rsidRDefault="00FE124E" w:rsidP="00FE124E">
            <w:pPr>
              <w:pStyle w:val="TableBody"/>
            </w:pPr>
            <w:r w:rsidRPr="00FE124E">
              <w:t>h = American Express merchant service fee</w:t>
            </w:r>
          </w:p>
          <w:p w14:paraId="3FAE4FB9" w14:textId="77777777" w:rsidR="00AC477F" w:rsidRPr="00FE124E" w:rsidRDefault="00AC477F" w:rsidP="00FE124E">
            <w:pPr>
              <w:pStyle w:val="TableBody"/>
            </w:pPr>
          </w:p>
        </w:tc>
      </w:tr>
    </w:tbl>
    <w:p w14:paraId="6595A3F0" w14:textId="025AC1D8" w:rsidR="008229EF" w:rsidRDefault="008916F4" w:rsidP="008916F4">
      <w:pPr>
        <w:pStyle w:val="Source"/>
        <w:jc w:val="left"/>
      </w:pPr>
      <w:r w:rsidRPr="008916F4">
        <w:rPr>
          <w:b/>
          <w:bCs/>
          <w:vertAlign w:val="superscript"/>
        </w:rPr>
        <w:t>a</w:t>
      </w:r>
      <w:r>
        <w:t> </w:t>
      </w:r>
      <w:r w:rsidRPr="008916F4">
        <w:t>Where the merchant service fee is a flat fee for eftpos transactions, and a percentage of dollar value for other card types, we need to know the number of eftpos transactions and the value of other card type transactions. We requested the number and value of transactions by payment type from taxi payment processors in our 2022 review and have used this information in our analysis.</w:t>
      </w:r>
    </w:p>
    <w:p w14:paraId="170FB4D8" w14:textId="38851C26" w:rsidR="003C2E79" w:rsidRDefault="003C2E79" w:rsidP="00A561B4">
      <w:pPr>
        <w:pStyle w:val="Heading4"/>
      </w:pPr>
      <w:r>
        <w:t>Business account fee</w:t>
      </w:r>
    </w:p>
    <w:p w14:paraId="50998ED2" w14:textId="2E10F973" w:rsidR="003C2E79" w:rsidRDefault="003C2E79" w:rsidP="00A561B4">
      <w:r>
        <w:t>The business account fee is a flat fee charged</w:t>
      </w:r>
      <w:r w:rsidR="00F721F2">
        <w:t> </w:t>
      </w:r>
      <w:r w:rsidR="00F721F2" w:rsidRPr="00F721F2">
        <w:rPr>
          <w:b/>
          <w:bCs/>
        </w:rPr>
        <w:t>per</w:t>
      </w:r>
      <w:r w:rsidR="00F721F2">
        <w:t> </w:t>
      </w:r>
      <w:r w:rsidRPr="003F33B1">
        <w:rPr>
          <w:b/>
          <w:bCs/>
        </w:rPr>
        <w:t>month</w:t>
      </w:r>
      <w:r>
        <w:t xml:space="preserve">. It covers the supply of a bank account for the payment processor to settle funds to and debit fees and charges from the merchant. </w:t>
      </w:r>
    </w:p>
    <w:p w14:paraId="2E08EBA7" w14:textId="77777777" w:rsidR="003C2E79" w:rsidRDefault="003C2E79" w:rsidP="00A561B4">
      <w:r>
        <w:t xml:space="preserve">Generally, payment processors do not require the merchant to hold and settle funds to a business account with them. We have assumed that a small business would choose the lowest cost option </w:t>
      </w:r>
      <w:r>
        <w:lastRenderedPageBreak/>
        <w:t>for a business account. This would usually be a business account with no monthly fee and free online banking.</w:t>
      </w:r>
    </w:p>
    <w:p w14:paraId="27452595" w14:textId="77777777" w:rsidR="003C2E79" w:rsidRDefault="003C2E79" w:rsidP="00A561B4">
      <w:pPr>
        <w:pStyle w:val="Heading4"/>
      </w:pPr>
      <w:r>
        <w:t>Terminal/card reader fee</w:t>
      </w:r>
    </w:p>
    <w:p w14:paraId="6C0C15E9" w14:textId="681594CA" w:rsidR="0021692E" w:rsidRDefault="003C2E79" w:rsidP="00A561B4">
      <w:r>
        <w:t xml:space="preserve">The terminal/card reader fee is a flat fee charged </w:t>
      </w:r>
      <w:r w:rsidRPr="003F33B1">
        <w:rPr>
          <w:b/>
          <w:bCs/>
        </w:rPr>
        <w:t>upfront</w:t>
      </w:r>
      <w:r w:rsidR="00C14BC9">
        <w:rPr>
          <w:b/>
          <w:bCs/>
        </w:rPr>
        <w:t xml:space="preserve"> </w:t>
      </w:r>
      <w:r w:rsidR="00C14BC9" w:rsidRPr="00EB62D6">
        <w:t xml:space="preserve">when a </w:t>
      </w:r>
      <w:r w:rsidR="00746E64" w:rsidRPr="00EB62D6">
        <w:t>payment terminal is supplied</w:t>
      </w:r>
      <w:r w:rsidR="00746E64">
        <w:t xml:space="preserve"> to a merchant</w:t>
      </w:r>
      <w:r>
        <w:t>. It covers the supply of the card reader for mPOS terminals, and in some cases EFTPOS terminals (e.g. Square). To estimate the monthly terminal/card reader fee, we divided the terminal/card reader fee by its useful life in months. Stakeholders have reported that the useful life of a terminal/card reader is usually three years (that is, 36 months).</w:t>
      </w:r>
    </w:p>
    <w:tbl>
      <w:tblPr>
        <w:tblStyle w:val="TableGrid1"/>
        <w:tblW w:w="0" w:type="auto"/>
        <w:tblLook w:val="0480" w:firstRow="0" w:lastRow="0" w:firstColumn="1" w:lastColumn="0" w:noHBand="0" w:noVBand="1"/>
      </w:tblPr>
      <w:tblGrid>
        <w:gridCol w:w="4416"/>
        <w:gridCol w:w="1253"/>
        <w:gridCol w:w="3969"/>
      </w:tblGrid>
      <w:tr w:rsidR="00AC6F4D" w:rsidRPr="00102091" w14:paraId="67208D4D" w14:textId="77777777" w:rsidTr="005B37A4">
        <w:trPr>
          <w:cnfStyle w:val="000000100000" w:firstRow="0" w:lastRow="0" w:firstColumn="0" w:lastColumn="0" w:oddVBand="0" w:evenVBand="0" w:oddHBand="1" w:evenHBand="0" w:firstRowFirstColumn="0" w:firstRowLastColumn="0" w:lastRowFirstColumn="0" w:lastRowLastColumn="0"/>
        </w:trPr>
        <w:tc>
          <w:tcPr>
            <w:tcW w:w="4416" w:type="dxa"/>
          </w:tcPr>
          <w:p w14:paraId="72A33B1D" w14:textId="77777777" w:rsidR="00AC6F4D" w:rsidRPr="00102091" w:rsidRDefault="00AC6F4D">
            <w:pPr>
              <w:rPr>
                <w:rFonts w:ascii="Arial" w:eastAsia="Arial" w:hAnsi="Arial" w:cs="Arial"/>
              </w:rPr>
            </w:pPr>
            <w:r>
              <w:rPr>
                <w:rFonts w:ascii="Arial" w:eastAsia="Arial" w:hAnsi="Arial" w:cs="Arial"/>
              </w:rPr>
              <w:t>Terminal/c</w:t>
            </w:r>
            <w:r w:rsidRPr="00102091">
              <w:rPr>
                <w:rFonts w:ascii="Arial" w:eastAsia="Arial" w:hAnsi="Arial" w:cs="Arial"/>
              </w:rPr>
              <w:t>ard reader fee</w:t>
            </w:r>
          </w:p>
        </w:tc>
        <w:tc>
          <w:tcPr>
            <w:tcW w:w="1253" w:type="dxa"/>
          </w:tcPr>
          <w:p w14:paraId="7B1FAC29" w14:textId="77777777" w:rsidR="00AC6F4D" w:rsidRPr="00102091" w:rsidRDefault="00AC6F4D">
            <w:pPr>
              <w:rPr>
                <w:rFonts w:ascii="Arial" w:eastAsia="Arial" w:hAnsi="Arial" w:cs="Arial"/>
              </w:rPr>
            </w:pPr>
            <w:r w:rsidRPr="00102091">
              <w:rPr>
                <w:rFonts w:ascii="Arial" w:eastAsia="Arial" w:hAnsi="Arial" w:cs="Arial"/>
              </w:rPr>
              <w:t>=</w:t>
            </w:r>
          </w:p>
        </w:tc>
        <w:tc>
          <w:tcPr>
            <w:tcW w:w="3969" w:type="dxa"/>
          </w:tcPr>
          <w:p w14:paraId="091C9F01" w14:textId="77777777" w:rsidR="00AC6F4D" w:rsidRPr="00102091" w:rsidRDefault="00AC6F4D">
            <w:pPr>
              <w:spacing w:before="0" w:line="240" w:lineRule="auto"/>
              <w:rPr>
                <w:rFonts w:ascii="Arial" w:eastAsia="Arial" w:hAnsi="Arial" w:cs="Arial"/>
              </w:rPr>
            </w:pPr>
            <w:r w:rsidRPr="00102091">
              <w:rPr>
                <w:rFonts w:ascii="Arial" w:eastAsia="Arial" w:hAnsi="Arial" w:cs="Arial"/>
              </w:rPr>
              <w:t xml:space="preserve">upfront </w:t>
            </w:r>
            <w:r>
              <w:rPr>
                <w:rFonts w:ascii="Arial" w:eastAsia="Arial" w:hAnsi="Arial" w:cs="Arial"/>
              </w:rPr>
              <w:t>terminal/</w:t>
            </w:r>
            <w:r w:rsidRPr="00102091">
              <w:rPr>
                <w:rFonts w:ascii="Arial" w:eastAsia="Arial" w:hAnsi="Arial" w:cs="Arial"/>
              </w:rPr>
              <w:t>card reader fee</w:t>
            </w:r>
          </w:p>
          <w:p w14:paraId="2A0C9174" w14:textId="77777777" w:rsidR="00AC6F4D" w:rsidRPr="00102091" w:rsidRDefault="00AC6F4D">
            <w:pPr>
              <w:spacing w:before="0" w:line="240" w:lineRule="auto"/>
              <w:rPr>
                <w:rFonts w:ascii="Arial" w:eastAsia="Arial" w:hAnsi="Arial" w:cs="Arial"/>
              </w:rPr>
            </w:pPr>
            <w:r w:rsidRPr="00102091">
              <w:rPr>
                <w:rFonts w:ascii="Arial" w:eastAsia="Arial" w:hAnsi="Arial" w:cs="Arial"/>
              </w:rPr>
              <w:t>÷</w:t>
            </w:r>
          </w:p>
          <w:p w14:paraId="3F34C96F" w14:textId="77777777" w:rsidR="00AC6F4D" w:rsidRPr="00102091" w:rsidRDefault="00AC6F4D">
            <w:pPr>
              <w:spacing w:before="0" w:line="240" w:lineRule="auto"/>
              <w:rPr>
                <w:rFonts w:ascii="Arial" w:eastAsia="Arial" w:hAnsi="Arial" w:cs="Arial"/>
              </w:rPr>
            </w:pPr>
            <w:r w:rsidRPr="00102091">
              <w:rPr>
                <w:rFonts w:ascii="Arial" w:eastAsia="Arial" w:hAnsi="Arial" w:cs="Arial"/>
              </w:rPr>
              <w:t>36</w:t>
            </w:r>
          </w:p>
        </w:tc>
      </w:tr>
    </w:tbl>
    <w:p w14:paraId="32897B45" w14:textId="77777777" w:rsidR="005B37A4" w:rsidRDefault="005B37A4" w:rsidP="005B37A4">
      <w:pPr>
        <w:pStyle w:val="Heading4"/>
      </w:pPr>
      <w:r>
        <w:t xml:space="preserve">The monthly cost </w:t>
      </w:r>
    </w:p>
    <w:p w14:paraId="3E51E71B" w14:textId="339F6174" w:rsidR="00A561B4" w:rsidRDefault="005B37A4" w:rsidP="005B37A4">
      <w:r>
        <w:t xml:space="preserve">To estimate the monthly cost of processing </w:t>
      </w:r>
      <w:r w:rsidR="00F721F2">
        <w:t>non</w:t>
      </w:r>
      <w:r w:rsidR="00F721F2">
        <w:noBreakHyphen/>
        <w:t>cash</w:t>
      </w:r>
      <w:r>
        <w:t xml:space="preserve"> payments of $3,250 for a small business, we summed the monthly fee, merchant service fees, business account fee and terminal/card reader fee.</w:t>
      </w:r>
    </w:p>
    <w:tbl>
      <w:tblPr>
        <w:tblStyle w:val="TableGrid1"/>
        <w:tblW w:w="0" w:type="auto"/>
        <w:tblLook w:val="0480" w:firstRow="0" w:lastRow="0" w:firstColumn="1" w:lastColumn="0" w:noHBand="0" w:noVBand="1"/>
      </w:tblPr>
      <w:tblGrid>
        <w:gridCol w:w="4413"/>
        <w:gridCol w:w="1254"/>
        <w:gridCol w:w="3971"/>
      </w:tblGrid>
      <w:tr w:rsidR="00454CF7" w:rsidRPr="00102091" w14:paraId="3DC686AF" w14:textId="77777777" w:rsidTr="004B0918">
        <w:trPr>
          <w:cnfStyle w:val="000000100000" w:firstRow="0" w:lastRow="0" w:firstColumn="0" w:lastColumn="0" w:oddVBand="0" w:evenVBand="0" w:oddHBand="1" w:evenHBand="0" w:firstRowFirstColumn="0" w:firstRowLastColumn="0" w:lastRowFirstColumn="0" w:lastRowLastColumn="0"/>
          <w:trHeight w:val="19"/>
        </w:trPr>
        <w:tc>
          <w:tcPr>
            <w:tcW w:w="4413" w:type="dxa"/>
          </w:tcPr>
          <w:p w14:paraId="5D4564F1" w14:textId="02571661" w:rsidR="00454CF7" w:rsidRPr="00102091" w:rsidRDefault="00454CF7">
            <w:pPr>
              <w:keepNext/>
              <w:rPr>
                <w:rFonts w:ascii="Arial" w:eastAsia="Arial" w:hAnsi="Arial" w:cs="Arial"/>
              </w:rPr>
            </w:pPr>
            <w:r w:rsidRPr="00102091">
              <w:rPr>
                <w:rFonts w:ascii="Arial" w:eastAsia="Arial" w:hAnsi="Arial" w:cs="Arial"/>
              </w:rPr>
              <w:t xml:space="preserve">Monthly cost of processing </w:t>
            </w:r>
            <w:r w:rsidR="00F721F2">
              <w:rPr>
                <w:rFonts w:ascii="Arial" w:eastAsia="Arial" w:hAnsi="Arial" w:cs="Arial"/>
              </w:rPr>
              <w:t>non</w:t>
            </w:r>
            <w:r w:rsidR="00F721F2">
              <w:rPr>
                <w:rFonts w:ascii="Arial" w:eastAsia="Arial" w:hAnsi="Arial" w:cs="Arial"/>
              </w:rPr>
              <w:noBreakHyphen/>
              <w:t>cash</w:t>
            </w:r>
            <w:r w:rsidRPr="00102091">
              <w:rPr>
                <w:rFonts w:ascii="Arial" w:eastAsia="Arial" w:hAnsi="Arial" w:cs="Arial"/>
              </w:rPr>
              <w:t xml:space="preserve"> payments</w:t>
            </w:r>
          </w:p>
        </w:tc>
        <w:tc>
          <w:tcPr>
            <w:tcW w:w="1254" w:type="dxa"/>
          </w:tcPr>
          <w:p w14:paraId="4A3E611E" w14:textId="77777777" w:rsidR="00454CF7" w:rsidRPr="00102091" w:rsidRDefault="00454CF7">
            <w:pPr>
              <w:keepNext/>
              <w:rPr>
                <w:rFonts w:ascii="Arial" w:eastAsia="Arial" w:hAnsi="Arial" w:cs="Arial"/>
              </w:rPr>
            </w:pPr>
            <w:r w:rsidRPr="00102091">
              <w:rPr>
                <w:rFonts w:ascii="Arial" w:eastAsia="Arial" w:hAnsi="Arial" w:cs="Arial"/>
              </w:rPr>
              <w:t>=</w:t>
            </w:r>
          </w:p>
        </w:tc>
        <w:tc>
          <w:tcPr>
            <w:tcW w:w="3971" w:type="dxa"/>
          </w:tcPr>
          <w:p w14:paraId="5620A77F" w14:textId="4D4C4402" w:rsidR="00454CF7" w:rsidRPr="00102091" w:rsidRDefault="00454CF7">
            <w:pPr>
              <w:keepNext/>
              <w:rPr>
                <w:rFonts w:ascii="Arial" w:eastAsia="Arial" w:hAnsi="Arial" w:cs="Arial"/>
                <w:b/>
              </w:rPr>
            </w:pPr>
            <w:r w:rsidRPr="00102091">
              <w:rPr>
                <w:rFonts w:ascii="Arial" w:eastAsia="Arial" w:hAnsi="Arial" w:cs="Arial"/>
              </w:rPr>
              <w:t xml:space="preserve">monthly fee </w:t>
            </w:r>
            <w:r w:rsidRPr="00102091">
              <w:rPr>
                <w:rFonts w:ascii="Arial" w:eastAsia="Arial" w:hAnsi="Arial" w:cs="Arial"/>
              </w:rPr>
              <w:br/>
              <w:t xml:space="preserve">+ merchant service fees </w:t>
            </w:r>
            <w:r w:rsidRPr="00102091">
              <w:rPr>
                <w:rFonts w:ascii="Arial" w:eastAsia="Arial" w:hAnsi="Arial" w:cs="Arial"/>
              </w:rPr>
              <w:br/>
              <w:t xml:space="preserve">+ business account fee </w:t>
            </w:r>
            <w:r w:rsidRPr="00102091">
              <w:rPr>
                <w:rFonts w:ascii="Arial" w:eastAsia="Arial" w:hAnsi="Arial" w:cs="Arial"/>
              </w:rPr>
              <w:br/>
              <w:t xml:space="preserve">+ </w:t>
            </w:r>
            <w:r>
              <w:rPr>
                <w:rFonts w:ascii="Arial" w:eastAsia="Arial" w:hAnsi="Arial" w:cs="Arial"/>
              </w:rPr>
              <w:t>terminal/</w:t>
            </w:r>
            <w:r w:rsidRPr="00102091">
              <w:rPr>
                <w:rFonts w:ascii="Arial" w:eastAsia="Arial" w:hAnsi="Arial" w:cs="Arial"/>
              </w:rPr>
              <w:t>card reader fee</w:t>
            </w:r>
            <w:r w:rsidR="00F62CAE" w:rsidRPr="00F62CAE">
              <w:rPr>
                <w:rFonts w:ascii="Arial" w:eastAsia="Arial" w:hAnsi="Arial" w:cs="Arial"/>
                <w:b/>
                <w:bCs/>
                <w:vertAlign w:val="superscript"/>
              </w:rPr>
              <w:t>a</w:t>
            </w:r>
          </w:p>
        </w:tc>
      </w:tr>
    </w:tbl>
    <w:p w14:paraId="04F05DDD" w14:textId="023ED3FC" w:rsidR="00F62CAE" w:rsidRDefault="00F62CAE" w:rsidP="00F62CAE">
      <w:pPr>
        <w:pStyle w:val="Source"/>
        <w:jc w:val="left"/>
      </w:pPr>
      <w:r w:rsidRPr="00F62CAE">
        <w:rPr>
          <w:b/>
          <w:bCs/>
          <w:vertAlign w:val="superscript"/>
        </w:rPr>
        <w:t>a</w:t>
      </w:r>
      <w:r>
        <w:t> </w:t>
      </w:r>
      <w:r w:rsidRPr="00F62CAE">
        <w:t>Generally, the card reader fee applies to mPOS terminals only. However, Square and Zeller have an upfront fee for the EFTPOS terminal, so this has been included in the terminal/card reader fee.</w:t>
      </w:r>
    </w:p>
    <w:p w14:paraId="61A931B4" w14:textId="0EFC63CD" w:rsidR="004B0918" w:rsidDel="0033352C" w:rsidRDefault="004B0918" w:rsidP="004B0918">
      <w:pPr>
        <w:pStyle w:val="Heading4"/>
      </w:pPr>
      <w:r w:rsidDel="0033352C">
        <w:t>We do not have sufficient information to include chargeback fees</w:t>
      </w:r>
    </w:p>
    <w:p w14:paraId="32E4AEB1" w14:textId="69144BDD" w:rsidR="004B0918" w:rsidDel="0033352C" w:rsidRDefault="004B0918" w:rsidP="004B0918">
      <w:r w:rsidDel="0033352C">
        <w:t>In its submission</w:t>
      </w:r>
      <w:r w:rsidR="003F1214">
        <w:t>s</w:t>
      </w:r>
      <w:r w:rsidDel="0033352C">
        <w:t xml:space="preserve">, GM Cabs noted that </w:t>
      </w:r>
      <w:r w:rsidR="003F1214">
        <w:t xml:space="preserve">our benchmarking analysis does not </w:t>
      </w:r>
      <w:r w:rsidR="00A60FCF">
        <w:t>consider</w:t>
      </w:r>
      <w:r w:rsidR="003F1214">
        <w:t xml:space="preserve"> the cost of chargebacks</w:t>
      </w:r>
      <w:r w:rsidDel="0033352C">
        <w:t>.</w:t>
      </w:r>
      <w:r w:rsidR="002622DC" w:rsidDel="0033352C">
        <w:rPr>
          <w:rStyle w:val="FootnoteReference"/>
        </w:rPr>
        <w:footnoteReference w:id="93"/>
      </w:r>
      <w:r w:rsidDel="0033352C">
        <w:t xml:space="preserve"> </w:t>
      </w:r>
    </w:p>
    <w:p w14:paraId="0A0E9026" w14:textId="7A2B3F99" w:rsidR="004B0918" w:rsidDel="0033352C" w:rsidRDefault="004B0918" w:rsidP="004B0918">
      <w:r w:rsidDel="0033352C">
        <w:t>We have not included chargeback fees in the monthly cost as we do not have information on the average number of chargebacks</w:t>
      </w:r>
      <w:r w:rsidR="00F721F2" w:rsidDel="0033352C">
        <w:t> per </w:t>
      </w:r>
      <w:r w:rsidDel="0033352C">
        <w:t xml:space="preserve">terminal to estimate the cost of chargebacks for the typical taxi. The data we have received in previous years suggests that the cost of card fraud in the taxi </w:t>
      </w:r>
      <w:r w:rsidDel="0033352C">
        <w:lastRenderedPageBreak/>
        <w:t xml:space="preserve">payments industry is relatively </w:t>
      </w:r>
      <w:r w:rsidR="02165B73" w:rsidDel="0033352C">
        <w:t>minor</w:t>
      </w:r>
      <w:r w:rsidDel="0033352C">
        <w:t xml:space="preserve"> compared to total costs. Therefore, the impact of including costs associated with chargebacks is unlikely to be material. </w:t>
      </w:r>
    </w:p>
    <w:p w14:paraId="7580F934" w14:textId="12059925" w:rsidR="004247AA" w:rsidRPr="005B3B29" w:rsidRDefault="00DC6B15" w:rsidP="005B3B29">
      <w:pPr>
        <w:pStyle w:val="Heading4"/>
      </w:pPr>
      <w:r w:rsidRPr="005B3B29">
        <w:t xml:space="preserve">Other </w:t>
      </w:r>
      <w:r w:rsidR="00AC1223" w:rsidRPr="005B3B29">
        <w:t>payment processing fees</w:t>
      </w:r>
    </w:p>
    <w:p w14:paraId="6BBCBF18" w14:textId="785056BF" w:rsidR="004B0918" w:rsidRPr="005B3B29" w:rsidRDefault="005B3B29" w:rsidP="004B0918">
      <w:r w:rsidRPr="005B3B29">
        <w:t>There are other fees that may</w:t>
      </w:r>
      <w:r w:rsidR="004B0918" w:rsidRPr="005B3B29">
        <w:t xml:space="preserve"> </w:t>
      </w:r>
      <w:r w:rsidR="00150D16">
        <w:t xml:space="preserve">be </w:t>
      </w:r>
      <w:r w:rsidR="004B0918" w:rsidRPr="005B3B29">
        <w:t>charged by payment processors such as establishment fees, cancellation fees, terminal replacement fees, additional outlet fees and station</w:t>
      </w:r>
      <w:r w:rsidR="00FA3F79" w:rsidRPr="005B3B29">
        <w:t>e</w:t>
      </w:r>
      <w:r w:rsidR="004B0918" w:rsidRPr="005B3B29">
        <w:t>ry costs. We have not included these fees in our benchmarking because:</w:t>
      </w:r>
    </w:p>
    <w:p w14:paraId="42FBEBE3" w14:textId="07ACAE7A" w:rsidR="004B0918" w:rsidRPr="005B3B29" w:rsidRDefault="004B0918" w:rsidP="004B0918">
      <w:pPr>
        <w:pStyle w:val="ListBullet"/>
      </w:pPr>
      <w:r w:rsidRPr="005B3B29">
        <w:t xml:space="preserve">these fees are recovered through separate charges, not standard charges related to processing </w:t>
      </w:r>
      <w:r w:rsidR="00F721F2" w:rsidRPr="005B3B29">
        <w:t>non</w:t>
      </w:r>
      <w:r w:rsidR="00F721F2" w:rsidRPr="005B3B29">
        <w:noBreakHyphen/>
        <w:t>cash</w:t>
      </w:r>
      <w:r w:rsidRPr="005B3B29">
        <w:t xml:space="preserve"> payments </w:t>
      </w:r>
    </w:p>
    <w:p w14:paraId="55953A28" w14:textId="771B63EB" w:rsidR="004B0918" w:rsidRPr="005B3B29" w:rsidRDefault="004B0918" w:rsidP="004B0918">
      <w:pPr>
        <w:pStyle w:val="ListBullet"/>
      </w:pPr>
      <w:r w:rsidRPr="005B3B29">
        <w:t>these fees differ in type and structure between payment processors</w:t>
      </w:r>
    </w:p>
    <w:p w14:paraId="58E4F070" w14:textId="696212F0" w:rsidR="004B0918" w:rsidRPr="005B3B29" w:rsidRDefault="004B0918" w:rsidP="00F76405">
      <w:pPr>
        <w:pStyle w:val="ListBullet"/>
      </w:pPr>
      <w:r w:rsidRPr="005B3B29">
        <w:t>some of these fees are not relevant to taxis and those that are relevant are unlikely to be material.</w:t>
      </w:r>
    </w:p>
    <w:p w14:paraId="61E8E5B5" w14:textId="6393D276" w:rsidR="004B0918" w:rsidRDefault="004B0918" w:rsidP="004B0918">
      <w:pPr>
        <w:pStyle w:val="Heading3"/>
      </w:pPr>
      <w:bookmarkStart w:id="283" w:name="_Toc166654727"/>
      <w:bookmarkStart w:id="284" w:name="_Toc166662282"/>
      <w:bookmarkStart w:id="285" w:name="_Toc166669846"/>
      <w:bookmarkStart w:id="286" w:name="_Toc166678911"/>
      <w:bookmarkStart w:id="287" w:name="_Toc167345866"/>
      <w:bookmarkStart w:id="288" w:name="_Toc167346560"/>
      <w:bookmarkStart w:id="289" w:name="_Toc167780358"/>
      <w:bookmarkStart w:id="290" w:name="_Toc173691436"/>
      <w:bookmarkStart w:id="291" w:name="_Toc174692702"/>
      <w:r>
        <w:t xml:space="preserve">We estimated the implied surcharge that would allow a small business to recover the cost of processing </w:t>
      </w:r>
      <w:r w:rsidR="00F721F2">
        <w:t>non</w:t>
      </w:r>
      <w:r w:rsidR="00F721F2">
        <w:noBreakHyphen/>
        <w:t>cash</w:t>
      </w:r>
      <w:r>
        <w:t xml:space="preserve"> payments</w:t>
      </w:r>
      <w:bookmarkEnd w:id="283"/>
      <w:bookmarkEnd w:id="284"/>
      <w:bookmarkEnd w:id="285"/>
      <w:bookmarkEnd w:id="286"/>
      <w:bookmarkEnd w:id="287"/>
      <w:bookmarkEnd w:id="288"/>
      <w:bookmarkEnd w:id="289"/>
      <w:bookmarkEnd w:id="290"/>
      <w:bookmarkEnd w:id="291"/>
      <w:r>
        <w:t xml:space="preserve">  </w:t>
      </w:r>
    </w:p>
    <w:p w14:paraId="2E6B165B" w14:textId="5F984469" w:rsidR="0021692E" w:rsidRDefault="004B0918" w:rsidP="004B0918">
      <w:r>
        <w:t xml:space="preserve">The implied surcharge is the surcharge that small businesses would need to apply to recover the cost of processing </w:t>
      </w:r>
      <w:r w:rsidR="00F721F2">
        <w:t>non</w:t>
      </w:r>
      <w:r w:rsidR="00F721F2">
        <w:noBreakHyphen/>
        <w:t>cash</w:t>
      </w:r>
      <w:r>
        <w:t xml:space="preserve"> payments of $3,250 (similar to the </w:t>
      </w:r>
      <w:r w:rsidR="004D1B13">
        <w:t xml:space="preserve">non-cash </w:t>
      </w:r>
      <w:r>
        <w:t xml:space="preserve">revenue of the typical taxi). To estimate the implied surcharge, we divided the monthly cost of processing </w:t>
      </w:r>
      <w:r w:rsidR="00F721F2">
        <w:t>non</w:t>
      </w:r>
      <w:r w:rsidR="00F721F2">
        <w:noBreakHyphen/>
        <w:t>cash</w:t>
      </w:r>
      <w:r>
        <w:t xml:space="preserve"> payments by the monthly revenue from </w:t>
      </w:r>
      <w:r w:rsidR="00F721F2">
        <w:t>non</w:t>
      </w:r>
      <w:r w:rsidR="00F721F2">
        <w:noBreakHyphen/>
        <w:t>cash</w:t>
      </w:r>
      <w:r>
        <w:t xml:space="preserve"> payments</w:t>
      </w:r>
      <w:r w:rsidR="00F721F2">
        <w:t> per </w:t>
      </w:r>
      <w:r>
        <w:t>terminal.</w:t>
      </w:r>
    </w:p>
    <w:tbl>
      <w:tblPr>
        <w:tblStyle w:val="TableGrid1"/>
        <w:tblW w:w="0" w:type="auto"/>
        <w:tblLook w:val="0480" w:firstRow="0" w:lastRow="0" w:firstColumn="1" w:lastColumn="0" w:noHBand="0" w:noVBand="1"/>
      </w:tblPr>
      <w:tblGrid>
        <w:gridCol w:w="3440"/>
        <w:gridCol w:w="423"/>
        <w:gridCol w:w="5775"/>
      </w:tblGrid>
      <w:tr w:rsidR="0068338D" w:rsidRPr="00102091" w14:paraId="781CD290" w14:textId="77777777" w:rsidTr="00EB15E0">
        <w:trPr>
          <w:cnfStyle w:val="000000100000" w:firstRow="0" w:lastRow="0" w:firstColumn="0" w:lastColumn="0" w:oddVBand="0" w:evenVBand="0" w:oddHBand="1" w:evenHBand="0" w:firstRowFirstColumn="0" w:firstRowLastColumn="0" w:lastRowFirstColumn="0" w:lastRowLastColumn="0"/>
        </w:trPr>
        <w:tc>
          <w:tcPr>
            <w:tcW w:w="3440" w:type="dxa"/>
          </w:tcPr>
          <w:p w14:paraId="54848F72" w14:textId="77777777" w:rsidR="0068338D" w:rsidRPr="00102091" w:rsidRDefault="0068338D">
            <w:pPr>
              <w:rPr>
                <w:rFonts w:ascii="Arial" w:eastAsia="Arial" w:hAnsi="Arial" w:cs="Arial"/>
              </w:rPr>
            </w:pPr>
            <w:r>
              <w:rPr>
                <w:rFonts w:ascii="Arial" w:eastAsia="Arial" w:hAnsi="Arial" w:cs="Arial"/>
              </w:rPr>
              <w:t>Implied surcharge</w:t>
            </w:r>
            <w:r w:rsidRPr="00102091">
              <w:rPr>
                <w:rFonts w:ascii="Arial" w:eastAsia="Arial" w:hAnsi="Arial" w:cs="Arial"/>
              </w:rPr>
              <w:t xml:space="preserve"> </w:t>
            </w:r>
          </w:p>
        </w:tc>
        <w:tc>
          <w:tcPr>
            <w:tcW w:w="423" w:type="dxa"/>
          </w:tcPr>
          <w:p w14:paraId="7C7FDBE2" w14:textId="77777777" w:rsidR="0068338D" w:rsidRPr="00102091" w:rsidRDefault="0068338D">
            <w:pPr>
              <w:rPr>
                <w:rFonts w:ascii="Arial" w:eastAsia="Arial" w:hAnsi="Arial" w:cs="Arial"/>
              </w:rPr>
            </w:pPr>
            <w:r w:rsidRPr="00102091">
              <w:rPr>
                <w:rFonts w:ascii="Arial" w:eastAsia="Arial" w:hAnsi="Arial" w:cs="Arial"/>
              </w:rPr>
              <w:t>=</w:t>
            </w:r>
          </w:p>
        </w:tc>
        <w:tc>
          <w:tcPr>
            <w:tcW w:w="5775" w:type="dxa"/>
            <w:shd w:val="clear" w:color="auto" w:fill="F2F2F2" w:themeFill="background1" w:themeFillShade="F2"/>
          </w:tcPr>
          <w:p w14:paraId="50235FBE" w14:textId="1D598B34" w:rsidR="0068338D" w:rsidRPr="00102091" w:rsidRDefault="0068338D">
            <w:pPr>
              <w:jc w:val="center"/>
              <w:rPr>
                <w:rFonts w:ascii="Arial" w:eastAsia="Arial" w:hAnsi="Arial" w:cs="Arial"/>
                <w:b/>
              </w:rPr>
            </w:pPr>
            <w:r w:rsidRPr="00102091">
              <w:rPr>
                <w:rFonts w:ascii="Arial" w:eastAsia="Arial" w:hAnsi="Arial" w:cs="Arial"/>
              </w:rPr>
              <w:t xml:space="preserve">monthly cost of processing </w:t>
            </w:r>
            <w:r w:rsidR="00F721F2">
              <w:rPr>
                <w:rFonts w:ascii="Arial" w:eastAsia="Arial" w:hAnsi="Arial" w:cs="Arial"/>
              </w:rPr>
              <w:t>non</w:t>
            </w:r>
            <w:r w:rsidR="00F721F2">
              <w:rPr>
                <w:rFonts w:ascii="Arial" w:eastAsia="Arial" w:hAnsi="Arial" w:cs="Arial"/>
              </w:rPr>
              <w:noBreakHyphen/>
              <w:t>cash</w:t>
            </w:r>
            <w:r w:rsidRPr="00102091">
              <w:rPr>
                <w:rFonts w:ascii="Arial" w:eastAsia="Arial" w:hAnsi="Arial" w:cs="Arial"/>
              </w:rPr>
              <w:t xml:space="preserve"> payments</w:t>
            </w:r>
            <w:r w:rsidRPr="00102091">
              <w:rPr>
                <w:rFonts w:ascii="Arial" w:eastAsia="Arial" w:hAnsi="Arial" w:cs="Arial"/>
              </w:rPr>
              <w:br/>
              <w:t xml:space="preserve"> ÷</w:t>
            </w:r>
            <w:r w:rsidRPr="00102091">
              <w:rPr>
                <w:rFonts w:ascii="Arial" w:eastAsia="Arial" w:hAnsi="Arial" w:cs="Arial"/>
              </w:rPr>
              <w:br/>
              <w:t xml:space="preserve">monthly revenue from </w:t>
            </w:r>
            <w:r w:rsidR="00F721F2">
              <w:rPr>
                <w:rFonts w:ascii="Arial" w:eastAsia="Arial" w:hAnsi="Arial" w:cs="Arial"/>
              </w:rPr>
              <w:t>non</w:t>
            </w:r>
            <w:r w:rsidR="00F721F2">
              <w:rPr>
                <w:rFonts w:ascii="Arial" w:eastAsia="Arial" w:hAnsi="Arial" w:cs="Arial"/>
              </w:rPr>
              <w:noBreakHyphen/>
              <w:t>cash</w:t>
            </w:r>
            <w:r w:rsidRPr="00102091">
              <w:rPr>
                <w:rFonts w:ascii="Arial" w:eastAsia="Arial" w:hAnsi="Arial" w:cs="Arial"/>
              </w:rPr>
              <w:t xml:space="preserve"> payment</w:t>
            </w:r>
            <w:r>
              <w:rPr>
                <w:rFonts w:ascii="Arial" w:eastAsia="Arial" w:hAnsi="Arial" w:cs="Arial"/>
              </w:rPr>
              <w:t>s</w:t>
            </w:r>
            <w:r w:rsidRPr="00102091">
              <w:rPr>
                <w:rFonts w:ascii="Arial" w:eastAsia="Arial" w:hAnsi="Arial" w:cs="Arial"/>
              </w:rPr>
              <w:t xml:space="preserve"> </w:t>
            </w:r>
            <w:r w:rsidR="00F721F2">
              <w:rPr>
                <w:rFonts w:ascii="Arial" w:eastAsia="Arial" w:hAnsi="Arial" w:cs="Arial"/>
              </w:rPr>
              <w:t>−</w:t>
            </w:r>
            <w:r w:rsidRPr="00102091">
              <w:rPr>
                <w:rFonts w:ascii="Arial" w:eastAsia="Arial" w:hAnsi="Arial" w:cs="Arial"/>
              </w:rPr>
              <w:t xml:space="preserve"> 1</w:t>
            </w:r>
          </w:p>
        </w:tc>
      </w:tr>
    </w:tbl>
    <w:p w14:paraId="14E241DF" w14:textId="72E365C9" w:rsidR="00EB15E0" w:rsidRDefault="00EB15E0" w:rsidP="00EB15E0">
      <w:pPr>
        <w:pStyle w:val="Heading3"/>
      </w:pPr>
      <w:bookmarkStart w:id="292" w:name="_Toc166654728"/>
      <w:bookmarkStart w:id="293" w:name="_Toc166662283"/>
      <w:bookmarkStart w:id="294" w:name="_Toc166669847"/>
      <w:bookmarkStart w:id="295" w:name="_Toc166678912"/>
      <w:bookmarkStart w:id="296" w:name="_Toc167345867"/>
      <w:bookmarkStart w:id="297" w:name="_Toc167346561"/>
      <w:bookmarkStart w:id="298" w:name="_Toc167780359"/>
      <w:bookmarkStart w:id="299" w:name="_Toc173691437"/>
      <w:bookmarkStart w:id="300" w:name="_Toc174692703"/>
      <w:r>
        <w:t xml:space="preserve">We considered the cost differences in processing </w:t>
      </w:r>
      <w:r w:rsidR="00F721F2">
        <w:t>non</w:t>
      </w:r>
      <w:r w:rsidR="00F721F2">
        <w:noBreakHyphen/>
        <w:t>cash</w:t>
      </w:r>
      <w:r>
        <w:t xml:space="preserve"> payments in taxis and the broader economy</w:t>
      </w:r>
      <w:bookmarkEnd w:id="292"/>
      <w:bookmarkEnd w:id="293"/>
      <w:bookmarkEnd w:id="294"/>
      <w:bookmarkEnd w:id="295"/>
      <w:bookmarkEnd w:id="296"/>
      <w:bookmarkEnd w:id="297"/>
      <w:bookmarkEnd w:id="298"/>
      <w:bookmarkEnd w:id="299"/>
      <w:bookmarkEnd w:id="300"/>
      <w:r>
        <w:t xml:space="preserve"> </w:t>
      </w:r>
    </w:p>
    <w:p w14:paraId="4705C1DB" w14:textId="7AA90A50" w:rsidR="00EB15E0" w:rsidRDefault="00EB15E0" w:rsidP="00EB15E0">
      <w:r>
        <w:t>In our 2019 review, stakeholders identified some costs that they considered are incurred by payment processors in the taxi industry, but not by payment processors in the broader economy.  These costs included:</w:t>
      </w:r>
    </w:p>
    <w:p w14:paraId="42EAD117" w14:textId="2260A856" w:rsidR="00EB15E0" w:rsidRDefault="0043594F" w:rsidP="00EB15E0">
      <w:pPr>
        <w:pStyle w:val="ListBullet"/>
      </w:pPr>
      <w:r>
        <w:t>m</w:t>
      </w:r>
      <w:r w:rsidR="00EB15E0">
        <w:t>ultiple payment terminals</w:t>
      </w:r>
    </w:p>
    <w:p w14:paraId="456433BA" w14:textId="48D913FA" w:rsidR="00EB15E0" w:rsidRDefault="0043594F" w:rsidP="00EB15E0">
      <w:pPr>
        <w:pStyle w:val="ListBullet"/>
      </w:pPr>
      <w:r>
        <w:t>m</w:t>
      </w:r>
      <w:r w:rsidR="00EB15E0">
        <w:t>obile payment processing</w:t>
      </w:r>
    </w:p>
    <w:p w14:paraId="30212E47" w14:textId="71F1B432" w:rsidR="00EB15E0" w:rsidRDefault="0043594F" w:rsidP="00EB15E0">
      <w:pPr>
        <w:pStyle w:val="ListBullet"/>
      </w:pPr>
      <w:r>
        <w:t>t</w:t>
      </w:r>
      <w:r w:rsidR="00EB15E0">
        <w:t xml:space="preserve">axi </w:t>
      </w:r>
      <w:r w:rsidR="00F721F2">
        <w:t>non</w:t>
      </w:r>
      <w:r w:rsidR="00F721F2">
        <w:noBreakHyphen/>
        <w:t>cash</w:t>
      </w:r>
      <w:r w:rsidR="00EB15E0">
        <w:t xml:space="preserve"> payment surcharge record keeping requirements</w:t>
      </w:r>
      <w:r w:rsidR="00243A17">
        <w:rPr>
          <w:rStyle w:val="FootnoteReference"/>
        </w:rPr>
        <w:footnoteReference w:id="94"/>
      </w:r>
      <w:r w:rsidR="00EB15E0">
        <w:t xml:space="preserve"> </w:t>
      </w:r>
    </w:p>
    <w:p w14:paraId="03F92D1E" w14:textId="7CBFF475" w:rsidR="00EB15E0" w:rsidRDefault="0043594F" w:rsidP="00EB15E0">
      <w:pPr>
        <w:pStyle w:val="ListBullet"/>
      </w:pPr>
      <w:r>
        <w:lastRenderedPageBreak/>
        <w:t>t</w:t>
      </w:r>
      <w:r w:rsidR="00EB15E0">
        <w:t>axi receipt requirements</w:t>
      </w:r>
      <w:r w:rsidR="0030719C">
        <w:rPr>
          <w:rStyle w:val="FootnoteReference"/>
        </w:rPr>
        <w:footnoteReference w:id="95"/>
      </w:r>
      <w:r w:rsidR="00EB15E0">
        <w:t xml:space="preserve"> </w:t>
      </w:r>
    </w:p>
    <w:p w14:paraId="09448AC7" w14:textId="44D8EFAF" w:rsidR="00EB15E0" w:rsidRDefault="0043594F" w:rsidP="00EB15E0">
      <w:pPr>
        <w:pStyle w:val="ListBullet"/>
      </w:pPr>
      <w:r>
        <w:t>i</w:t>
      </w:r>
      <w:r w:rsidR="00EB15E0">
        <w:t>ntegration of payment terminal and taximeter</w:t>
      </w:r>
      <w:r w:rsidR="004B521A">
        <w:rPr>
          <w:rStyle w:val="FootnoteReference"/>
        </w:rPr>
        <w:footnoteReference w:id="96"/>
      </w:r>
      <w:r w:rsidR="00EB15E0">
        <w:t xml:space="preserve"> </w:t>
      </w:r>
    </w:p>
    <w:p w14:paraId="258CB495" w14:textId="350780D6" w:rsidR="00EB15E0" w:rsidRDefault="0043594F" w:rsidP="00EB15E0">
      <w:pPr>
        <w:pStyle w:val="ListBullet"/>
      </w:pPr>
      <w:r>
        <w:t>M</w:t>
      </w:r>
      <w:r w:rsidR="00E02673">
        <w:t>ulti Purpose</w:t>
      </w:r>
      <w:r w:rsidR="00EB15E0">
        <w:t xml:space="preserve"> Taxi Program subsidy processing</w:t>
      </w:r>
      <w:r w:rsidR="002D3C2D">
        <w:rPr>
          <w:rStyle w:val="FootnoteReference"/>
        </w:rPr>
        <w:footnoteReference w:id="97"/>
      </w:r>
      <w:r w:rsidR="00EB15E0">
        <w:t xml:space="preserve"> </w:t>
      </w:r>
    </w:p>
    <w:p w14:paraId="21F88C20" w14:textId="7C169D24" w:rsidR="00EB15E0" w:rsidRDefault="0043594F" w:rsidP="00EB15E0">
      <w:pPr>
        <w:pStyle w:val="ListBullet"/>
      </w:pPr>
      <w:r>
        <w:t>p</w:t>
      </w:r>
      <w:r w:rsidR="00EB15E0">
        <w:t>roviding passenger credit</w:t>
      </w:r>
    </w:p>
    <w:p w14:paraId="572472DA" w14:textId="0773B552" w:rsidR="00EB15E0" w:rsidRDefault="0043594F" w:rsidP="00EB15E0">
      <w:pPr>
        <w:pStyle w:val="ListBullet"/>
      </w:pPr>
      <w:r>
        <w:t>h</w:t>
      </w:r>
      <w:r w:rsidR="00EB15E0">
        <w:t>igh rate of fraud in the taxi payments industry</w:t>
      </w:r>
      <w:r w:rsidR="00A65CBE">
        <w:rPr>
          <w:rStyle w:val="FootnoteReference"/>
        </w:rPr>
        <w:footnoteReference w:id="98"/>
      </w:r>
      <w:r w:rsidR="00EB15E0">
        <w:t xml:space="preserve"> </w:t>
      </w:r>
    </w:p>
    <w:p w14:paraId="2C56FD1F" w14:textId="56046503" w:rsidR="00EB15E0" w:rsidRDefault="0043594F" w:rsidP="00EB15E0">
      <w:pPr>
        <w:pStyle w:val="ListBullet"/>
      </w:pPr>
      <w:r>
        <w:t>h</w:t>
      </w:r>
      <w:r w:rsidR="00EB15E0">
        <w:t>igh transaction costs of dealing with taxi drivers</w:t>
      </w:r>
      <w:r w:rsidR="003433BB">
        <w:rPr>
          <w:rStyle w:val="FootnoteReference"/>
        </w:rPr>
        <w:footnoteReference w:id="99"/>
      </w:r>
      <w:r w:rsidR="00EB15E0">
        <w:t xml:space="preserve"> </w:t>
      </w:r>
    </w:p>
    <w:p w14:paraId="203965A1" w14:textId="194000DA" w:rsidR="00EB15E0" w:rsidRDefault="0043594F" w:rsidP="00EB15E0">
      <w:pPr>
        <w:pStyle w:val="ListBullet"/>
      </w:pPr>
      <w:r>
        <w:t>h</w:t>
      </w:r>
      <w:r w:rsidR="00EB15E0">
        <w:t>igh merchant fees for taxis</w:t>
      </w:r>
    </w:p>
    <w:p w14:paraId="54FCA362" w14:textId="616B28DD" w:rsidR="00EB15E0" w:rsidRDefault="0043594F" w:rsidP="00EB15E0">
      <w:pPr>
        <w:pStyle w:val="ListBullet"/>
      </w:pPr>
      <w:r>
        <w:t>t</w:t>
      </w:r>
      <w:r w:rsidR="00EB15E0">
        <w:t>axi payment processors do not have the scale of other payment processors</w:t>
      </w:r>
    </w:p>
    <w:p w14:paraId="7B14D4E5" w14:textId="188EB92D" w:rsidR="00EB15E0" w:rsidRDefault="0043594F" w:rsidP="00EB15E0">
      <w:pPr>
        <w:pStyle w:val="ListBullet"/>
      </w:pPr>
      <w:r>
        <w:t>h</w:t>
      </w:r>
      <w:r w:rsidR="00EB15E0">
        <w:t>igh churn rate of users of taxi payment terminals.</w:t>
      </w:r>
    </w:p>
    <w:p w14:paraId="69383D6A" w14:textId="6FB7DD1D" w:rsidR="00EB15E0" w:rsidRDefault="0043594F" w:rsidP="00EB15E0">
      <w:pPr>
        <w:pStyle w:val="ListBullet"/>
      </w:pPr>
      <w:r>
        <w:t>i</w:t>
      </w:r>
      <w:r w:rsidR="00EB15E0">
        <w:t>nstallation of terminals.</w:t>
      </w:r>
    </w:p>
    <w:p w14:paraId="6C411983" w14:textId="69603F6C" w:rsidR="00921E98" w:rsidRDefault="00EB15E0" w:rsidP="00EB15E0">
      <w:r>
        <w:t xml:space="preserve">We consider that </w:t>
      </w:r>
      <w:r w:rsidR="00AD101A">
        <w:t>many of these costs are incurred by all payment processors</w:t>
      </w:r>
      <w:r w:rsidR="0010500D">
        <w:t>, including mobile payment processing which is discussed in more detail below</w:t>
      </w:r>
      <w:r w:rsidR="00AD101A">
        <w:t>. W</w:t>
      </w:r>
      <w:r>
        <w:t>e adequately addressed these costs in our 2019 review and have adopted the same considerations for this review.</w:t>
      </w:r>
      <w:r w:rsidR="00F62CAE">
        <w:rPr>
          <w:rStyle w:val="FootnoteReference"/>
        </w:rPr>
        <w:footnoteReference w:id="100"/>
      </w:r>
      <w:r>
        <w:t xml:space="preserve"> This means that the only cost we </w:t>
      </w:r>
      <w:r w:rsidR="00DA6D02">
        <w:t>adjust</w:t>
      </w:r>
      <w:r>
        <w:t xml:space="preserve"> for is multiple payment terminals. It is </w:t>
      </w:r>
      <w:bookmarkStart w:id="301" w:name="_Int_CNTG0r0D"/>
      <w:r>
        <w:t>common practice</w:t>
      </w:r>
      <w:bookmarkEnd w:id="301"/>
      <w:r>
        <w:t xml:space="preserve"> in the taxi industry for taxi drivers to have two payment terminals. For the reasons set out earlier, we have accounted for this in our benchmarking.</w:t>
      </w:r>
    </w:p>
    <w:p w14:paraId="6174AD08" w14:textId="77777777" w:rsidR="00EB15E0" w:rsidRDefault="00EB15E0" w:rsidP="00EB15E0">
      <w:pPr>
        <w:pStyle w:val="Heading4"/>
      </w:pPr>
      <w:r>
        <w:t xml:space="preserve">Mobile payment processing </w:t>
      </w:r>
    </w:p>
    <w:p w14:paraId="541EF794" w14:textId="77777777" w:rsidR="00EB15E0" w:rsidRDefault="00EB15E0" w:rsidP="00EB15E0">
      <w:r>
        <w:t>Mobile payment processing is a common feature of payment terminals used by many small businesses. Our benchmarking includes only EFTPOS terminals with mobile network connectivity. This means that our benchmarking already accounts for the cost of mobility enabled devices.</w:t>
      </w:r>
    </w:p>
    <w:p w14:paraId="430CC347" w14:textId="2A8F330B" w:rsidR="00EB15E0" w:rsidRDefault="00EB15E0" w:rsidP="00EB15E0">
      <w:r>
        <w:t>To the extent that taxi drivers do face cost differences, due to taking payment</w:t>
      </w:r>
      <w:r w:rsidR="00A030E5">
        <w:t>s</w:t>
      </w:r>
      <w:r>
        <w:t xml:space="preserve"> in places where mobile coverage is poor, these costs are not likely to be material. If a payment terminal cannot connect to its mobile network, then it takes payment in offline mode. The consequence of this is that the terminal takes the payment without it being authorised by the issuing bank, </w:t>
      </w:r>
      <w:r w:rsidR="004404BD">
        <w:t>increasing the</w:t>
      </w:r>
      <w:r>
        <w:t xml:space="preserve"> risk of the payment being declined and a chargeback occurring. The cost data that we received </w:t>
      </w:r>
      <w:r>
        <w:lastRenderedPageBreak/>
        <w:t>from taxi payment processors in our previous reviews shows that chargeback costs are not a material cost driver for taxi payment processors. As a result, we have not made further adjustment for mobile enabled devices.</w:t>
      </w:r>
    </w:p>
    <w:p w14:paraId="5BAC64D1" w14:textId="2F912414" w:rsidR="00EB15E0" w:rsidRPr="00D40F11" w:rsidRDefault="00C2358A" w:rsidP="00EB15E0">
      <w:pPr>
        <w:pStyle w:val="Heading2"/>
      </w:pPr>
      <w:bookmarkStart w:id="302" w:name="_Toc174692704"/>
      <w:r>
        <w:t xml:space="preserve">The implied surcharge for small </w:t>
      </w:r>
      <w:r w:rsidRPr="00D40F11">
        <w:t>businesses</w:t>
      </w:r>
      <w:r w:rsidR="00EB15E0" w:rsidRPr="00D40F11">
        <w:t xml:space="preserve"> </w:t>
      </w:r>
      <w:r w:rsidRPr="00D40F11">
        <w:t>is</w:t>
      </w:r>
      <w:r w:rsidR="00B8731E" w:rsidRPr="00D40F11">
        <w:t xml:space="preserve"> </w:t>
      </w:r>
      <w:r w:rsidR="00EB15E0" w:rsidRPr="00D40F11">
        <w:t>between 1.8</w:t>
      </w:r>
      <w:r w:rsidR="00D473DD" w:rsidRPr="00D40F11">
        <w:t xml:space="preserve"> per cent </w:t>
      </w:r>
      <w:r w:rsidR="00EB15E0" w:rsidRPr="00D40F11">
        <w:t>and 3.6</w:t>
      </w:r>
      <w:r w:rsidR="00F721F2" w:rsidRPr="00D40F11">
        <w:t> per </w:t>
      </w:r>
      <w:r w:rsidR="00EB15E0" w:rsidRPr="00D40F11">
        <w:t>cent</w:t>
      </w:r>
      <w:bookmarkEnd w:id="302"/>
    </w:p>
    <w:p w14:paraId="64E5F273" w14:textId="30F1271C" w:rsidR="00EB15E0" w:rsidRDefault="00EB15E0" w:rsidP="00EB15E0">
      <w:r w:rsidRPr="00D40F11">
        <w:t xml:space="preserve">Our benchmarking suggests that, if there is one EFTPOS terminal, it would be possible for a small business to recover the cost of processing </w:t>
      </w:r>
      <w:r w:rsidR="00F721F2" w:rsidRPr="00D40F11">
        <w:t>non</w:t>
      </w:r>
      <w:r w:rsidR="00F721F2" w:rsidRPr="00D40F11">
        <w:noBreakHyphen/>
        <w:t>cash</w:t>
      </w:r>
      <w:r w:rsidRPr="00D40F11">
        <w:t xml:space="preserve"> payments of $3,250</w:t>
      </w:r>
      <w:r w:rsidR="00F721F2" w:rsidRPr="00D40F11">
        <w:t> per </w:t>
      </w:r>
      <w:r w:rsidRPr="00D40F11">
        <w:t xml:space="preserve">month with a surcharge </w:t>
      </w:r>
      <w:r w:rsidR="002A580A" w:rsidRPr="00D40F11">
        <w:t xml:space="preserve">of </w:t>
      </w:r>
      <w:r w:rsidRPr="00D40F11">
        <w:t>between 1.6</w:t>
      </w:r>
      <w:r w:rsidR="00F721F2" w:rsidRPr="00D40F11">
        <w:t> per </w:t>
      </w:r>
      <w:r w:rsidRPr="00D40F11">
        <w:t>cent and 2.4</w:t>
      </w:r>
      <w:r w:rsidR="00F721F2" w:rsidRPr="00D40F11">
        <w:t> per </w:t>
      </w:r>
      <w:r w:rsidRPr="00D40F11">
        <w:t>cent. If there are multiple EFTPOS terminals ($1,625</w:t>
      </w:r>
      <w:r w:rsidR="00075243" w:rsidRPr="00D40F11">
        <w:t> </w:t>
      </w:r>
      <w:r w:rsidRPr="00D40F11">
        <w:t xml:space="preserve">processed through each terminal), it would be possible with a surcharge </w:t>
      </w:r>
      <w:r w:rsidR="002A580A" w:rsidRPr="00D40F11">
        <w:t xml:space="preserve">of </w:t>
      </w:r>
      <w:r w:rsidRPr="00D40F11">
        <w:t>between 1.8</w:t>
      </w:r>
      <w:r w:rsidR="00F721F2" w:rsidRPr="00D40F11">
        <w:t> per </w:t>
      </w:r>
      <w:r w:rsidRPr="00D40F11">
        <w:t>cent and 3.6</w:t>
      </w:r>
      <w:r w:rsidR="00F721F2" w:rsidRPr="00D40F11">
        <w:t> per</w:t>
      </w:r>
      <w:r w:rsidR="00F721F2">
        <w:t> </w:t>
      </w:r>
      <w:r>
        <w:t>cent.</w:t>
      </w:r>
    </w:p>
    <w:p w14:paraId="64931EA3" w14:textId="1195AEFF" w:rsidR="00EB15E0" w:rsidRDefault="00EB15E0" w:rsidP="00EB15E0">
      <w:r>
        <w:t>Figure</w:t>
      </w:r>
      <w:r w:rsidR="00A17304">
        <w:t>s</w:t>
      </w:r>
      <w:r w:rsidR="00C704A7">
        <w:t xml:space="preserve"> </w:t>
      </w:r>
      <w:r w:rsidR="008764D4">
        <w:t>F</w:t>
      </w:r>
      <w:r w:rsidR="00C704A7">
        <w:t xml:space="preserve">.1 and </w:t>
      </w:r>
      <w:r w:rsidR="008764D4">
        <w:t>F</w:t>
      </w:r>
      <w:r w:rsidR="00C704A7">
        <w:t>.2</w:t>
      </w:r>
      <w:r>
        <w:t xml:space="preserve"> show a comparison of the current maximum </w:t>
      </w:r>
      <w:r w:rsidR="00E57FF0">
        <w:t xml:space="preserve">taxi non-cash payment </w:t>
      </w:r>
      <w:r>
        <w:t xml:space="preserve">surcharge </w:t>
      </w:r>
      <w:r w:rsidR="00D50116">
        <w:t xml:space="preserve">(other than for </w:t>
      </w:r>
      <w:r w:rsidR="00130E29">
        <w:t xml:space="preserve">commercial passenger vehicle </w:t>
      </w:r>
      <w:r w:rsidR="00D50116">
        <w:t xml:space="preserve">specific </w:t>
      </w:r>
      <w:r w:rsidR="009F1158">
        <w:t xml:space="preserve">payment </w:t>
      </w:r>
      <w:r w:rsidR="00D50116">
        <w:t>instruments)</w:t>
      </w:r>
      <w:r>
        <w:t xml:space="preserve"> and the </w:t>
      </w:r>
      <w:r w:rsidR="00F25657">
        <w:t xml:space="preserve">implied surcharge </w:t>
      </w:r>
      <w:r w:rsidR="00DE33B4">
        <w:t xml:space="preserve">needed for small businesses to recover the cost </w:t>
      </w:r>
      <w:r w:rsidR="00F12FAB">
        <w:t>of</w:t>
      </w:r>
      <w:r w:rsidR="00F25657">
        <w:t xml:space="preserve"> </w:t>
      </w:r>
      <w:r w:rsidR="0046634C">
        <w:t xml:space="preserve">processing non-cash </w:t>
      </w:r>
      <w:r w:rsidR="009925EA">
        <w:t>payments assuming</w:t>
      </w:r>
      <w:r>
        <w:t xml:space="preserve"> one terminal and multiple terminals, respectively. </w:t>
      </w:r>
    </w:p>
    <w:p w14:paraId="293303DA" w14:textId="17734E9D" w:rsidR="00454CF7" w:rsidRDefault="00EB15E0" w:rsidP="00627297">
      <w:pPr>
        <w:pStyle w:val="Figure-Table-BoxHeading"/>
        <w:ind w:left="0" w:firstLine="0"/>
      </w:pPr>
      <w:r>
        <w:t xml:space="preserve">Figure </w:t>
      </w:r>
      <w:r w:rsidR="008764D4">
        <w:t>F</w:t>
      </w:r>
      <w:r w:rsidR="00627297">
        <w:t>.1</w:t>
      </w:r>
      <w:r w:rsidR="00627297">
        <w:tab/>
      </w:r>
      <w:r w:rsidR="00A164D5">
        <w:t xml:space="preserve">Implied surcharge </w:t>
      </w:r>
      <w:r w:rsidR="00DB2361">
        <w:t>assuming</w:t>
      </w:r>
      <w:r w:rsidR="00A164D5">
        <w:t xml:space="preserve"> </w:t>
      </w:r>
      <w:r>
        <w:t>one terminal</w:t>
      </w:r>
    </w:p>
    <w:p w14:paraId="7A32871B" w14:textId="3BF776C0" w:rsidR="004B0918" w:rsidRDefault="00C14920" w:rsidP="00717CCA">
      <w:pPr>
        <w:spacing w:line="259" w:lineRule="auto"/>
      </w:pPr>
      <w:r>
        <w:rPr>
          <w:noProof/>
        </w:rPr>
        <w:drawing>
          <wp:inline distT="0" distB="0" distL="0" distR="0" wp14:anchorId="79343532" wp14:editId="7E1BEC2A">
            <wp:extent cx="6056630" cy="3223034"/>
            <wp:effectExtent l="0" t="0" r="1270" b="0"/>
            <wp:docPr id="161381942" name="Chart 1">
              <a:extLst xmlns:a="http://schemas.openxmlformats.org/drawingml/2006/main">
                <a:ext uri="{FF2B5EF4-FFF2-40B4-BE49-F238E27FC236}">
                  <a16:creationId xmlns:a16="http://schemas.microsoft.com/office/drawing/2014/main" id="{9085E165-ABA0-4D4C-A6F0-8586AD5300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D02266D" w14:textId="0BF12DE2" w:rsidR="004B0918" w:rsidRDefault="00006E3D" w:rsidP="00205565">
      <w:pPr>
        <w:pStyle w:val="Figure-Table-BoxHeading"/>
        <w:keepNext/>
        <w:keepLines/>
        <w:ind w:left="0" w:firstLine="0"/>
      </w:pPr>
      <w:r w:rsidRPr="00006E3D">
        <w:lastRenderedPageBreak/>
        <w:t xml:space="preserve">Figure </w:t>
      </w:r>
      <w:r w:rsidR="008764D4">
        <w:t>F</w:t>
      </w:r>
      <w:r w:rsidR="00C704A7">
        <w:t>.2</w:t>
      </w:r>
      <w:r>
        <w:tab/>
      </w:r>
      <w:r w:rsidR="00ED6DB3">
        <w:t xml:space="preserve">Implied surcharge </w:t>
      </w:r>
      <w:r w:rsidR="00DB2361">
        <w:t>assuming</w:t>
      </w:r>
      <w:r w:rsidR="00ED6DB3">
        <w:t xml:space="preserve"> </w:t>
      </w:r>
      <w:r w:rsidRPr="00006E3D">
        <w:t>two terminals</w:t>
      </w:r>
    </w:p>
    <w:p w14:paraId="76B82DD7" w14:textId="443A38C7" w:rsidR="001F3A69" w:rsidRDefault="001F3A69" w:rsidP="00205565">
      <w:pPr>
        <w:pStyle w:val="Figure-Table-BoxHeading"/>
        <w:keepNext/>
        <w:keepLines/>
        <w:ind w:left="0" w:firstLine="0"/>
      </w:pPr>
      <w:r>
        <w:rPr>
          <w:noProof/>
        </w:rPr>
        <w:drawing>
          <wp:inline distT="0" distB="0" distL="0" distR="0" wp14:anchorId="08A10303" wp14:editId="3FECFDA0">
            <wp:extent cx="6120130" cy="3186430"/>
            <wp:effectExtent l="0" t="0" r="0" b="0"/>
            <wp:docPr id="982349605" name="Chart 1">
              <a:extLst xmlns:a="http://schemas.openxmlformats.org/drawingml/2006/main">
                <a:ext uri="{FF2B5EF4-FFF2-40B4-BE49-F238E27FC236}">
                  <a16:creationId xmlns:a16="http://schemas.microsoft.com/office/drawing/2014/main" id="{9D4C9097-C616-411A-96CE-920CBC041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6D039FA" w14:textId="224B8B8A" w:rsidR="004B0918" w:rsidRDefault="004B0918" w:rsidP="00717CCA">
      <w:pPr>
        <w:spacing w:line="259" w:lineRule="auto"/>
      </w:pPr>
    </w:p>
    <w:p w14:paraId="6C0E9CA2" w14:textId="33983F47" w:rsidR="0049762A" w:rsidRDefault="0049762A" w:rsidP="00283026">
      <w:r>
        <w:t>We note that</w:t>
      </w:r>
      <w:r w:rsidR="0051172E">
        <w:t xml:space="preserve"> mPOS terminals and tap to phone </w:t>
      </w:r>
      <w:r w:rsidR="000A09E7">
        <w:t>services</w:t>
      </w:r>
      <w:r w:rsidR="0051172E">
        <w:t xml:space="preserve"> are also available to small businesses, generally at a lower cost than EFTPOS terminals. For </w:t>
      </w:r>
      <w:r w:rsidR="009925EA">
        <w:t>example, the</w:t>
      </w:r>
      <w:r w:rsidR="0051172E">
        <w:t xml:space="preserve"> implied surcharge for mPOS terminals </w:t>
      </w:r>
      <w:r w:rsidR="00824E76">
        <w:t>(assuming two terminals)</w:t>
      </w:r>
      <w:r w:rsidR="0051172E">
        <w:t xml:space="preserve"> </w:t>
      </w:r>
      <w:r w:rsidR="00950870">
        <w:t>is between 1</w:t>
      </w:r>
      <w:r w:rsidR="001B298F">
        <w:t>.2</w:t>
      </w:r>
      <w:r w:rsidR="00561879">
        <w:t> per cent</w:t>
      </w:r>
      <w:r w:rsidR="001B298F">
        <w:t xml:space="preserve"> and 2.</w:t>
      </w:r>
      <w:r w:rsidR="00204DAD">
        <w:t>2</w:t>
      </w:r>
      <w:r w:rsidR="001B298F">
        <w:t xml:space="preserve"> per cent</w:t>
      </w:r>
      <w:r>
        <w:t>,</w:t>
      </w:r>
      <w:r w:rsidR="0045532B">
        <w:t xml:space="preserve"> and </w:t>
      </w:r>
      <w:r w:rsidR="008D47D2">
        <w:t xml:space="preserve">the implied surcharge </w:t>
      </w:r>
      <w:r w:rsidR="0045532B">
        <w:t xml:space="preserve">for tap to phone </w:t>
      </w:r>
      <w:r w:rsidR="00353BBA">
        <w:t>services</w:t>
      </w:r>
      <w:r w:rsidR="008D47D2">
        <w:t xml:space="preserve"> is between 1.4 </w:t>
      </w:r>
      <w:r w:rsidR="006B2818">
        <w:t xml:space="preserve">per cent </w:t>
      </w:r>
      <w:r w:rsidR="005D4E7D">
        <w:t>and 1.9 per cent.</w:t>
      </w:r>
      <w:r w:rsidR="0046634C" w:rsidRPr="0046634C">
        <w:rPr>
          <w:rStyle w:val="FootnoteReference"/>
        </w:rPr>
        <w:t xml:space="preserve"> </w:t>
      </w:r>
      <w:r w:rsidR="0046634C">
        <w:rPr>
          <w:rStyle w:val="FootnoteReference"/>
        </w:rPr>
        <w:footnoteReference w:id="101"/>
      </w:r>
    </w:p>
    <w:p w14:paraId="4690ACC8" w14:textId="17134631" w:rsidR="00605E0E" w:rsidRDefault="00283026" w:rsidP="00283026">
      <w:r>
        <w:t xml:space="preserve">We understand that some taxi operators are using mPOS terminals and tap </w:t>
      </w:r>
      <w:r w:rsidR="00D0293C">
        <w:t>to</w:t>
      </w:r>
      <w:r>
        <w:t xml:space="preserve"> phone services. However, GM Cabs noted in its submission that there has been relatively low up-take of these products among taxi operators.</w:t>
      </w:r>
      <w:r>
        <w:rPr>
          <w:rStyle w:val="FootnoteReference"/>
        </w:rPr>
        <w:footnoteReference w:id="102"/>
      </w:r>
      <w:r>
        <w:t xml:space="preserve"> Given that these products are not widely used, and there are some potential problems with using them in the taxi industry, we consider that EFTPOS terminals are the appropriate benchmark for the taxi non-cash payment surcharge. </w:t>
      </w:r>
    </w:p>
    <w:p w14:paraId="3544E46C" w14:textId="0DCA030A" w:rsidR="00283026" w:rsidRDefault="00283026" w:rsidP="00283026">
      <w:pPr>
        <w:sectPr w:rsidR="00283026" w:rsidSect="00283026">
          <w:footerReference w:type="default" r:id="rId64"/>
          <w:pgSz w:w="11906" w:h="16838" w:code="9"/>
          <w:pgMar w:top="1134" w:right="1134" w:bottom="1134" w:left="1134" w:header="709" w:footer="692" w:gutter="0"/>
          <w:cols w:space="708"/>
          <w:docGrid w:linePitch="360"/>
        </w:sectPr>
      </w:pPr>
    </w:p>
    <w:p w14:paraId="64CE091F" w14:textId="1BADD839" w:rsidR="005C5209" w:rsidRDefault="005C5209" w:rsidP="00245CA3">
      <w:pPr>
        <w:pStyle w:val="Heading1"/>
        <w:pageBreakBefore w:val="0"/>
        <w:rPr>
          <w:rStyle w:val="Heading1Char"/>
        </w:rPr>
      </w:pPr>
      <w:bookmarkStart w:id="303" w:name="_Toc174692705"/>
      <w:r w:rsidRPr="005C5209">
        <w:rPr>
          <w:rStyle w:val="Heading1Char"/>
        </w:rPr>
        <w:lastRenderedPageBreak/>
        <w:t xml:space="preserve">Appendix </w:t>
      </w:r>
      <w:r w:rsidR="008764D4">
        <w:rPr>
          <w:rStyle w:val="Heading1Char"/>
        </w:rPr>
        <w:t>G</w:t>
      </w:r>
      <w:r w:rsidRPr="005C5209">
        <w:rPr>
          <w:rStyle w:val="Heading1Char"/>
        </w:rPr>
        <w:t>: Our legal considerations</w:t>
      </w:r>
      <w:bookmarkEnd w:id="303"/>
    </w:p>
    <w:p w14:paraId="12178B4A" w14:textId="63A9F1C1" w:rsidR="00E8237B" w:rsidRDefault="00E8237B" w:rsidP="00913001">
      <w:pPr>
        <w:pStyle w:val="Heading2"/>
      </w:pPr>
      <w:bookmarkStart w:id="304" w:name="_Toc174692706"/>
      <w:r>
        <w:t>Our legislative powers</w:t>
      </w:r>
      <w:r w:rsidR="00A06436">
        <w:t xml:space="preserve"> and</w:t>
      </w:r>
      <w:r w:rsidR="006E052F">
        <w:t xml:space="preserve"> </w:t>
      </w:r>
      <w:r>
        <w:t>functions</w:t>
      </w:r>
      <w:bookmarkEnd w:id="304"/>
    </w:p>
    <w:p w14:paraId="2C4763F6" w14:textId="77777777" w:rsidR="00E8237B" w:rsidRDefault="00E8237B" w:rsidP="00E8237B">
      <w:pPr>
        <w:shd w:val="clear" w:color="auto" w:fill="FFFFFF" w:themeFill="background1"/>
        <w:rPr>
          <w:rFonts w:ascii="Arial" w:eastAsia="Arial" w:hAnsi="Arial" w:cs="Arial"/>
        </w:rPr>
      </w:pPr>
      <w:r w:rsidRPr="00CD5024">
        <w:rPr>
          <w:rFonts w:ascii="Arial" w:eastAsia="Arial" w:hAnsi="Arial" w:cs="Arial"/>
        </w:rPr>
        <w:t xml:space="preserve">The </w:t>
      </w:r>
      <w:r w:rsidRPr="00DB121C">
        <w:rPr>
          <w:rFonts w:ascii="Arial" w:eastAsia="Arial" w:hAnsi="Arial" w:cs="Arial"/>
          <w:i/>
          <w:iCs/>
        </w:rPr>
        <w:t>Commercial Passenger Vehicle Industry Act 2017</w:t>
      </w:r>
      <w:r>
        <w:rPr>
          <w:rFonts w:ascii="Arial" w:eastAsia="Arial" w:hAnsi="Arial" w:cs="Arial"/>
        </w:rPr>
        <w:t xml:space="preserve"> (CPVI Act), </w:t>
      </w:r>
      <w:r w:rsidRPr="00CD5024">
        <w:rPr>
          <w:rFonts w:ascii="Arial" w:eastAsia="Arial" w:hAnsi="Arial" w:cs="Arial"/>
        </w:rPr>
        <w:t xml:space="preserve">the </w:t>
      </w:r>
      <w:r w:rsidRPr="00DB121C">
        <w:rPr>
          <w:rFonts w:ascii="Arial" w:eastAsia="Arial" w:hAnsi="Arial" w:cs="Arial"/>
          <w:i/>
          <w:iCs/>
        </w:rPr>
        <w:t>Essential Services Commission Act 2001</w:t>
      </w:r>
      <w:r>
        <w:rPr>
          <w:rFonts w:ascii="Arial" w:eastAsia="Arial" w:hAnsi="Arial" w:cs="Arial"/>
        </w:rPr>
        <w:t xml:space="preserve"> (ESC Act) and the </w:t>
      </w:r>
      <w:r w:rsidRPr="004356A4">
        <w:rPr>
          <w:rFonts w:ascii="Arial" w:eastAsia="Arial" w:hAnsi="Arial" w:cs="Arial"/>
          <w:i/>
          <w:iCs/>
        </w:rPr>
        <w:t>Transport Integration Act 2010</w:t>
      </w:r>
      <w:r>
        <w:rPr>
          <w:rFonts w:ascii="Arial" w:eastAsia="Arial" w:hAnsi="Arial" w:cs="Arial"/>
        </w:rPr>
        <w:t xml:space="preserve"> g</w:t>
      </w:r>
      <w:r w:rsidRPr="00CD5024">
        <w:rPr>
          <w:rFonts w:ascii="Arial" w:eastAsia="Arial" w:hAnsi="Arial" w:cs="Arial"/>
        </w:rPr>
        <w:t xml:space="preserve">overn </w:t>
      </w:r>
      <w:r>
        <w:rPr>
          <w:rFonts w:ascii="Arial" w:eastAsia="Arial" w:hAnsi="Arial" w:cs="Arial"/>
        </w:rPr>
        <w:t xml:space="preserve">our </w:t>
      </w:r>
      <w:r w:rsidRPr="00CD5024">
        <w:rPr>
          <w:rFonts w:ascii="Arial" w:eastAsia="Arial" w:hAnsi="Arial" w:cs="Arial"/>
        </w:rPr>
        <w:t>role</w:t>
      </w:r>
      <w:r>
        <w:rPr>
          <w:rFonts w:ascii="Arial" w:eastAsia="Arial" w:hAnsi="Arial" w:cs="Arial"/>
        </w:rPr>
        <w:t xml:space="preserve"> in regulating maximum fares for applicable unbooked services and maximum non-cash payment surcharges. </w:t>
      </w:r>
    </w:p>
    <w:p w14:paraId="49D2922F" w14:textId="77777777" w:rsidR="00E8237B" w:rsidRDefault="00E8237B" w:rsidP="00E8237B">
      <w:r>
        <w:t>Section 32 of the ESC Act gives the commission the power to regulate 'prescribed prices for or in respect of prescribed goods and services supplied by or within a regulated industry'. Section 110D of the CPVI Act provides that ‘applicable unbooked services’ are prescribed services and the maximum charges for these services are prescribed prices. Section 123 of the CPVI Act provides that 'non-cash payment transactions’ are prescribed services and the maximum amounts of non-cash payment surcharges are prescribed prices. Further, for the purposes of the ESC Act, both the commercial passenger vehicle industry and the non-cash payment transaction industry are regulated industries.</w:t>
      </w:r>
      <w:r>
        <w:rPr>
          <w:rStyle w:val="FootnoteReference"/>
        </w:rPr>
        <w:footnoteReference w:id="103"/>
      </w:r>
      <w:r>
        <w:t xml:space="preserve"> </w:t>
      </w:r>
    </w:p>
    <w:p w14:paraId="2E3EE94C" w14:textId="77777777" w:rsidR="00E8237B" w:rsidRDefault="00E8237B" w:rsidP="00E8237B">
      <w:r>
        <w:t>Our price determinations are binding on the relevant regulated entities and industries.</w:t>
      </w:r>
      <w:r>
        <w:rPr>
          <w:rStyle w:val="FootnoteReference"/>
        </w:rPr>
        <w:footnoteReference w:id="104"/>
      </w:r>
    </w:p>
    <w:p w14:paraId="3E88C261" w14:textId="77777777" w:rsidR="00E8237B" w:rsidRDefault="00E8237B" w:rsidP="00E8237B">
      <w:r>
        <w:t xml:space="preserve">We are required to </w:t>
      </w:r>
      <w:r w:rsidRPr="00393C25">
        <w:t xml:space="preserve">complete a review of </w:t>
      </w:r>
      <w:r>
        <w:t>our</w:t>
      </w:r>
      <w:r w:rsidRPr="00393C25">
        <w:t xml:space="preserve"> </w:t>
      </w:r>
      <w:r>
        <w:t xml:space="preserve">last </w:t>
      </w:r>
      <w:r w:rsidRPr="00393C25">
        <w:t>price determination</w:t>
      </w:r>
      <w:r>
        <w:t>s relating to applicable unbooked services and non-cash payment surcharges</w:t>
      </w:r>
      <w:r w:rsidRPr="00393C25">
        <w:t xml:space="preserve"> no later than two years </w:t>
      </w:r>
      <w:r>
        <w:t>from when they were</w:t>
      </w:r>
      <w:r w:rsidRPr="00393C25">
        <w:t xml:space="preserve"> made.</w:t>
      </w:r>
      <w:r>
        <w:rPr>
          <w:rStyle w:val="FootnoteReference"/>
        </w:rPr>
        <w:footnoteReference w:id="105"/>
      </w:r>
      <w:r w:rsidRPr="00393C25">
        <w:t xml:space="preserve"> The previous determination</w:t>
      </w:r>
      <w:r>
        <w:t>s</w:t>
      </w:r>
      <w:r w:rsidRPr="00393C25">
        <w:t xml:space="preserve"> </w:t>
      </w:r>
      <w:r>
        <w:t xml:space="preserve">were both </w:t>
      </w:r>
      <w:r w:rsidRPr="00393C25">
        <w:t xml:space="preserve">made on </w:t>
      </w:r>
      <w:r>
        <w:t>31 August</w:t>
      </w:r>
      <w:r w:rsidRPr="00393C25">
        <w:t xml:space="preserve"> 202</w:t>
      </w:r>
      <w:r>
        <w:t>2</w:t>
      </w:r>
      <w:r w:rsidRPr="00393C25">
        <w:t>.</w:t>
      </w:r>
    </w:p>
    <w:p w14:paraId="1F95DECE" w14:textId="77777777" w:rsidR="00E8237B" w:rsidRDefault="00E8237B" w:rsidP="00E8237B">
      <w:pPr>
        <w:pStyle w:val="Heading3"/>
      </w:pPr>
      <w:bookmarkStart w:id="305" w:name="_Toc167345871"/>
      <w:bookmarkStart w:id="306" w:name="_Toc167346565"/>
      <w:bookmarkStart w:id="307" w:name="_Toc167780363"/>
      <w:bookmarkStart w:id="308" w:name="_Toc173691441"/>
      <w:bookmarkStart w:id="309" w:name="_Toc174692707"/>
      <w:r>
        <w:t>Our power to determine maximum fares for unbooked taxi services</w:t>
      </w:r>
      <w:bookmarkEnd w:id="305"/>
      <w:bookmarkEnd w:id="306"/>
      <w:bookmarkEnd w:id="307"/>
      <w:bookmarkEnd w:id="308"/>
      <w:bookmarkEnd w:id="309"/>
    </w:p>
    <w:p w14:paraId="539136F6" w14:textId="77777777" w:rsidR="00E8237B" w:rsidRDefault="00E8237B" w:rsidP="00E8237B">
      <w:r>
        <w:t>We regulate the maximum charges for ‘applicable unbooked services’ supplied by or within the commercial passenger vehicle industry. An ‘applicable unbooked service’ means an unbooked commercial passenger vehicle service in respect of carriage on a journey that begins in either the Melbourne Metropolitan Zone or the Urban and Large Regional Zone.</w:t>
      </w:r>
      <w:r>
        <w:rPr>
          <w:rStyle w:val="FootnoteReference"/>
        </w:rPr>
        <w:footnoteReference w:id="106"/>
      </w:r>
      <w:r>
        <w:t xml:space="preserve"> An unbooked commercial passenger vehicle service refers to a service that is provided other than as a result of the provision </w:t>
      </w:r>
      <w:r>
        <w:lastRenderedPageBreak/>
        <w:t>of a booking service.</w:t>
      </w:r>
      <w:r>
        <w:rPr>
          <w:rStyle w:val="FootnoteReference"/>
        </w:rPr>
        <w:footnoteReference w:id="107"/>
      </w:r>
      <w:r>
        <w:t xml:space="preserve"> Unbooked commercial passenger vehicle services are generally hailed from the street or taken from a rank.</w:t>
      </w:r>
    </w:p>
    <w:p w14:paraId="04F66911" w14:textId="77777777" w:rsidR="00E8237B" w:rsidRDefault="00E8237B" w:rsidP="00E8237B">
      <w:r>
        <w:t>The Commercial Passenger Vehicle Industry Regulations 2018 outline a number of requirements that must be met by people or companies who provide unbooked commercial passenger vehicle services.</w:t>
      </w:r>
      <w:r>
        <w:rPr>
          <w:rStyle w:val="FootnoteReference"/>
        </w:rPr>
        <w:footnoteReference w:id="108"/>
      </w:r>
      <w:r>
        <w:t xml:space="preserve"> Given these regulatory requirements, it is typically only taxis that provide unbooked commercial passenger vehicle services in Victoria. Therefore, in this paper, we refer to commercial passenger vehicles that provide unbooked commercial passenger vehicle services as ‘unbooked taxis’, and applicable unbooked services as ‘unbooked taxi services’. However, we acknowledge that other commercial passenger vehicle services that meet the regulatory requirements in the future can also provide unbooked taxi services.</w:t>
      </w:r>
    </w:p>
    <w:p w14:paraId="7C2961A7" w14:textId="77777777" w:rsidR="00E8237B" w:rsidRDefault="00E8237B" w:rsidP="00E8237B">
      <w:pPr>
        <w:pStyle w:val="Heading3"/>
      </w:pPr>
      <w:bookmarkStart w:id="310" w:name="_Toc167345872"/>
      <w:bookmarkStart w:id="311" w:name="_Toc167346566"/>
      <w:bookmarkStart w:id="312" w:name="_Toc167780364"/>
      <w:bookmarkStart w:id="313" w:name="_Toc173691442"/>
      <w:bookmarkStart w:id="314" w:name="_Toc174692708"/>
      <w:r>
        <w:t>Our power to determine maximum surcharges for taxi non-cash payments</w:t>
      </w:r>
      <w:bookmarkEnd w:id="310"/>
      <w:bookmarkEnd w:id="311"/>
      <w:bookmarkEnd w:id="312"/>
      <w:bookmarkEnd w:id="313"/>
      <w:bookmarkEnd w:id="314"/>
    </w:p>
    <w:p w14:paraId="5A943183" w14:textId="77777777" w:rsidR="00E8237B" w:rsidRDefault="00E8237B" w:rsidP="00E8237B">
      <w:r>
        <w:t>A 'non-cash payment transaction' is defined in section 3 of the CPVI Act to mean 'the payment, other than by cash, of any amount due in respect of the hiring of a commercial passenger vehicle'.</w:t>
      </w:r>
    </w:p>
    <w:p w14:paraId="023C5386" w14:textId="77777777" w:rsidR="00E8237B" w:rsidRDefault="00E8237B" w:rsidP="00E8237B">
      <w:r>
        <w:t>A 'non-cash payment surcharge' is defined in section 112(1) of the CPVI Act as a ‘fee or charge:</w:t>
      </w:r>
    </w:p>
    <w:p w14:paraId="5F5CE27E" w14:textId="46B59685" w:rsidR="00E8237B" w:rsidRDefault="00E8237B" w:rsidP="00E8237B">
      <w:pPr>
        <w:pStyle w:val="ListBullet"/>
        <w:tabs>
          <w:tab w:val="num" w:pos="360"/>
        </w:tabs>
      </w:pPr>
      <w:r>
        <w:t>added to the amount otherwise payable by the hirer in respect of the hiring of a commercial passenger vehicle because the payment of the amount otherwise payable is made wholly or partly by means of a non-cash payment transaction or</w:t>
      </w:r>
    </w:p>
    <w:p w14:paraId="0969D911" w14:textId="77777777" w:rsidR="00E8237B" w:rsidRDefault="00E8237B" w:rsidP="00E8237B">
      <w:pPr>
        <w:pStyle w:val="ListBullet"/>
        <w:tabs>
          <w:tab w:val="num" w:pos="360"/>
        </w:tabs>
      </w:pPr>
      <w:r>
        <w:t>payable by the owner or driver of a commercial passenger vehicle or by all or any of them because the payment of an amount payable in respect of the hiring of the vehicle is made wholly or partly by means of a non-cash payment transaction.’</w:t>
      </w:r>
    </w:p>
    <w:p w14:paraId="3CB90AC3" w14:textId="77777777" w:rsidR="00E8237B" w:rsidRDefault="00E8237B" w:rsidP="00E8237B">
      <w:r>
        <w:t>Non-cash payment surcharges that are regulated by the Reserve Bank of Australia are specifically excluded from this definition.</w:t>
      </w:r>
      <w:r>
        <w:rPr>
          <w:rStyle w:val="FootnoteReference"/>
        </w:rPr>
        <w:footnoteReference w:id="109"/>
      </w:r>
      <w:r>
        <w:t xml:space="preserve"> The Reserve Bank of Australia regulates all non-cash payment </w:t>
      </w:r>
      <w:r>
        <w:lastRenderedPageBreak/>
        <w:t>surcharges, except those related to the payment of a taxi fare.</w:t>
      </w:r>
      <w:r>
        <w:rPr>
          <w:rStyle w:val="FootnoteReference"/>
        </w:rPr>
        <w:footnoteReference w:id="110"/>
      </w:r>
      <w:r>
        <w:t xml:space="preserve"> This means that we only regulate non-cash payment surcharges in relation to taxi services (both booked and unbooked) in Victoria. Non-cash payment surcharges for rideshare or hire care services </w:t>
      </w:r>
      <w:r w:rsidRPr="00D76F19">
        <w:t>are regulated by the Reserve Bank of Australia under the national payment systems framework.</w:t>
      </w:r>
      <w:r>
        <w:rPr>
          <w:rStyle w:val="FootnoteReference"/>
        </w:rPr>
        <w:footnoteReference w:id="111"/>
      </w:r>
      <w:r w:rsidRPr="00D76F19">
        <w:t xml:space="preserve">  </w:t>
      </w:r>
    </w:p>
    <w:p w14:paraId="21DEAD6A" w14:textId="77777777" w:rsidR="00E8237B" w:rsidRDefault="00E8237B" w:rsidP="00E8237B">
      <w:pPr>
        <w:pStyle w:val="Heading2"/>
      </w:pPr>
      <w:bookmarkStart w:id="315" w:name="_Toc174692709"/>
      <w:r>
        <w:t>Our statutory objectives</w:t>
      </w:r>
      <w:bookmarkEnd w:id="315"/>
    </w:p>
    <w:p w14:paraId="76AF756D" w14:textId="77777777" w:rsidR="00E8237B" w:rsidRDefault="00E8237B" w:rsidP="00E8237B">
      <w:r>
        <w:t xml:space="preserve">In making determinations for maximum fares for unbooked taxi services and for maximum surcharges for taxi non-cash payments, we </w:t>
      </w:r>
      <w:r w:rsidRPr="00B9348A">
        <w:t xml:space="preserve">must adopt an approach and methodology </w:t>
      </w:r>
      <w:r>
        <w:t>that</w:t>
      </w:r>
      <w:r w:rsidRPr="00B9348A">
        <w:t xml:space="preserve"> </w:t>
      </w:r>
      <w:r>
        <w:t>we</w:t>
      </w:r>
      <w:r w:rsidRPr="00B9348A">
        <w:t xml:space="preserve"> consider will best meet </w:t>
      </w:r>
      <w:r>
        <w:t xml:space="preserve">our statutory </w:t>
      </w:r>
      <w:r w:rsidRPr="00B9348A">
        <w:t>objectives.</w:t>
      </w:r>
      <w:r>
        <w:rPr>
          <w:rStyle w:val="FootnoteReference"/>
        </w:rPr>
        <w:footnoteReference w:id="112"/>
      </w:r>
      <w:r>
        <w:t xml:space="preserve"> </w:t>
      </w:r>
    </w:p>
    <w:p w14:paraId="4438C019" w14:textId="77777777" w:rsidR="00E8237B" w:rsidRDefault="00E8237B" w:rsidP="00E8237B">
      <w:pPr>
        <w:pStyle w:val="Heading3"/>
      </w:pPr>
      <w:bookmarkStart w:id="316" w:name="_Toc167345874"/>
      <w:bookmarkStart w:id="317" w:name="_Toc167346568"/>
      <w:bookmarkStart w:id="318" w:name="_Toc167780366"/>
      <w:bookmarkStart w:id="319" w:name="_Toc173691444"/>
      <w:bookmarkStart w:id="320" w:name="_Toc174692710"/>
      <w:r>
        <w:t>Our objectives under the ESC Act</w:t>
      </w:r>
      <w:bookmarkEnd w:id="316"/>
      <w:bookmarkEnd w:id="317"/>
      <w:bookmarkEnd w:id="318"/>
      <w:bookmarkEnd w:id="319"/>
      <w:bookmarkEnd w:id="320"/>
    </w:p>
    <w:p w14:paraId="502E4F54" w14:textId="77777777" w:rsidR="00E8237B" w:rsidRDefault="00E8237B" w:rsidP="00E8237B">
      <w:r w:rsidRPr="00C52928">
        <w:t xml:space="preserve">The </w:t>
      </w:r>
      <w:r>
        <w:t xml:space="preserve">ESC </w:t>
      </w:r>
      <w:r w:rsidRPr="00C52928">
        <w:t xml:space="preserve">Act states that in performing </w:t>
      </w:r>
      <w:r>
        <w:t>our</w:t>
      </w:r>
      <w:r w:rsidRPr="00C52928">
        <w:t xml:space="preserve"> functions and exercising </w:t>
      </w:r>
      <w:r>
        <w:t>our</w:t>
      </w:r>
      <w:r w:rsidRPr="00C52928">
        <w:t xml:space="preserve"> powers, </w:t>
      </w:r>
      <w:r>
        <w:t>our</w:t>
      </w:r>
      <w:r w:rsidRPr="00C52928">
        <w:t xml:space="preserve"> objective is to promote the long</w:t>
      </w:r>
      <w:r>
        <w:t>-</w:t>
      </w:r>
      <w:r w:rsidRPr="00C52928">
        <w:t>term interests of Victorian consumers.</w:t>
      </w:r>
      <w:r>
        <w:rPr>
          <w:rStyle w:val="FootnoteReference"/>
        </w:rPr>
        <w:footnoteReference w:id="113"/>
      </w:r>
      <w:r w:rsidRPr="00C52928">
        <w:t xml:space="preserve"> In performing </w:t>
      </w:r>
      <w:r>
        <w:t>our</w:t>
      </w:r>
      <w:r w:rsidRPr="00C52928">
        <w:t xml:space="preserve"> functions and exercising </w:t>
      </w:r>
      <w:r>
        <w:t>our</w:t>
      </w:r>
      <w:r w:rsidRPr="00C52928">
        <w:t xml:space="preserve"> powers in relation to essential services, </w:t>
      </w:r>
      <w:r>
        <w:t>we</w:t>
      </w:r>
      <w:r w:rsidRPr="00C52928">
        <w:t xml:space="preserve"> must, in seeking to achieve </w:t>
      </w:r>
      <w:r>
        <w:t xml:space="preserve">this objective, </w:t>
      </w:r>
      <w:r w:rsidRPr="00C52928">
        <w:t>have regard to the price, quality and reliability of essential services.</w:t>
      </w:r>
      <w:r>
        <w:rPr>
          <w:rStyle w:val="FootnoteReference"/>
        </w:rPr>
        <w:footnoteReference w:id="114"/>
      </w:r>
      <w:r w:rsidRPr="00C52928">
        <w:t xml:space="preserve">  </w:t>
      </w:r>
    </w:p>
    <w:p w14:paraId="1BA637F6" w14:textId="77777777" w:rsidR="00E8237B" w:rsidRDefault="00E8237B" w:rsidP="00E8237B">
      <w:r>
        <w:t>The ESC Act also requires us to perform our functions and exercise our powers in a manner that best achieves any objectives specified in the CPVI Act.</w:t>
      </w:r>
      <w:r>
        <w:rPr>
          <w:rStyle w:val="FootnoteReference"/>
        </w:rPr>
        <w:footnoteReference w:id="115"/>
      </w:r>
    </w:p>
    <w:p w14:paraId="52BDA82A" w14:textId="77777777" w:rsidR="00E8237B" w:rsidRDefault="00E8237B" w:rsidP="00E8237B">
      <w:pPr>
        <w:pStyle w:val="Heading3"/>
      </w:pPr>
      <w:bookmarkStart w:id="321" w:name="_Toc167345875"/>
      <w:bookmarkStart w:id="322" w:name="_Toc167346569"/>
      <w:bookmarkStart w:id="323" w:name="_Toc167780367"/>
      <w:bookmarkStart w:id="324" w:name="_Toc173691445"/>
      <w:bookmarkStart w:id="325" w:name="_Toc174692711"/>
      <w:r>
        <w:t>Our objectives under the CPVI Act</w:t>
      </w:r>
      <w:bookmarkEnd w:id="321"/>
      <w:bookmarkEnd w:id="322"/>
      <w:bookmarkEnd w:id="323"/>
      <w:bookmarkEnd w:id="324"/>
      <w:bookmarkEnd w:id="325"/>
      <w:r>
        <w:t xml:space="preserve"> </w:t>
      </w:r>
    </w:p>
    <w:p w14:paraId="50E93E41" w14:textId="77777777" w:rsidR="00E8237B" w:rsidRDefault="00E8237B" w:rsidP="00E8237B">
      <w:r>
        <w:t>Our specific objective under the CPVI Act when determining maximum fares for unbooked taxi services, is to promote the efficient provision and use of unbooked commercial passenger vehicle services.</w:t>
      </w:r>
      <w:r>
        <w:rPr>
          <w:rStyle w:val="FootnoteReference"/>
        </w:rPr>
        <w:footnoteReference w:id="116"/>
      </w:r>
      <w:r>
        <w:t xml:space="preserve"> </w:t>
      </w:r>
    </w:p>
    <w:p w14:paraId="1F062C24" w14:textId="77777777" w:rsidR="00E8237B" w:rsidRDefault="00E8237B" w:rsidP="00E8237B">
      <w:r>
        <w:t xml:space="preserve">Our specific </w:t>
      </w:r>
      <w:r w:rsidRPr="007228AB">
        <w:t xml:space="preserve">objective </w:t>
      </w:r>
      <w:r>
        <w:t xml:space="preserve">under the </w:t>
      </w:r>
      <w:r w:rsidRPr="007228AB">
        <w:t xml:space="preserve">CPVI Act in relation to the non-cash payment transaction industry is </w:t>
      </w:r>
      <w:r>
        <w:t>‘</w:t>
      </w:r>
      <w:r w:rsidRPr="007228AB">
        <w:t>to promote efficiency by regulating the amount that may be imposed by way of a non-cash payment surcharge</w:t>
      </w:r>
      <w:r>
        <w:t>’</w:t>
      </w:r>
      <w:r w:rsidRPr="007228AB">
        <w:t>.</w:t>
      </w:r>
      <w:r>
        <w:rPr>
          <w:rStyle w:val="FootnoteReference"/>
        </w:rPr>
        <w:footnoteReference w:id="117"/>
      </w:r>
      <w:r w:rsidRPr="007228AB">
        <w:t xml:space="preserve"> In seeking to achieve this objective, </w:t>
      </w:r>
      <w:r>
        <w:t>we</w:t>
      </w:r>
      <w:r w:rsidRPr="007228AB">
        <w:t xml:space="preserve"> must </w:t>
      </w:r>
      <w:r>
        <w:t>‘</w:t>
      </w:r>
      <w:r w:rsidRPr="007228AB">
        <w:t xml:space="preserve">ensure that persons </w:t>
      </w:r>
      <w:r w:rsidRPr="007228AB">
        <w:lastRenderedPageBreak/>
        <w:t>facilitating the making of non-cash payment transactions are able to recover the reasonable cost of accepting and processing such transactions</w:t>
      </w:r>
      <w:r>
        <w:t>’, where ‘r</w:t>
      </w:r>
      <w:r w:rsidRPr="007228AB">
        <w:t>easonable cost' is defined to include 'any fees payable for the acquisition of transactions involving the use of debit, credit or charge cards'.</w:t>
      </w:r>
      <w:r>
        <w:rPr>
          <w:rStyle w:val="FootnoteReference"/>
        </w:rPr>
        <w:footnoteReference w:id="118"/>
      </w:r>
      <w:r w:rsidRPr="007228AB">
        <w:t xml:space="preserve">  </w:t>
      </w:r>
    </w:p>
    <w:p w14:paraId="4AD82377" w14:textId="77777777" w:rsidR="00E8237B" w:rsidRDefault="00E8237B" w:rsidP="00E8237B">
      <w:pPr>
        <w:pStyle w:val="Heading2"/>
      </w:pPr>
      <w:bookmarkStart w:id="326" w:name="_Toc174692712"/>
      <w:r>
        <w:t>Matters we must have regard to</w:t>
      </w:r>
      <w:bookmarkEnd w:id="326"/>
    </w:p>
    <w:p w14:paraId="60D56385" w14:textId="77777777" w:rsidR="00E8237B" w:rsidRDefault="00E8237B" w:rsidP="00E8237B">
      <w:r>
        <w:t>In performing our functions and exercising our powers, we must have regard to the price, quality and reliability of essential services, as well as the following matters (to the extent they are relevant in any particular case):</w:t>
      </w:r>
      <w:r>
        <w:rPr>
          <w:rStyle w:val="FootnoteReference"/>
        </w:rPr>
        <w:footnoteReference w:id="119"/>
      </w:r>
    </w:p>
    <w:p w14:paraId="7557D69B" w14:textId="77777777" w:rsidR="00E8237B" w:rsidRDefault="00E8237B" w:rsidP="00E8237B">
      <w:pPr>
        <w:pStyle w:val="ListBullet"/>
        <w:tabs>
          <w:tab w:val="num" w:pos="360"/>
        </w:tabs>
      </w:pPr>
      <w:r>
        <w:t>efficiency in the industry and incentives for long term investment</w:t>
      </w:r>
    </w:p>
    <w:p w14:paraId="45D0EAB9" w14:textId="77777777" w:rsidR="00E8237B" w:rsidRDefault="00E8237B" w:rsidP="00E8237B">
      <w:pPr>
        <w:pStyle w:val="ListBullet"/>
        <w:tabs>
          <w:tab w:val="num" w:pos="360"/>
        </w:tabs>
      </w:pPr>
      <w:r>
        <w:t>the financial viability of the industry</w:t>
      </w:r>
    </w:p>
    <w:p w14:paraId="7AC9A321" w14:textId="77777777" w:rsidR="00E8237B" w:rsidRDefault="00E8237B" w:rsidP="00E8237B">
      <w:pPr>
        <w:pStyle w:val="ListBullet"/>
        <w:tabs>
          <w:tab w:val="num" w:pos="360"/>
        </w:tabs>
      </w:pPr>
      <w:r>
        <w:t>the degree of, and scope for, competition within the industry, including countervailing market power and information asymmetries</w:t>
      </w:r>
    </w:p>
    <w:p w14:paraId="248426B8" w14:textId="77777777" w:rsidR="00E8237B" w:rsidRDefault="00E8237B" w:rsidP="00E8237B">
      <w:pPr>
        <w:pStyle w:val="ListBullet"/>
        <w:tabs>
          <w:tab w:val="num" w:pos="360"/>
        </w:tabs>
      </w:pPr>
      <w:r>
        <w:t>the relevant health, safety, environmental and social legislation applying to the industry</w:t>
      </w:r>
    </w:p>
    <w:p w14:paraId="7CCE32E3" w14:textId="77777777" w:rsidR="00E8237B" w:rsidRDefault="00E8237B" w:rsidP="00E8237B">
      <w:pPr>
        <w:pStyle w:val="ListBullet"/>
        <w:tabs>
          <w:tab w:val="num" w:pos="360"/>
        </w:tabs>
      </w:pPr>
      <w:r>
        <w:t>the benefits and costs of regulation (including externalities and the gains from competition and efficiency) for consumers and users of products or services (including low income and vulnerable consumers) and regulated entities</w:t>
      </w:r>
    </w:p>
    <w:p w14:paraId="0D832AB3" w14:textId="77777777" w:rsidR="00E8237B" w:rsidRDefault="00E8237B" w:rsidP="00E8237B">
      <w:pPr>
        <w:pStyle w:val="ListBullet"/>
        <w:tabs>
          <w:tab w:val="num" w:pos="360"/>
        </w:tabs>
      </w:pPr>
      <w:r>
        <w:t>consistency in regulation between States and on a national basis</w:t>
      </w:r>
    </w:p>
    <w:p w14:paraId="7C09CECB" w14:textId="77777777" w:rsidR="00E8237B" w:rsidRDefault="00E8237B" w:rsidP="00E8237B">
      <w:pPr>
        <w:pStyle w:val="ListBullet"/>
        <w:tabs>
          <w:tab w:val="num" w:pos="360"/>
        </w:tabs>
      </w:pPr>
      <w:r>
        <w:t xml:space="preserve">any matters specified in the empowering instrument (that is, the CPVI Act). </w:t>
      </w:r>
    </w:p>
    <w:p w14:paraId="1F4F43AD" w14:textId="77777777" w:rsidR="00E8237B" w:rsidRDefault="00E8237B" w:rsidP="00E8237B">
      <w:r>
        <w:t>When making a price determination, we must also have regard to:</w:t>
      </w:r>
      <w:r>
        <w:rPr>
          <w:rStyle w:val="FootnoteReference"/>
        </w:rPr>
        <w:footnoteReference w:id="120"/>
      </w:r>
    </w:p>
    <w:p w14:paraId="3EE3F620" w14:textId="77777777" w:rsidR="00E8237B" w:rsidRDefault="00E8237B" w:rsidP="00E8237B">
      <w:pPr>
        <w:pStyle w:val="ListBullet"/>
        <w:tabs>
          <w:tab w:val="num" w:pos="360"/>
        </w:tabs>
      </w:pPr>
      <w:r>
        <w:t>the particular circumstances of the regulated industry and the prescribed goods and services for which the determination is being made</w:t>
      </w:r>
    </w:p>
    <w:p w14:paraId="4A65FEE5" w14:textId="77777777" w:rsidR="00E8237B" w:rsidRDefault="00E8237B" w:rsidP="00E8237B">
      <w:pPr>
        <w:pStyle w:val="ListBullet"/>
        <w:tabs>
          <w:tab w:val="num" w:pos="360"/>
        </w:tabs>
      </w:pPr>
      <w:r>
        <w:t>the efficient costs of producing or supplying regulated goods or services and of complying with relevant legislation and relevant health, safety, environmental and social legislation applying to the regulated industry</w:t>
      </w:r>
    </w:p>
    <w:p w14:paraId="45F065CB" w14:textId="77777777" w:rsidR="00E8237B" w:rsidRDefault="00E8237B" w:rsidP="00E8237B">
      <w:pPr>
        <w:pStyle w:val="ListBullet"/>
        <w:tabs>
          <w:tab w:val="num" w:pos="360"/>
        </w:tabs>
      </w:pPr>
      <w:r>
        <w:t>the return on assets in the regulated industry</w:t>
      </w:r>
    </w:p>
    <w:p w14:paraId="327DE4FA" w14:textId="77777777" w:rsidR="00E8237B" w:rsidRDefault="00E8237B" w:rsidP="00E8237B">
      <w:pPr>
        <w:pStyle w:val="ListBullet"/>
        <w:tabs>
          <w:tab w:val="num" w:pos="360"/>
        </w:tabs>
      </w:pPr>
      <w:r>
        <w:t>any relevant interstate and international benchmarks for prices, costs and return on assets in comparable industries</w:t>
      </w:r>
    </w:p>
    <w:p w14:paraId="22C6288F" w14:textId="77777777" w:rsidR="00E8237B" w:rsidRDefault="00E8237B" w:rsidP="00E8237B">
      <w:pPr>
        <w:pStyle w:val="ListBullet"/>
        <w:tabs>
          <w:tab w:val="num" w:pos="360"/>
        </w:tabs>
      </w:pPr>
      <w:r>
        <w:t xml:space="preserve">any other factors that the commission considers relevant. </w:t>
      </w:r>
    </w:p>
    <w:p w14:paraId="270EB258" w14:textId="77777777" w:rsidR="00E8237B" w:rsidRDefault="00E8237B" w:rsidP="00E8237B">
      <w:r>
        <w:lastRenderedPageBreak/>
        <w:t>In addition, in making a determination, we must ensure that the expected costs of the proposed regulation do not exceed the expected benefits, and that the determination takes into account and clearly articulates any trade-offs between costs and service standards.</w:t>
      </w:r>
      <w:r>
        <w:rPr>
          <w:rStyle w:val="FootnoteReference"/>
        </w:rPr>
        <w:footnoteReference w:id="121"/>
      </w:r>
    </w:p>
    <w:p w14:paraId="79DC9CE0" w14:textId="77777777" w:rsidR="00E8237B" w:rsidRDefault="00E8237B" w:rsidP="00E8237B">
      <w:r>
        <w:t xml:space="preserve">The </w:t>
      </w:r>
      <w:r w:rsidRPr="00575B15">
        <w:rPr>
          <w:i/>
          <w:iCs/>
        </w:rPr>
        <w:t>Transport Integration Act 2010</w:t>
      </w:r>
      <w:r>
        <w:t xml:space="preserve"> requires that we must have regard to the transport system objectives</w:t>
      </w:r>
      <w:r>
        <w:rPr>
          <w:rStyle w:val="FootnoteReference"/>
        </w:rPr>
        <w:footnoteReference w:id="122"/>
      </w:r>
      <w:r>
        <w:t xml:space="preserve"> in exercising our powers and performing our functions under any transport legislation. The transport system objectives we must have regard to relate to social and economic inclusion, economic prosperity, environmental sustainability, integration of transport and land use, efficiency, coordination and reliability, and safety and health and wellbeing.  </w:t>
      </w:r>
    </w:p>
    <w:p w14:paraId="1F7B4572" w14:textId="77777777" w:rsidR="00E8237B" w:rsidRDefault="00E8237B" w:rsidP="00E8237B">
      <w:r>
        <w:t xml:space="preserve">Under the </w:t>
      </w:r>
      <w:r w:rsidRPr="00EB0D21">
        <w:rPr>
          <w:i/>
          <w:iCs/>
        </w:rPr>
        <w:t>Transport Integration Act 2010</w:t>
      </w:r>
      <w:r>
        <w:t>, we must also have regard to a number of principles</w:t>
      </w:r>
      <w:r>
        <w:rPr>
          <w:rStyle w:val="FootnoteReference"/>
        </w:rPr>
        <w:footnoteReference w:id="123"/>
      </w:r>
      <w:r>
        <w:t xml:space="preserve"> in making our decisions, which include:</w:t>
      </w:r>
    </w:p>
    <w:p w14:paraId="5723FADB" w14:textId="39D14A17" w:rsidR="00E8237B" w:rsidRDefault="00E8237B" w:rsidP="00E8237B">
      <w:pPr>
        <w:pStyle w:val="ListBullet"/>
        <w:tabs>
          <w:tab w:val="num" w:pos="360"/>
        </w:tabs>
      </w:pPr>
      <w:r>
        <w:t xml:space="preserve">the principle of integrated decision making </w:t>
      </w:r>
    </w:p>
    <w:p w14:paraId="1A5B9899" w14:textId="615A34DF" w:rsidR="00E8237B" w:rsidRDefault="00E8237B" w:rsidP="00E8237B">
      <w:pPr>
        <w:pStyle w:val="ListBullet"/>
        <w:tabs>
          <w:tab w:val="num" w:pos="360"/>
        </w:tabs>
      </w:pPr>
      <w:r>
        <w:t xml:space="preserve">the principle of triple bottom line assessment </w:t>
      </w:r>
    </w:p>
    <w:p w14:paraId="46F9F4C8" w14:textId="5D81E724" w:rsidR="00E8237B" w:rsidRDefault="00E8237B" w:rsidP="00E8237B">
      <w:pPr>
        <w:pStyle w:val="ListBullet"/>
        <w:tabs>
          <w:tab w:val="num" w:pos="360"/>
        </w:tabs>
      </w:pPr>
      <w:r>
        <w:t xml:space="preserve">the principle of equity </w:t>
      </w:r>
    </w:p>
    <w:p w14:paraId="7E307644" w14:textId="7BFD3074" w:rsidR="00E8237B" w:rsidRDefault="00E8237B" w:rsidP="00E8237B">
      <w:pPr>
        <w:pStyle w:val="ListBullet"/>
        <w:tabs>
          <w:tab w:val="num" w:pos="360"/>
        </w:tabs>
      </w:pPr>
      <w:r>
        <w:t>the principle of transport system user perspective</w:t>
      </w:r>
    </w:p>
    <w:p w14:paraId="24361833" w14:textId="087F918F" w:rsidR="00E8237B" w:rsidRDefault="00E8237B" w:rsidP="00E8237B">
      <w:pPr>
        <w:pStyle w:val="ListBullet"/>
        <w:tabs>
          <w:tab w:val="num" w:pos="360"/>
        </w:tabs>
      </w:pPr>
      <w:r>
        <w:t>the precautionary principle</w:t>
      </w:r>
    </w:p>
    <w:p w14:paraId="4A4B1BFE" w14:textId="298F3815" w:rsidR="00E8237B" w:rsidRDefault="00E8237B" w:rsidP="00E8237B">
      <w:pPr>
        <w:pStyle w:val="ListBullet"/>
        <w:tabs>
          <w:tab w:val="num" w:pos="360"/>
        </w:tabs>
      </w:pPr>
      <w:r>
        <w:t xml:space="preserve">the principle of stakeholder engagement and community participation </w:t>
      </w:r>
    </w:p>
    <w:p w14:paraId="3E7DB358" w14:textId="77777777" w:rsidR="00E8237B" w:rsidRDefault="00E8237B" w:rsidP="00E8237B">
      <w:pPr>
        <w:pStyle w:val="ListBullet"/>
        <w:tabs>
          <w:tab w:val="num" w:pos="360"/>
        </w:tabs>
      </w:pPr>
      <w:r>
        <w:t xml:space="preserve">the principle of transparency. </w:t>
      </w:r>
    </w:p>
    <w:p w14:paraId="77560929" w14:textId="77777777" w:rsidR="00E8237B" w:rsidRDefault="00E8237B" w:rsidP="00E8237B">
      <w:r>
        <w:t>The transport system objectives and decision-making principles are broad in nature. We may determine the weight to give to each transport system objective and decision-making principle.</w:t>
      </w:r>
      <w:r>
        <w:rPr>
          <w:rStyle w:val="FootnoteReference"/>
        </w:rPr>
        <w:footnoteReference w:id="124"/>
      </w:r>
    </w:p>
    <w:p w14:paraId="3AAA7410" w14:textId="77777777" w:rsidR="00E8237B" w:rsidRDefault="00E8237B" w:rsidP="00E8237B">
      <w:r>
        <w:t xml:space="preserve">In addition, the </w:t>
      </w:r>
      <w:r>
        <w:rPr>
          <w:i/>
          <w:iCs/>
        </w:rPr>
        <w:t xml:space="preserve">Charter of Human Rights and Responsibilities Act 2006 </w:t>
      </w:r>
      <w:r>
        <w:t>requires us to give proper consideration to any relevant human rights in the charter.</w:t>
      </w:r>
      <w:r>
        <w:rPr>
          <w:rStyle w:val="FootnoteReference"/>
        </w:rPr>
        <w:footnoteReference w:id="125"/>
      </w:r>
      <w:r>
        <w:t xml:space="preserve"> </w:t>
      </w:r>
    </w:p>
    <w:p w14:paraId="3833618E" w14:textId="77777777" w:rsidR="00E8237B" w:rsidRDefault="00E8237B" w:rsidP="00E8237B">
      <w:pPr>
        <w:pStyle w:val="Heading2"/>
      </w:pPr>
      <w:bookmarkStart w:id="327" w:name="_Toc174692713"/>
      <w:r>
        <w:t>Our regulation of unbooked taxi fares and non-cash payment surcharges</w:t>
      </w:r>
      <w:bookmarkEnd w:id="327"/>
    </w:p>
    <w:p w14:paraId="263252F6" w14:textId="77777777" w:rsidR="00E8237B" w:rsidRDefault="00E8237B" w:rsidP="00E8237B">
      <w:r>
        <w:t>The ESC Act provides that the price determinations for unbooked taxi fares and non-cash payment surcharges may regulate in any manner we consider appropriate.</w:t>
      </w:r>
      <w:r>
        <w:rPr>
          <w:rStyle w:val="FootnoteReference"/>
        </w:rPr>
        <w:footnoteReference w:id="126"/>
      </w:r>
      <w:r>
        <w:t xml:space="preserve"> This may include:</w:t>
      </w:r>
    </w:p>
    <w:p w14:paraId="73A5810E" w14:textId="4DCFCC47" w:rsidR="00E8237B" w:rsidRDefault="00E8237B" w:rsidP="00E8237B">
      <w:pPr>
        <w:pStyle w:val="ListBullet"/>
        <w:tabs>
          <w:tab w:val="num" w:pos="360"/>
        </w:tabs>
      </w:pPr>
      <w:r>
        <w:t>fixing the price or the rate of increase or decrease in the price</w:t>
      </w:r>
    </w:p>
    <w:p w14:paraId="2F54E030" w14:textId="517F06BB" w:rsidR="00E8237B" w:rsidRDefault="00E8237B" w:rsidP="00E8237B">
      <w:pPr>
        <w:pStyle w:val="ListBullet"/>
        <w:tabs>
          <w:tab w:val="num" w:pos="360"/>
        </w:tabs>
      </w:pPr>
      <w:r>
        <w:lastRenderedPageBreak/>
        <w:t>fixing a maximum price or maximum rate of increase or minimum rate of decrease in the maximum price</w:t>
      </w:r>
    </w:p>
    <w:p w14:paraId="66294CB4" w14:textId="0625E8CA" w:rsidR="00E8237B" w:rsidRDefault="00E8237B" w:rsidP="00E8237B">
      <w:pPr>
        <w:pStyle w:val="ListBullet"/>
        <w:tabs>
          <w:tab w:val="num" w:pos="360"/>
        </w:tabs>
      </w:pPr>
      <w:r>
        <w:t>fixing an average price for specified goods or services or an average rate of increase or decrease in the average price</w:t>
      </w:r>
    </w:p>
    <w:p w14:paraId="5970893B" w14:textId="17C66246" w:rsidR="00E8237B" w:rsidRDefault="00E8237B" w:rsidP="00E8237B">
      <w:pPr>
        <w:pStyle w:val="ListBullet"/>
        <w:tabs>
          <w:tab w:val="num" w:pos="360"/>
        </w:tabs>
      </w:pPr>
      <w:r>
        <w:t>specifying pricing policies or principles</w:t>
      </w:r>
    </w:p>
    <w:p w14:paraId="4D4D6F3B" w14:textId="48A170A1" w:rsidR="00E8237B" w:rsidRDefault="00E8237B" w:rsidP="00E8237B">
      <w:pPr>
        <w:pStyle w:val="ListBullet"/>
        <w:tabs>
          <w:tab w:val="num" w:pos="360"/>
        </w:tabs>
      </w:pPr>
      <w:r>
        <w:t>specifying an amount determined by reference to a general price index, the cost of production, a rate of return on assets employed or any other specified factor</w:t>
      </w:r>
    </w:p>
    <w:p w14:paraId="2EB0F942" w14:textId="4711200B" w:rsidR="00E8237B" w:rsidRDefault="00E8237B" w:rsidP="00E8237B">
      <w:pPr>
        <w:pStyle w:val="ListBullet"/>
        <w:tabs>
          <w:tab w:val="num" w:pos="360"/>
        </w:tabs>
      </w:pPr>
      <w:r>
        <w:t>specifying an amount determined by reference to quantity, location, period or other specified factor relevant to the rate or supply of the goods or services</w:t>
      </w:r>
    </w:p>
    <w:p w14:paraId="5657361D" w14:textId="3430D214" w:rsidR="00E8237B" w:rsidRDefault="00E8237B" w:rsidP="00E8237B">
      <w:pPr>
        <w:pStyle w:val="ListBullet"/>
        <w:tabs>
          <w:tab w:val="num" w:pos="360"/>
        </w:tabs>
      </w:pPr>
      <w:r>
        <w:t>fixing a maximum average revenue or maximum rate of increase or minimum rate of decrease in the maximum average revenue in relation to specified goods or services and</w:t>
      </w:r>
    </w:p>
    <w:p w14:paraId="6AC3C7E8" w14:textId="77777777" w:rsidR="00E8237B" w:rsidRDefault="00E8237B" w:rsidP="00E8237B">
      <w:pPr>
        <w:pStyle w:val="ListBullet"/>
        <w:tabs>
          <w:tab w:val="num" w:pos="360"/>
        </w:tabs>
      </w:pPr>
      <w:r>
        <w:t>monitoring the price levels of specified goods and services.</w:t>
      </w:r>
    </w:p>
    <w:p w14:paraId="73D8F328" w14:textId="77777777" w:rsidR="00E8237B" w:rsidRDefault="00E8237B" w:rsidP="00E8237B">
      <w:r>
        <w:t>In regulating unbooked taxi fares, the CPVI Act specifically provides that the manner in which we may regulate unbooked taxi fares includes determining different prices according to:</w:t>
      </w:r>
      <w:r>
        <w:rPr>
          <w:rStyle w:val="FootnoteReference"/>
        </w:rPr>
        <w:footnoteReference w:id="127"/>
      </w:r>
    </w:p>
    <w:p w14:paraId="64F54A9A" w14:textId="7D9A7304" w:rsidR="00E8237B" w:rsidRDefault="00E8237B" w:rsidP="00E8237B">
      <w:pPr>
        <w:pStyle w:val="ListBullet"/>
        <w:tabs>
          <w:tab w:val="num" w:pos="360"/>
        </w:tabs>
      </w:pPr>
      <w:r>
        <w:t>the time of day at which, or day of the week or kind of day on which, an applicable unbooked service is provided</w:t>
      </w:r>
    </w:p>
    <w:p w14:paraId="313BE690" w14:textId="03F5F659" w:rsidR="00E8237B" w:rsidRDefault="00E8237B" w:rsidP="00E8237B">
      <w:pPr>
        <w:pStyle w:val="ListBullet"/>
        <w:tabs>
          <w:tab w:val="num" w:pos="360"/>
        </w:tabs>
      </w:pPr>
      <w:r>
        <w:t>the speed at which the commercial passenger vehicle used in the provision of the applicable unbooked service is travelling</w:t>
      </w:r>
    </w:p>
    <w:p w14:paraId="6208FC60" w14:textId="3E55B4ED" w:rsidR="00E8237B" w:rsidRDefault="00E8237B" w:rsidP="00E8237B">
      <w:pPr>
        <w:pStyle w:val="ListBullet"/>
        <w:tabs>
          <w:tab w:val="num" w:pos="360"/>
        </w:tabs>
      </w:pPr>
      <w:r>
        <w:t>the distance travelled by the commercial passenger vehicle used in the provision of the applicable unbooked service</w:t>
      </w:r>
    </w:p>
    <w:p w14:paraId="0DC6D575" w14:textId="74072D90" w:rsidR="00E8237B" w:rsidRDefault="00E8237B" w:rsidP="00E8237B">
      <w:pPr>
        <w:pStyle w:val="ListBullet"/>
        <w:tabs>
          <w:tab w:val="num" w:pos="360"/>
        </w:tabs>
      </w:pPr>
      <w:r>
        <w:t>the type of commercial passenger vehicle used in the provision of the applicable unbooked service</w:t>
      </w:r>
    </w:p>
    <w:p w14:paraId="1FF7902B" w14:textId="41145159" w:rsidR="00E8237B" w:rsidRDefault="00E8237B" w:rsidP="00E8237B">
      <w:pPr>
        <w:pStyle w:val="ListBullet"/>
        <w:tabs>
          <w:tab w:val="num" w:pos="360"/>
        </w:tabs>
      </w:pPr>
      <w:r>
        <w:t>the occupancy of the commercial passenger vehicle used in the provision of the applicable unbooked service, including where there is more than one passenger</w:t>
      </w:r>
    </w:p>
    <w:p w14:paraId="776290F8" w14:textId="694FF26A" w:rsidR="00E8237B" w:rsidRDefault="00E8237B" w:rsidP="00E8237B">
      <w:pPr>
        <w:pStyle w:val="ListBullet"/>
        <w:tabs>
          <w:tab w:val="num" w:pos="360"/>
        </w:tabs>
      </w:pPr>
      <w:r>
        <w:t>where a journey in respect of which the applicable unbooked service is provided begins or ends</w:t>
      </w:r>
    </w:p>
    <w:p w14:paraId="1B6061A6" w14:textId="512F49BF" w:rsidR="00E8237B" w:rsidRDefault="00E8237B" w:rsidP="00E8237B">
      <w:pPr>
        <w:pStyle w:val="ListBullet"/>
        <w:tabs>
          <w:tab w:val="num" w:pos="360"/>
        </w:tabs>
      </w:pPr>
      <w:r>
        <w:t>the prevailing economic conditions, including the price of fuel and the consumer price index</w:t>
      </w:r>
    </w:p>
    <w:p w14:paraId="5B8ED1FA" w14:textId="0DC4CC28" w:rsidR="00E8237B" w:rsidRDefault="00E8237B" w:rsidP="00E8237B">
      <w:pPr>
        <w:pStyle w:val="ListBullet"/>
        <w:tabs>
          <w:tab w:val="num" w:pos="360"/>
        </w:tabs>
      </w:pPr>
      <w:r>
        <w:t xml:space="preserve">the Fair Work Commission’s annual wage review under section 285 of the </w:t>
      </w:r>
      <w:r w:rsidRPr="00503A99">
        <w:rPr>
          <w:i/>
          <w:iCs/>
        </w:rPr>
        <w:t>Fair Work Act 2009</w:t>
      </w:r>
      <w:r>
        <w:t xml:space="preserve"> of the Commonwealth</w:t>
      </w:r>
    </w:p>
    <w:p w14:paraId="111A5843" w14:textId="470E9B70" w:rsidR="00E8237B" w:rsidRDefault="00E8237B" w:rsidP="00E8237B">
      <w:pPr>
        <w:pStyle w:val="ListBullet"/>
        <w:tabs>
          <w:tab w:val="num" w:pos="360"/>
        </w:tabs>
      </w:pPr>
      <w:r>
        <w:t>the commercial viability of operating a taxi service</w:t>
      </w:r>
      <w:r>
        <w:rPr>
          <w:rStyle w:val="FootnoteReference"/>
        </w:rPr>
        <w:footnoteReference w:id="128"/>
      </w:r>
    </w:p>
    <w:p w14:paraId="3AB8C028" w14:textId="77777777" w:rsidR="00E8237B" w:rsidRDefault="00E8237B" w:rsidP="00E8237B">
      <w:pPr>
        <w:pStyle w:val="ListBullet"/>
        <w:tabs>
          <w:tab w:val="num" w:pos="360"/>
        </w:tabs>
      </w:pPr>
      <w:r>
        <w:lastRenderedPageBreak/>
        <w:t>any other matter the ESC considers to be relevant.</w:t>
      </w:r>
    </w:p>
    <w:p w14:paraId="5CB092C0" w14:textId="77777777" w:rsidR="00E8237B" w:rsidRDefault="00E8237B" w:rsidP="00E8237B">
      <w:r>
        <w:t xml:space="preserve">In regulating non-cash payment surcharges, the CPVI Act specifically provides that we may determine different prices according </w:t>
      </w:r>
      <w:r w:rsidRPr="00951C3D">
        <w:t xml:space="preserve">to circumstances specified in the determination if </w:t>
      </w:r>
      <w:r>
        <w:t xml:space="preserve">we </w:t>
      </w:r>
      <w:r w:rsidRPr="00951C3D">
        <w:t xml:space="preserve">consider it necessary </w:t>
      </w:r>
      <w:r>
        <w:t>in order to ensure persons facilitating the making of non-cash payment transactions are able to recover the reasonable cost of accepting and processing such transactions.</w:t>
      </w:r>
      <w:r>
        <w:rPr>
          <w:rStyle w:val="FootnoteReference"/>
        </w:rPr>
        <w:footnoteReference w:id="129"/>
      </w:r>
      <w:r>
        <w:t xml:space="preserve"> </w:t>
      </w:r>
    </w:p>
    <w:p w14:paraId="16469ACA" w14:textId="77777777" w:rsidR="0032323F" w:rsidRDefault="0032323F" w:rsidP="00E8237B"/>
    <w:p w14:paraId="31C23359" w14:textId="77777777" w:rsidR="0032793D" w:rsidRDefault="0032793D" w:rsidP="005E5002">
      <w:pPr>
        <w:rPr>
          <w:rStyle w:val="Heading1Char"/>
        </w:rPr>
        <w:sectPr w:rsidR="0032793D" w:rsidSect="0053218D">
          <w:headerReference w:type="default" r:id="rId65"/>
          <w:footerReference w:type="default" r:id="rId66"/>
          <w:pgSz w:w="11906" w:h="16838" w:code="9"/>
          <w:pgMar w:top="1134" w:right="1134" w:bottom="1134" w:left="1134" w:header="709" w:footer="692" w:gutter="0"/>
          <w:cols w:space="708"/>
          <w:docGrid w:linePitch="360"/>
        </w:sectPr>
      </w:pPr>
    </w:p>
    <w:p w14:paraId="608F2530" w14:textId="1811DA33" w:rsidR="00903773" w:rsidRPr="009A4EBA" w:rsidRDefault="002B1E9E" w:rsidP="00F74CCB">
      <w:pPr>
        <w:pStyle w:val="Figure-Table-BoxHeading"/>
        <w:rPr>
          <w:rStyle w:val="Strong"/>
          <w:b/>
        </w:rPr>
      </w:pPr>
      <w:r w:rsidRPr="009A4EBA">
        <w:rPr>
          <w:rStyle w:val="Strong"/>
          <w:b/>
        </w:rPr>
        <w:lastRenderedPageBreak/>
        <w:t xml:space="preserve">Table </w:t>
      </w:r>
      <w:r w:rsidR="008764D4">
        <w:rPr>
          <w:rStyle w:val="Strong"/>
          <w:b/>
        </w:rPr>
        <w:t>G</w:t>
      </w:r>
      <w:r w:rsidRPr="009A4EBA">
        <w:rPr>
          <w:rStyle w:val="Strong"/>
          <w:b/>
        </w:rPr>
        <w:t>.</w:t>
      </w:r>
      <w:r w:rsidR="00F74CCB" w:rsidRPr="009A4EBA">
        <w:rPr>
          <w:rStyle w:val="Strong"/>
          <w:b/>
        </w:rPr>
        <w:t>1</w:t>
      </w:r>
      <w:r w:rsidR="00F74CCB" w:rsidRPr="009A4EBA">
        <w:rPr>
          <w:rStyle w:val="Strong"/>
          <w:b/>
        </w:rPr>
        <w:tab/>
      </w:r>
      <w:r w:rsidRPr="009A4EBA">
        <w:rPr>
          <w:rStyle w:val="Strong"/>
          <w:b/>
        </w:rPr>
        <w:t>Legislative matters we must have regard to</w:t>
      </w:r>
    </w:p>
    <w:tbl>
      <w:tblPr>
        <w:tblStyle w:val="TableGrid"/>
        <w:tblW w:w="0" w:type="auto"/>
        <w:tblLook w:val="04A0" w:firstRow="1" w:lastRow="0" w:firstColumn="1" w:lastColumn="0" w:noHBand="0" w:noVBand="1"/>
      </w:tblPr>
      <w:tblGrid>
        <w:gridCol w:w="4882"/>
        <w:gridCol w:w="4842"/>
        <w:gridCol w:w="4846"/>
      </w:tblGrid>
      <w:tr w:rsidR="0048332E" w14:paraId="6CCD4EFB" w14:textId="77777777" w:rsidTr="0F3B4C48">
        <w:trPr>
          <w:cnfStyle w:val="100000000000" w:firstRow="1" w:lastRow="0" w:firstColumn="0" w:lastColumn="0" w:oddVBand="0" w:evenVBand="0" w:oddHBand="0" w:evenHBand="0" w:firstRowFirstColumn="0" w:firstRowLastColumn="0" w:lastRowFirstColumn="0" w:lastRowLastColumn="0"/>
        </w:trPr>
        <w:tc>
          <w:tcPr>
            <w:tcW w:w="4882" w:type="dxa"/>
          </w:tcPr>
          <w:p w14:paraId="21A18AFD" w14:textId="77777777" w:rsidR="0048332E" w:rsidRDefault="0048332E" w:rsidP="008B3B81">
            <w:pPr>
              <w:pStyle w:val="TableHeading"/>
            </w:pPr>
          </w:p>
        </w:tc>
        <w:tc>
          <w:tcPr>
            <w:tcW w:w="4842" w:type="dxa"/>
          </w:tcPr>
          <w:p w14:paraId="4D5DC5FB" w14:textId="7F9C9680" w:rsidR="0048332E" w:rsidRDefault="0048332E" w:rsidP="008B3B81">
            <w:pPr>
              <w:pStyle w:val="TableHeading"/>
            </w:pPr>
            <w:r>
              <w:t xml:space="preserve">Examples of how we have had regard to this in making our </w:t>
            </w:r>
            <w:r w:rsidR="00E8021A">
              <w:t xml:space="preserve">final </w:t>
            </w:r>
            <w:r>
              <w:t>decision for unbooked taxi fares</w:t>
            </w:r>
          </w:p>
        </w:tc>
        <w:tc>
          <w:tcPr>
            <w:tcW w:w="4846" w:type="dxa"/>
          </w:tcPr>
          <w:p w14:paraId="2180FF42" w14:textId="5FE68A49" w:rsidR="0048332E" w:rsidRDefault="0048332E" w:rsidP="008B3B81">
            <w:pPr>
              <w:pStyle w:val="TableHeading"/>
            </w:pPr>
            <w:r>
              <w:t>Examples of h</w:t>
            </w:r>
            <w:r w:rsidRPr="00A34A93">
              <w:t xml:space="preserve">ow we have had regard to this in making our </w:t>
            </w:r>
            <w:r w:rsidR="00E8021A">
              <w:t>final</w:t>
            </w:r>
            <w:r w:rsidR="00E8021A" w:rsidRPr="00A34A93">
              <w:t xml:space="preserve"> </w:t>
            </w:r>
            <w:r w:rsidRPr="00A34A93">
              <w:t xml:space="preserve">decision for </w:t>
            </w:r>
            <w:r>
              <w:t>taxi non-cash payment surcharges</w:t>
            </w:r>
          </w:p>
        </w:tc>
      </w:tr>
      <w:tr w:rsidR="0048332E" w14:paraId="070C3682"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1B5BE261" w14:textId="77777777" w:rsidR="0048332E" w:rsidRPr="00517F06" w:rsidRDefault="0048332E" w:rsidP="008B3B81">
            <w:pPr>
              <w:pStyle w:val="TableBold"/>
            </w:pPr>
            <w:r>
              <w:t>Section 8A of the ESC Act 2001</w:t>
            </w:r>
          </w:p>
        </w:tc>
        <w:tc>
          <w:tcPr>
            <w:tcW w:w="4842" w:type="dxa"/>
          </w:tcPr>
          <w:p w14:paraId="2F086BFF" w14:textId="77777777" w:rsidR="0048332E" w:rsidRDefault="0048332E" w:rsidP="008B3B81">
            <w:pPr>
              <w:pStyle w:val="TableBold"/>
            </w:pPr>
          </w:p>
        </w:tc>
        <w:tc>
          <w:tcPr>
            <w:tcW w:w="4846" w:type="dxa"/>
          </w:tcPr>
          <w:p w14:paraId="7123D76C" w14:textId="77777777" w:rsidR="0048332E" w:rsidRDefault="0048332E" w:rsidP="008B3B81">
            <w:pPr>
              <w:pStyle w:val="TableBold"/>
            </w:pPr>
          </w:p>
        </w:tc>
      </w:tr>
      <w:tr w:rsidR="0048332E" w14:paraId="797CAC2F" w14:textId="77777777" w:rsidTr="0F3B4C48">
        <w:trPr>
          <w:cnfStyle w:val="000000010000" w:firstRow="0" w:lastRow="0" w:firstColumn="0" w:lastColumn="0" w:oddVBand="0" w:evenVBand="0" w:oddHBand="0" w:evenHBand="1" w:firstRowFirstColumn="0" w:firstRowLastColumn="0" w:lastRowFirstColumn="0" w:lastRowLastColumn="0"/>
        </w:trPr>
        <w:tc>
          <w:tcPr>
            <w:tcW w:w="4882" w:type="dxa"/>
          </w:tcPr>
          <w:p w14:paraId="7A93DED5" w14:textId="77777777" w:rsidR="0048332E" w:rsidRDefault="0048332E" w:rsidP="00434AC3">
            <w:pPr>
              <w:pStyle w:val="ListParagraph"/>
              <w:numPr>
                <w:ilvl w:val="0"/>
                <w:numId w:val="36"/>
              </w:numPr>
              <w:spacing w:before="0" w:line="264" w:lineRule="auto"/>
              <w:ind w:left="476" w:hanging="357"/>
            </w:pPr>
            <w:r w:rsidRPr="00517F06">
              <w:t>efficiency in the industry and incentives for long term investment</w:t>
            </w:r>
          </w:p>
        </w:tc>
        <w:tc>
          <w:tcPr>
            <w:tcW w:w="4842" w:type="dxa"/>
          </w:tcPr>
          <w:p w14:paraId="15D887C5" w14:textId="44C673B7" w:rsidR="0048332E" w:rsidRDefault="714C34A6" w:rsidP="00434AC3">
            <w:pPr>
              <w:pStyle w:val="TableBody"/>
              <w:spacing w:line="264" w:lineRule="auto"/>
            </w:pPr>
            <w:r w:rsidRPr="0F3B4C48">
              <w:rPr>
                <w:lang w:val="en-AU"/>
              </w:rPr>
              <w:t>Our taxi cost index</w:t>
            </w:r>
            <w:r w:rsidR="34709A35" w:rsidRPr="0F3B4C48">
              <w:rPr>
                <w:lang w:val="en-AU"/>
              </w:rPr>
              <w:t>es</w:t>
            </w:r>
            <w:r w:rsidRPr="0F3B4C48">
              <w:rPr>
                <w:lang w:val="en-AU"/>
              </w:rPr>
              <w:t xml:space="preserve"> represent the costs of operating an ‘average taxi’, which we consider to be achievable for an efficient taxi. Our taxi cost index</w:t>
            </w:r>
            <w:r w:rsidR="324B92AA" w:rsidRPr="0F3B4C48">
              <w:rPr>
                <w:lang w:val="en-AU"/>
              </w:rPr>
              <w:t>es</w:t>
            </w:r>
            <w:r w:rsidRPr="0F3B4C48">
              <w:rPr>
                <w:lang w:val="en-AU"/>
              </w:rPr>
              <w:t xml:space="preserve"> include a return on assets, ensuring incentives for long term investment remain. </w:t>
            </w:r>
          </w:p>
        </w:tc>
        <w:tc>
          <w:tcPr>
            <w:tcW w:w="4846" w:type="dxa"/>
          </w:tcPr>
          <w:p w14:paraId="2EDD43BE" w14:textId="4345B08E" w:rsidR="0048332E" w:rsidRDefault="714C34A6" w:rsidP="00434AC3">
            <w:pPr>
              <w:pStyle w:val="TableBody"/>
              <w:spacing w:line="264" w:lineRule="auto"/>
            </w:pPr>
            <w:r w:rsidRPr="0F3B4C48">
              <w:rPr>
                <w:lang w:val="en-AU"/>
              </w:rPr>
              <w:t xml:space="preserve">By enabling taxi payment processors to recover the reasonable cost of processing non-cash payments, our </w:t>
            </w:r>
            <w:r w:rsidR="70EF27F1" w:rsidRPr="0F3B4C48">
              <w:rPr>
                <w:lang w:val="en-AU"/>
              </w:rPr>
              <w:t xml:space="preserve">final </w:t>
            </w:r>
            <w:r w:rsidRPr="0F3B4C48">
              <w:rPr>
                <w:lang w:val="en-AU"/>
              </w:rPr>
              <w:t>decision will promote efficiency in the industry and ensure there will be appropriate incentives for long term investment.</w:t>
            </w:r>
          </w:p>
        </w:tc>
      </w:tr>
      <w:tr w:rsidR="0048332E" w14:paraId="15536575"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3EE670F3" w14:textId="77777777" w:rsidR="0048332E" w:rsidRDefault="0048332E" w:rsidP="00434AC3">
            <w:pPr>
              <w:pStyle w:val="ListParagraph"/>
              <w:numPr>
                <w:ilvl w:val="0"/>
                <w:numId w:val="36"/>
              </w:numPr>
              <w:spacing w:before="0" w:line="264" w:lineRule="auto"/>
              <w:ind w:left="476" w:hanging="357"/>
            </w:pPr>
            <w:r w:rsidRPr="00517F06">
              <w:t>the financial viability of the industry</w:t>
            </w:r>
          </w:p>
        </w:tc>
        <w:tc>
          <w:tcPr>
            <w:tcW w:w="4842" w:type="dxa"/>
          </w:tcPr>
          <w:p w14:paraId="2987E715" w14:textId="77777777" w:rsidR="0048332E" w:rsidRDefault="714C34A6" w:rsidP="00434AC3">
            <w:pPr>
              <w:pStyle w:val="TableBody"/>
              <w:spacing w:line="264" w:lineRule="auto"/>
            </w:pPr>
            <w:r w:rsidRPr="0F3B4C48">
              <w:rPr>
                <w:lang w:val="en-AU"/>
              </w:rPr>
              <w:t xml:space="preserve">Our final decision on maximum fares for unbooked taxi services reflects our estimates of the efficient cost of operating a taxi, and therefore will help promote the financial viability of the industry and the commercial viability of operating a taxi service </w:t>
            </w:r>
          </w:p>
        </w:tc>
        <w:tc>
          <w:tcPr>
            <w:tcW w:w="4846" w:type="dxa"/>
          </w:tcPr>
          <w:p w14:paraId="5DB8CB12" w14:textId="3DF93D57" w:rsidR="0048332E" w:rsidRDefault="714C34A6" w:rsidP="00434AC3">
            <w:pPr>
              <w:pStyle w:val="TableBody"/>
              <w:spacing w:line="264" w:lineRule="auto"/>
            </w:pPr>
            <w:r w:rsidRPr="0F3B4C48">
              <w:rPr>
                <w:lang w:val="en-AU"/>
              </w:rPr>
              <w:t>After taking into account our benchmarking analysis and our proposed increase in unbooked taxi fares we are satisfied that the taxi non-cash payment industry will be financially viable under our decision to maintain the maximum surcharges at 4 per cent and 6</w:t>
            </w:r>
            <w:r w:rsidR="67EFB994" w:rsidRPr="0F3B4C48">
              <w:rPr>
                <w:lang w:val="en-AU"/>
              </w:rPr>
              <w:t> </w:t>
            </w:r>
            <w:r w:rsidRPr="0F3B4C48">
              <w:rPr>
                <w:lang w:val="en-AU"/>
              </w:rPr>
              <w:t>per cent.</w:t>
            </w:r>
          </w:p>
        </w:tc>
      </w:tr>
      <w:tr w:rsidR="0048332E" w14:paraId="43EDA44D" w14:textId="77777777" w:rsidTr="0F3B4C48">
        <w:trPr>
          <w:cnfStyle w:val="000000010000" w:firstRow="0" w:lastRow="0" w:firstColumn="0" w:lastColumn="0" w:oddVBand="0" w:evenVBand="0" w:oddHBand="0" w:evenHBand="1" w:firstRowFirstColumn="0" w:firstRowLastColumn="0" w:lastRowFirstColumn="0" w:lastRowLastColumn="0"/>
        </w:trPr>
        <w:tc>
          <w:tcPr>
            <w:tcW w:w="4882" w:type="dxa"/>
          </w:tcPr>
          <w:p w14:paraId="3B67ECE8" w14:textId="77777777" w:rsidR="0048332E" w:rsidRDefault="0048332E" w:rsidP="00434AC3">
            <w:pPr>
              <w:pStyle w:val="ListParagraph"/>
              <w:numPr>
                <w:ilvl w:val="0"/>
                <w:numId w:val="36"/>
              </w:numPr>
              <w:spacing w:before="0" w:line="264" w:lineRule="auto"/>
              <w:ind w:left="476" w:hanging="357"/>
            </w:pPr>
            <w:r w:rsidRPr="00517F06">
              <w:t>the degree of, and scope for, competition within the industry, including countervailing market power and information asymmetries</w:t>
            </w:r>
          </w:p>
        </w:tc>
        <w:tc>
          <w:tcPr>
            <w:tcW w:w="4842" w:type="dxa"/>
          </w:tcPr>
          <w:p w14:paraId="1CF84AFD" w14:textId="514B8F30" w:rsidR="0048332E" w:rsidRDefault="0048332E" w:rsidP="00434AC3">
            <w:pPr>
              <w:pStyle w:val="TableBody"/>
              <w:spacing w:line="264" w:lineRule="auto"/>
            </w:pPr>
            <w:r>
              <w:t xml:space="preserve">Our </w:t>
            </w:r>
            <w:r w:rsidR="008A4182">
              <w:t xml:space="preserve">final </w:t>
            </w:r>
            <w:r>
              <w:t xml:space="preserve">decision </w:t>
            </w:r>
            <w:r w:rsidRPr="00791BCD">
              <w:t>set</w:t>
            </w:r>
            <w:r w:rsidR="008A4182">
              <w:t>s</w:t>
            </w:r>
            <w:r w:rsidRPr="00791BCD">
              <w:t xml:space="preserve"> maximum fares </w:t>
            </w:r>
            <w:r>
              <w:t xml:space="preserve">based on </w:t>
            </w:r>
            <w:r w:rsidRPr="00791BCD">
              <w:t>efficient costs</w:t>
            </w:r>
            <w:r>
              <w:t>, as suggested by our taxi cost index</w:t>
            </w:r>
            <w:r w:rsidR="008A4182">
              <w:t>es</w:t>
            </w:r>
            <w:r>
              <w:t>. This</w:t>
            </w:r>
            <w:r w:rsidRPr="00791BCD">
              <w:t xml:space="preserve"> is consistent with </w:t>
            </w:r>
            <w:r>
              <w:t xml:space="preserve">the principles of </w:t>
            </w:r>
            <w:r w:rsidRPr="00791BCD">
              <w:t>competition</w:t>
            </w:r>
            <w:r>
              <w:t xml:space="preserve"> and</w:t>
            </w:r>
            <w:r w:rsidRPr="00791BCD">
              <w:t xml:space="preserve"> does not prevent unbooked taxi service providers from competing with substitute services</w:t>
            </w:r>
            <w:r>
              <w:t xml:space="preserve"> or </w:t>
            </w:r>
            <w:r w:rsidRPr="00791BCD">
              <w:t>from offering lower fares to attract customers.</w:t>
            </w:r>
          </w:p>
        </w:tc>
        <w:tc>
          <w:tcPr>
            <w:tcW w:w="4846" w:type="dxa"/>
          </w:tcPr>
          <w:p w14:paraId="7C61830E" w14:textId="77777777" w:rsidR="0048332E" w:rsidRDefault="0048332E" w:rsidP="00434AC3">
            <w:pPr>
              <w:pStyle w:val="TableBody"/>
              <w:spacing w:line="264" w:lineRule="auto"/>
            </w:pPr>
            <w:r>
              <w:t>Our consideration of competition within the industry and in the broader markets for taxis and commercial passenger vehicles is reflected in the assumptions underpinning our benchmarking analysis, in particular our assumptions around multiple payment terminals and average revenue per payment terminal.</w:t>
            </w:r>
            <w:r w:rsidRPr="00EB5360">
              <w:t xml:space="preserve"> </w:t>
            </w:r>
          </w:p>
        </w:tc>
      </w:tr>
    </w:tbl>
    <w:p w14:paraId="0A51CA12" w14:textId="4953D76B" w:rsidR="0048332E" w:rsidRPr="00503A99" w:rsidRDefault="005E201E" w:rsidP="004D3C44">
      <w:pPr>
        <w:pStyle w:val="Source"/>
        <w:rPr>
          <w:rStyle w:val="Strong"/>
          <w:b w:val="0"/>
        </w:rPr>
      </w:pPr>
      <w:r w:rsidRPr="00503A99">
        <w:rPr>
          <w:rStyle w:val="Strong"/>
          <w:b w:val="0"/>
        </w:rPr>
        <w:t>C</w:t>
      </w:r>
      <w:r w:rsidR="004D3C44" w:rsidRPr="00503A99">
        <w:rPr>
          <w:rStyle w:val="Strong"/>
          <w:b w:val="0"/>
        </w:rPr>
        <w:t>ontinued next page</w:t>
      </w:r>
    </w:p>
    <w:p w14:paraId="157E45D5" w14:textId="77777777" w:rsidR="004D3C44" w:rsidRPr="00434AC3" w:rsidRDefault="004D3C44" w:rsidP="00434AC3">
      <w:pPr>
        <w:pStyle w:val="Source"/>
        <w:rPr>
          <w:rStyle w:val="Strong"/>
        </w:rPr>
      </w:pPr>
    </w:p>
    <w:tbl>
      <w:tblPr>
        <w:tblStyle w:val="TableGrid"/>
        <w:tblpPr w:leftFromText="180" w:rightFromText="180" w:horzAnchor="margin" w:tblpY="580"/>
        <w:tblW w:w="0" w:type="auto"/>
        <w:tblLook w:val="04A0" w:firstRow="1" w:lastRow="0" w:firstColumn="1" w:lastColumn="0" w:noHBand="0" w:noVBand="1"/>
      </w:tblPr>
      <w:tblGrid>
        <w:gridCol w:w="4882"/>
        <w:gridCol w:w="4842"/>
        <w:gridCol w:w="4846"/>
      </w:tblGrid>
      <w:tr w:rsidR="00C0485B" w14:paraId="12B5FC31" w14:textId="77777777" w:rsidTr="0F3B4C48">
        <w:trPr>
          <w:cnfStyle w:val="100000000000" w:firstRow="1" w:lastRow="0" w:firstColumn="0" w:lastColumn="0" w:oddVBand="0" w:evenVBand="0" w:oddHBand="0" w:evenHBand="0" w:firstRowFirstColumn="0" w:firstRowLastColumn="0" w:lastRowFirstColumn="0" w:lastRowLastColumn="0"/>
        </w:trPr>
        <w:tc>
          <w:tcPr>
            <w:tcW w:w="4882" w:type="dxa"/>
          </w:tcPr>
          <w:p w14:paraId="191B0759" w14:textId="77777777" w:rsidR="00C0485B" w:rsidRDefault="00C0485B" w:rsidP="00B07F9A">
            <w:pPr>
              <w:pStyle w:val="TableHeading"/>
            </w:pPr>
          </w:p>
        </w:tc>
        <w:tc>
          <w:tcPr>
            <w:tcW w:w="4842" w:type="dxa"/>
          </w:tcPr>
          <w:p w14:paraId="3CF59E8D" w14:textId="04C0D50A" w:rsidR="00C0485B" w:rsidRDefault="00C0485B" w:rsidP="00B07F9A">
            <w:pPr>
              <w:pStyle w:val="TableHeading"/>
            </w:pPr>
            <w:r>
              <w:t xml:space="preserve">Examples of how we have had regard to this in making our </w:t>
            </w:r>
            <w:r w:rsidR="00E8021A">
              <w:t xml:space="preserve">final </w:t>
            </w:r>
            <w:r>
              <w:t>decision for unbooked taxi fares</w:t>
            </w:r>
          </w:p>
        </w:tc>
        <w:tc>
          <w:tcPr>
            <w:tcW w:w="4846" w:type="dxa"/>
          </w:tcPr>
          <w:p w14:paraId="35D04A0F" w14:textId="6907BC61" w:rsidR="00C0485B" w:rsidRDefault="00C0485B" w:rsidP="00B07F9A">
            <w:pPr>
              <w:pStyle w:val="TableHeading"/>
            </w:pPr>
            <w:r>
              <w:t>Examples of h</w:t>
            </w:r>
            <w:r w:rsidRPr="00A34A93">
              <w:t xml:space="preserve">ow we have had regard to this in making our </w:t>
            </w:r>
            <w:r w:rsidR="00E8021A">
              <w:t>final</w:t>
            </w:r>
            <w:r w:rsidR="00E8021A" w:rsidRPr="00A34A93">
              <w:t xml:space="preserve"> </w:t>
            </w:r>
            <w:r w:rsidRPr="00A34A93">
              <w:t xml:space="preserve">decision for </w:t>
            </w:r>
            <w:r>
              <w:t>taxi non-cash payment surcharges</w:t>
            </w:r>
          </w:p>
        </w:tc>
      </w:tr>
      <w:tr w:rsidR="00C0485B" w14:paraId="6CCB548A"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6A989600" w14:textId="3C4664D8" w:rsidR="00C0485B" w:rsidRPr="00517F06" w:rsidRDefault="00C0485B" w:rsidP="00B07F9A">
            <w:pPr>
              <w:pStyle w:val="TableBold"/>
            </w:pPr>
            <w:r>
              <w:t>Section 8A of the ESC Act 2001</w:t>
            </w:r>
            <w:r w:rsidR="004D3C44">
              <w:t xml:space="preserve"> (continued)</w:t>
            </w:r>
          </w:p>
        </w:tc>
        <w:tc>
          <w:tcPr>
            <w:tcW w:w="4842" w:type="dxa"/>
          </w:tcPr>
          <w:p w14:paraId="7ABF72A9" w14:textId="77777777" w:rsidR="00C0485B" w:rsidRDefault="00C0485B" w:rsidP="00B07F9A">
            <w:pPr>
              <w:pStyle w:val="TableBold"/>
            </w:pPr>
          </w:p>
        </w:tc>
        <w:tc>
          <w:tcPr>
            <w:tcW w:w="4846" w:type="dxa"/>
          </w:tcPr>
          <w:p w14:paraId="1D9EB67B" w14:textId="77777777" w:rsidR="00C0485B" w:rsidRDefault="00C0485B" w:rsidP="00B07F9A">
            <w:pPr>
              <w:pStyle w:val="TableBold"/>
            </w:pPr>
          </w:p>
        </w:tc>
      </w:tr>
      <w:tr w:rsidR="00C0485B" w:rsidRPr="009A41C8" w14:paraId="08AAEB27" w14:textId="77777777" w:rsidTr="0F3B4C48">
        <w:trPr>
          <w:cnfStyle w:val="000000010000" w:firstRow="0" w:lastRow="0" w:firstColumn="0" w:lastColumn="0" w:oddVBand="0" w:evenVBand="0" w:oddHBand="0" w:evenHBand="1" w:firstRowFirstColumn="0" w:firstRowLastColumn="0" w:lastRowFirstColumn="0" w:lastRowLastColumn="0"/>
        </w:trPr>
        <w:tc>
          <w:tcPr>
            <w:tcW w:w="4882" w:type="dxa"/>
          </w:tcPr>
          <w:p w14:paraId="3305FA69" w14:textId="77777777" w:rsidR="00C0485B" w:rsidRDefault="00C0485B" w:rsidP="00BE2319">
            <w:pPr>
              <w:pStyle w:val="ListParagraph"/>
              <w:numPr>
                <w:ilvl w:val="0"/>
                <w:numId w:val="36"/>
              </w:numPr>
              <w:spacing w:before="0" w:line="240" w:lineRule="auto"/>
              <w:ind w:left="477" w:hanging="357"/>
            </w:pPr>
            <w:r w:rsidRPr="00517F06">
              <w:t>the relevant health, safety, environmental and social legislation applying to the industry</w:t>
            </w:r>
          </w:p>
        </w:tc>
        <w:tc>
          <w:tcPr>
            <w:tcW w:w="4842" w:type="dxa"/>
          </w:tcPr>
          <w:p w14:paraId="07645D6C" w14:textId="475D18D5" w:rsidR="00C0485B" w:rsidRDefault="06AC142E" w:rsidP="00BE2319">
            <w:pPr>
              <w:pStyle w:val="TableBody"/>
            </w:pPr>
            <w:r w:rsidRPr="0F3B4C48">
              <w:rPr>
                <w:lang w:val="en-AU"/>
              </w:rPr>
              <w:t>Our taxi cost index</w:t>
            </w:r>
            <w:r w:rsidR="4F7957BF" w:rsidRPr="0F3B4C48">
              <w:rPr>
                <w:lang w:val="en-AU"/>
              </w:rPr>
              <w:t>es</w:t>
            </w:r>
            <w:r w:rsidRPr="0F3B4C48">
              <w:rPr>
                <w:lang w:val="en-AU"/>
              </w:rPr>
              <w:t xml:space="preserve"> reflect the costs of operating a taxi, including those costs associated with regulatory requirements on unbooked taxi service providers, such as maintaining records of their unbooked trips, investigation and resolution of complaints, security camera and fare calculation devices.</w:t>
            </w:r>
            <w:r w:rsidR="00C46C14" w:rsidRPr="0F3B4C48">
              <w:rPr>
                <w:b/>
                <w:bCs/>
                <w:vertAlign w:val="superscript"/>
                <w:lang w:val="en-AU"/>
              </w:rPr>
              <w:t>a</w:t>
            </w:r>
            <w:r w:rsidRPr="0F3B4C48">
              <w:rPr>
                <w:lang w:val="en-AU"/>
              </w:rPr>
              <w:t xml:space="preserve"> </w:t>
            </w:r>
          </w:p>
        </w:tc>
        <w:tc>
          <w:tcPr>
            <w:tcW w:w="4846" w:type="dxa"/>
          </w:tcPr>
          <w:p w14:paraId="3060B274" w14:textId="3E03918E" w:rsidR="00C0485B" w:rsidRPr="000C7B6E" w:rsidRDefault="06AC142E" w:rsidP="00BE2319">
            <w:pPr>
              <w:pStyle w:val="TableBody"/>
            </w:pPr>
            <w:r w:rsidRPr="0F3B4C48">
              <w:rPr>
                <w:lang w:val="en-AU"/>
              </w:rPr>
              <w:t>The current surcharges were developed using a cost build</w:t>
            </w:r>
            <w:r w:rsidR="00736EE9" w:rsidRPr="0F3B4C48">
              <w:rPr>
                <w:lang w:val="en-AU"/>
              </w:rPr>
              <w:t>-</w:t>
            </w:r>
            <w:r w:rsidRPr="0F3B4C48">
              <w:rPr>
                <w:lang w:val="en-AU"/>
              </w:rPr>
              <w:t xml:space="preserve">up approach that considered the reasonable costs of accepting and processing non-cash payments, including those costs associated with regulatory requirements such as those related to the processing of Multi Purpose Taxi Program payments. </w:t>
            </w:r>
          </w:p>
        </w:tc>
      </w:tr>
      <w:tr w:rsidR="00C0485B" w14:paraId="049C1A15"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200BF6EF" w14:textId="77777777" w:rsidR="00C0485B" w:rsidRDefault="00C0485B" w:rsidP="00BE2319">
            <w:pPr>
              <w:pStyle w:val="ListParagraph"/>
              <w:numPr>
                <w:ilvl w:val="0"/>
                <w:numId w:val="36"/>
              </w:numPr>
              <w:spacing w:before="0" w:line="240" w:lineRule="auto"/>
              <w:ind w:left="477" w:hanging="357"/>
            </w:pPr>
            <w:r w:rsidRPr="00517F06">
              <w:t>the benefits and costs of regulation (including externalities and the gains from competition and efficiency) for consumers and users of products or services (including low income and vulnerable consumers) and regulated entities</w:t>
            </w:r>
          </w:p>
        </w:tc>
        <w:tc>
          <w:tcPr>
            <w:tcW w:w="4842" w:type="dxa"/>
          </w:tcPr>
          <w:p w14:paraId="060CF868" w14:textId="73547C5E" w:rsidR="00C0485B" w:rsidRDefault="00C0485B" w:rsidP="00BE2319">
            <w:pPr>
              <w:pStyle w:val="TableBody"/>
            </w:pPr>
            <w:r w:rsidRPr="009A41C8">
              <w:t>We have</w:t>
            </w:r>
            <w:r w:rsidRPr="009A41C8" w:rsidDel="00F6340F">
              <w:t xml:space="preserve"> </w:t>
            </w:r>
            <w:r w:rsidRPr="009A41C8">
              <w:t xml:space="preserve">not collected data from industry participants for this review as we consider that the benefits of updating some of our analysis would </w:t>
            </w:r>
            <w:r w:rsidR="00B31763">
              <w:t xml:space="preserve">not </w:t>
            </w:r>
            <w:r w:rsidRPr="009A41C8">
              <w:t xml:space="preserve">be proportionate to the cost of collecting it. </w:t>
            </w:r>
          </w:p>
        </w:tc>
        <w:tc>
          <w:tcPr>
            <w:tcW w:w="4846" w:type="dxa"/>
          </w:tcPr>
          <w:p w14:paraId="3AA26F7E" w14:textId="6E81EB28" w:rsidR="00C0485B" w:rsidRDefault="00C0485B" w:rsidP="00BE2319">
            <w:pPr>
              <w:pStyle w:val="TableBody"/>
            </w:pPr>
            <w:r w:rsidRPr="009A41C8">
              <w:t xml:space="preserve">We have not collected data from industry participants for this review as we consider that the benefits of updating some of our analysis would </w:t>
            </w:r>
            <w:r w:rsidR="00B31763">
              <w:t xml:space="preserve">not </w:t>
            </w:r>
            <w:r w:rsidRPr="009A41C8">
              <w:t xml:space="preserve">be proportionate to the cost of collecting it. </w:t>
            </w:r>
          </w:p>
        </w:tc>
      </w:tr>
      <w:tr w:rsidR="00C0485B" w14:paraId="29F198D2" w14:textId="77777777" w:rsidTr="0F3B4C48">
        <w:trPr>
          <w:cnfStyle w:val="000000010000" w:firstRow="0" w:lastRow="0" w:firstColumn="0" w:lastColumn="0" w:oddVBand="0" w:evenVBand="0" w:oddHBand="0" w:evenHBand="1" w:firstRowFirstColumn="0" w:firstRowLastColumn="0" w:lastRowFirstColumn="0" w:lastRowLastColumn="0"/>
        </w:trPr>
        <w:tc>
          <w:tcPr>
            <w:tcW w:w="4882" w:type="dxa"/>
          </w:tcPr>
          <w:p w14:paraId="73A13AEB" w14:textId="77777777" w:rsidR="00C0485B" w:rsidRDefault="00C0485B" w:rsidP="00BE2319">
            <w:pPr>
              <w:pStyle w:val="ListParagraph"/>
              <w:numPr>
                <w:ilvl w:val="0"/>
                <w:numId w:val="36"/>
              </w:numPr>
              <w:spacing w:before="0" w:line="240" w:lineRule="auto"/>
              <w:ind w:left="477" w:hanging="357"/>
            </w:pPr>
            <w:r w:rsidRPr="00517F06">
              <w:t>consistency in regulation between States and on a national basis</w:t>
            </w:r>
          </w:p>
        </w:tc>
        <w:tc>
          <w:tcPr>
            <w:tcW w:w="4842" w:type="dxa"/>
          </w:tcPr>
          <w:p w14:paraId="0B5E386B" w14:textId="34A6A340" w:rsidR="00C0485B" w:rsidRDefault="00C0485B" w:rsidP="00BE2319">
            <w:pPr>
              <w:pStyle w:val="TableBody"/>
            </w:pPr>
            <w:r w:rsidRPr="005D7737">
              <w:t xml:space="preserve">We looked at regulation of taxi fares and the level of taxi fares interstate and internationally (see Appendix </w:t>
            </w:r>
            <w:r w:rsidR="00546E10">
              <w:t>C</w:t>
            </w:r>
            <w:r w:rsidR="00E43EC1">
              <w:t>)</w:t>
            </w:r>
            <w:r w:rsidRPr="005D7737">
              <w:t xml:space="preserve">. </w:t>
            </w:r>
          </w:p>
        </w:tc>
        <w:tc>
          <w:tcPr>
            <w:tcW w:w="4846" w:type="dxa"/>
          </w:tcPr>
          <w:p w14:paraId="7DE3DF11" w14:textId="60C5C40C" w:rsidR="00C0485B" w:rsidRDefault="00C0485B" w:rsidP="00BE2319">
            <w:pPr>
              <w:pStyle w:val="TableBody"/>
            </w:pPr>
            <w:r>
              <w:t xml:space="preserve">We looked at regulation of non-cash payments in taxis on a national basis and overseas (see Appendix </w:t>
            </w:r>
            <w:r w:rsidR="00546E10">
              <w:t>D</w:t>
            </w:r>
            <w:r>
              <w:t xml:space="preserve">). </w:t>
            </w:r>
          </w:p>
        </w:tc>
      </w:tr>
      <w:tr w:rsidR="00C0485B" w14:paraId="0A50B497"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34807DB1" w14:textId="68864703" w:rsidR="00C0485B" w:rsidRDefault="00C0485B" w:rsidP="00BE2319">
            <w:pPr>
              <w:pStyle w:val="ListParagraph"/>
              <w:numPr>
                <w:ilvl w:val="0"/>
                <w:numId w:val="36"/>
              </w:numPr>
              <w:spacing w:before="0" w:line="240" w:lineRule="auto"/>
              <w:ind w:left="477"/>
            </w:pPr>
            <w:r w:rsidRPr="00BF4842">
              <w:t>any matters specified in the empowering instrument (that is, the CPVI Act)</w:t>
            </w:r>
          </w:p>
        </w:tc>
        <w:tc>
          <w:tcPr>
            <w:tcW w:w="4842" w:type="dxa"/>
          </w:tcPr>
          <w:p w14:paraId="4062BB21" w14:textId="5DD75399" w:rsidR="00C0485B" w:rsidRDefault="3C92DA53" w:rsidP="00BE2319">
            <w:pPr>
              <w:pStyle w:val="TableBody"/>
            </w:pPr>
            <w:r w:rsidRPr="0F3B4C48">
              <w:rPr>
                <w:lang w:val="en-AU"/>
              </w:rPr>
              <w:t xml:space="preserve">Section 110C of the </w:t>
            </w:r>
            <w:r w:rsidR="35AF0AAC" w:rsidRPr="0F3B4C48">
              <w:rPr>
                <w:lang w:val="en-AU"/>
              </w:rPr>
              <w:t xml:space="preserve">CPVI Act provides our objective is to promote the efficient </w:t>
            </w:r>
            <w:r w:rsidR="05ECB83D" w:rsidRPr="0F3B4C48">
              <w:rPr>
                <w:lang w:val="en-AU"/>
              </w:rPr>
              <w:t xml:space="preserve">provision and use of applicable unbooked services. </w:t>
            </w:r>
          </w:p>
        </w:tc>
        <w:tc>
          <w:tcPr>
            <w:tcW w:w="4846" w:type="dxa"/>
          </w:tcPr>
          <w:p w14:paraId="26B1B3F0" w14:textId="5C61F261" w:rsidR="00C0485B" w:rsidRDefault="21C122F5" w:rsidP="00BE2319">
            <w:pPr>
              <w:pStyle w:val="TableBody"/>
            </w:pPr>
            <w:r w:rsidRPr="0F3B4C48">
              <w:rPr>
                <w:lang w:val="en-AU"/>
              </w:rPr>
              <w:t xml:space="preserve">Section 112 of the CPVI Act provides our objective is to promote efficiency </w:t>
            </w:r>
            <w:r w:rsidR="58B8BEA3" w:rsidRPr="0F3B4C48">
              <w:rPr>
                <w:lang w:val="en-AU"/>
              </w:rPr>
              <w:t xml:space="preserve">and ensure that persons facilitating the making of non-cash payment surcharges are able to recover the reasonable cost of accepting and processing such transactions. </w:t>
            </w:r>
          </w:p>
        </w:tc>
      </w:tr>
    </w:tbl>
    <w:p w14:paraId="2942BC87" w14:textId="581C6AFC" w:rsidR="00B07F9A" w:rsidRPr="00B07F9A" w:rsidRDefault="00B07F9A" w:rsidP="00B07F9A">
      <w:pPr>
        <w:pStyle w:val="Figure-Table-BoxHeading"/>
        <w:rPr>
          <w:rStyle w:val="Heading1Char"/>
          <w:rFonts w:asciiTheme="majorHAnsi" w:hAnsiTheme="majorHAnsi"/>
          <w:color w:val="4986A0" w:themeColor="text2"/>
          <w:sz w:val="22"/>
          <w:szCs w:val="24"/>
        </w:rPr>
      </w:pPr>
      <w:bookmarkStart w:id="328" w:name="_Toc167345878"/>
      <w:bookmarkStart w:id="329" w:name="_Toc167346572"/>
      <w:bookmarkStart w:id="330" w:name="_Toc167780370"/>
      <w:bookmarkStart w:id="331" w:name="_Toc173691448"/>
      <w:bookmarkStart w:id="332" w:name="_Toc174692714"/>
      <w:bookmarkStart w:id="333" w:name="_Hlk167178104"/>
      <w:r w:rsidRPr="00B07F9A">
        <w:rPr>
          <w:rStyle w:val="Heading1Char"/>
          <w:rFonts w:asciiTheme="majorHAnsi" w:hAnsiTheme="majorHAnsi"/>
          <w:color w:val="4986A0" w:themeColor="text2"/>
          <w:sz w:val="22"/>
          <w:szCs w:val="24"/>
        </w:rPr>
        <w:t xml:space="preserve">Table </w:t>
      </w:r>
      <w:r w:rsidR="008764D4">
        <w:rPr>
          <w:rStyle w:val="Heading1Char"/>
          <w:rFonts w:asciiTheme="majorHAnsi" w:hAnsiTheme="majorHAnsi"/>
          <w:color w:val="4986A0" w:themeColor="text2"/>
          <w:sz w:val="22"/>
          <w:szCs w:val="24"/>
        </w:rPr>
        <w:t>G</w:t>
      </w:r>
      <w:r w:rsidRPr="00B07F9A">
        <w:rPr>
          <w:rStyle w:val="Heading1Char"/>
          <w:rFonts w:asciiTheme="majorHAnsi" w:hAnsiTheme="majorHAnsi"/>
          <w:color w:val="4986A0" w:themeColor="text2"/>
          <w:sz w:val="22"/>
          <w:szCs w:val="24"/>
        </w:rPr>
        <w:t>.1 (continued)</w:t>
      </w:r>
      <w:bookmarkEnd w:id="328"/>
      <w:bookmarkEnd w:id="329"/>
      <w:bookmarkEnd w:id="330"/>
      <w:bookmarkEnd w:id="331"/>
      <w:bookmarkEnd w:id="332"/>
    </w:p>
    <w:p w14:paraId="172BEF66" w14:textId="739D4BDD" w:rsidR="0048332E" w:rsidRPr="00864DC7" w:rsidRDefault="00864DC7" w:rsidP="00BE2319">
      <w:pPr>
        <w:pStyle w:val="Source"/>
        <w:spacing w:before="0" w:after="0"/>
        <w:rPr>
          <w:rStyle w:val="Heading1Char"/>
          <w:rFonts w:asciiTheme="minorHAnsi" w:eastAsiaTheme="minorHAnsi" w:hAnsiTheme="minorHAnsi" w:cstheme="minorBidi"/>
          <w:color w:val="4986A0" w:themeColor="text2"/>
          <w:sz w:val="18"/>
          <w:szCs w:val="18"/>
        </w:rPr>
      </w:pPr>
      <w:bookmarkStart w:id="334" w:name="_Toc167345879"/>
      <w:bookmarkStart w:id="335" w:name="_Toc167346573"/>
      <w:bookmarkStart w:id="336" w:name="_Toc167780371"/>
      <w:bookmarkStart w:id="337" w:name="_Toc173691449"/>
      <w:bookmarkStart w:id="338" w:name="_Toc174692715"/>
      <w:bookmarkEnd w:id="333"/>
      <w:r w:rsidRPr="00864DC7">
        <w:rPr>
          <w:rStyle w:val="Heading1Char"/>
          <w:rFonts w:asciiTheme="minorHAnsi" w:eastAsiaTheme="minorHAnsi" w:hAnsiTheme="minorHAnsi" w:cstheme="minorBidi"/>
          <w:color w:val="4986A0" w:themeColor="text2"/>
          <w:sz w:val="18"/>
          <w:szCs w:val="18"/>
        </w:rPr>
        <w:t>Continued next page</w:t>
      </w:r>
      <w:bookmarkEnd w:id="334"/>
      <w:bookmarkEnd w:id="335"/>
      <w:bookmarkEnd w:id="336"/>
      <w:bookmarkEnd w:id="337"/>
      <w:bookmarkEnd w:id="338"/>
    </w:p>
    <w:p w14:paraId="05C411C5" w14:textId="507034E7" w:rsidR="007637ED" w:rsidRDefault="007637ED">
      <w:pPr>
        <w:spacing w:before="0" w:line="259" w:lineRule="auto"/>
        <w:rPr>
          <w:rStyle w:val="Heading1Char"/>
          <w:iCs/>
          <w:color w:val="4986A0" w:themeColor="text2"/>
          <w:sz w:val="18"/>
          <w:szCs w:val="18"/>
        </w:rPr>
      </w:pPr>
      <w:r>
        <w:rPr>
          <w:rStyle w:val="Heading1Char"/>
          <w:color w:val="4986A0" w:themeColor="text2"/>
          <w:sz w:val="18"/>
          <w:szCs w:val="18"/>
        </w:rPr>
        <w:br w:type="page"/>
      </w:r>
    </w:p>
    <w:tbl>
      <w:tblPr>
        <w:tblStyle w:val="TableGrid"/>
        <w:tblW w:w="0" w:type="auto"/>
        <w:tblLook w:val="04A0" w:firstRow="1" w:lastRow="0" w:firstColumn="1" w:lastColumn="0" w:noHBand="0" w:noVBand="1"/>
      </w:tblPr>
      <w:tblGrid>
        <w:gridCol w:w="4882"/>
        <w:gridCol w:w="4842"/>
        <w:gridCol w:w="4846"/>
      </w:tblGrid>
      <w:tr w:rsidR="007A5764" w14:paraId="7F938327" w14:textId="77777777" w:rsidTr="0F3B4C48">
        <w:trPr>
          <w:cnfStyle w:val="100000000000" w:firstRow="1" w:lastRow="0" w:firstColumn="0" w:lastColumn="0" w:oddVBand="0" w:evenVBand="0" w:oddHBand="0" w:evenHBand="0" w:firstRowFirstColumn="0" w:firstRowLastColumn="0" w:lastRowFirstColumn="0" w:lastRowLastColumn="0"/>
        </w:trPr>
        <w:tc>
          <w:tcPr>
            <w:tcW w:w="4882" w:type="dxa"/>
          </w:tcPr>
          <w:p w14:paraId="36930C2F" w14:textId="77777777" w:rsidR="007A5764" w:rsidRDefault="007A5764" w:rsidP="006D08EA">
            <w:pPr>
              <w:pStyle w:val="TableHeading"/>
              <w:framePr w:hSpace="180" w:wrap="around" w:hAnchor="margin" w:y="580"/>
            </w:pPr>
          </w:p>
        </w:tc>
        <w:tc>
          <w:tcPr>
            <w:tcW w:w="4842" w:type="dxa"/>
          </w:tcPr>
          <w:p w14:paraId="424732D4" w14:textId="22B6A550" w:rsidR="007A5764" w:rsidRDefault="007A5764" w:rsidP="006D08EA">
            <w:pPr>
              <w:pStyle w:val="TableHeading"/>
              <w:framePr w:hSpace="180" w:wrap="around" w:hAnchor="margin" w:y="580"/>
            </w:pPr>
            <w:r>
              <w:t xml:space="preserve">Examples of how we have had regard to this in making our </w:t>
            </w:r>
            <w:r w:rsidR="00E8021A">
              <w:t xml:space="preserve">final </w:t>
            </w:r>
            <w:r>
              <w:t>decision for unbooked taxi fares</w:t>
            </w:r>
          </w:p>
        </w:tc>
        <w:tc>
          <w:tcPr>
            <w:tcW w:w="4846" w:type="dxa"/>
          </w:tcPr>
          <w:p w14:paraId="4075BAFE" w14:textId="284FD9EF" w:rsidR="007A5764" w:rsidRDefault="007A5764" w:rsidP="006D08EA">
            <w:pPr>
              <w:pStyle w:val="TableHeading"/>
              <w:framePr w:hSpace="180" w:wrap="around" w:hAnchor="margin" w:y="580"/>
            </w:pPr>
            <w:r>
              <w:t>Examples of h</w:t>
            </w:r>
            <w:r w:rsidRPr="00A34A93">
              <w:t xml:space="preserve">ow we have had regard to this in making our </w:t>
            </w:r>
            <w:r w:rsidR="00E8021A">
              <w:t>final</w:t>
            </w:r>
            <w:r w:rsidR="00E8021A" w:rsidRPr="00A34A93">
              <w:t xml:space="preserve"> </w:t>
            </w:r>
            <w:r w:rsidRPr="00A34A93">
              <w:t xml:space="preserve">decision for </w:t>
            </w:r>
            <w:r>
              <w:t>taxi non-cash payment surcharges</w:t>
            </w:r>
          </w:p>
        </w:tc>
      </w:tr>
      <w:tr w:rsidR="007A5764" w14:paraId="3555FD56"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4A250E90" w14:textId="77777777" w:rsidR="007A5764" w:rsidRPr="00690B36" w:rsidRDefault="007A5764" w:rsidP="006D08EA">
            <w:pPr>
              <w:pStyle w:val="TableBold"/>
              <w:framePr w:hSpace="180" w:wrap="around" w:hAnchor="margin" w:y="580"/>
              <w:spacing w:line="264" w:lineRule="auto"/>
            </w:pPr>
            <w:r>
              <w:t>Section 33(3) of the ESC Act 2001</w:t>
            </w:r>
          </w:p>
        </w:tc>
        <w:tc>
          <w:tcPr>
            <w:tcW w:w="4842" w:type="dxa"/>
          </w:tcPr>
          <w:p w14:paraId="0AAC9982" w14:textId="77777777" w:rsidR="007A5764" w:rsidRDefault="007A5764" w:rsidP="006D08EA">
            <w:pPr>
              <w:pStyle w:val="TableBold"/>
              <w:framePr w:hSpace="180" w:wrap="around" w:hAnchor="margin" w:y="580"/>
              <w:spacing w:line="264" w:lineRule="auto"/>
            </w:pPr>
          </w:p>
        </w:tc>
        <w:tc>
          <w:tcPr>
            <w:tcW w:w="4846" w:type="dxa"/>
          </w:tcPr>
          <w:p w14:paraId="1A89D8FC" w14:textId="77777777" w:rsidR="007A5764" w:rsidRDefault="007A5764" w:rsidP="006D08EA">
            <w:pPr>
              <w:pStyle w:val="TableBold"/>
              <w:framePr w:hSpace="180" w:wrap="around" w:hAnchor="margin" w:y="580"/>
              <w:spacing w:line="264" w:lineRule="auto"/>
            </w:pPr>
          </w:p>
        </w:tc>
      </w:tr>
      <w:tr w:rsidR="007A5764" w14:paraId="24688C14" w14:textId="77777777" w:rsidTr="0F3B4C48">
        <w:trPr>
          <w:cnfStyle w:val="000000010000" w:firstRow="0" w:lastRow="0" w:firstColumn="0" w:lastColumn="0" w:oddVBand="0" w:evenVBand="0" w:oddHBand="0" w:evenHBand="1" w:firstRowFirstColumn="0" w:firstRowLastColumn="0" w:lastRowFirstColumn="0" w:lastRowLastColumn="0"/>
        </w:trPr>
        <w:tc>
          <w:tcPr>
            <w:tcW w:w="4882" w:type="dxa"/>
          </w:tcPr>
          <w:p w14:paraId="3EE49227" w14:textId="77777777" w:rsidR="007A5764" w:rsidRDefault="007A5764" w:rsidP="002C4258">
            <w:pPr>
              <w:pStyle w:val="ListParagraph"/>
              <w:framePr w:hSpace="180" w:wrap="around" w:hAnchor="margin" w:y="580"/>
              <w:numPr>
                <w:ilvl w:val="0"/>
                <w:numId w:val="42"/>
              </w:numPr>
              <w:spacing w:before="0" w:line="240" w:lineRule="auto"/>
              <w:ind w:left="477" w:hanging="477"/>
            </w:pPr>
            <w:r w:rsidRPr="00690B36">
              <w:t>the particular circumstances of the regulated industry and the prescribed goods and services for which the determination is being made</w:t>
            </w:r>
          </w:p>
        </w:tc>
        <w:tc>
          <w:tcPr>
            <w:tcW w:w="4842" w:type="dxa"/>
          </w:tcPr>
          <w:p w14:paraId="61C7A7B3" w14:textId="6711F8D8" w:rsidR="007A5764" w:rsidRDefault="007A5764" w:rsidP="002C4258">
            <w:pPr>
              <w:pStyle w:val="TableBody"/>
              <w:framePr w:hSpace="180" w:wrap="around" w:hAnchor="margin" w:y="580"/>
            </w:pPr>
            <w:r>
              <w:t>Our taxi cost index</w:t>
            </w:r>
            <w:r w:rsidR="00E43EC1">
              <w:t>es</w:t>
            </w:r>
            <w:r>
              <w:t xml:space="preserve"> w</w:t>
            </w:r>
            <w:r w:rsidR="00E43EC1">
              <w:t>ere</w:t>
            </w:r>
            <w:r>
              <w:t xml:space="preserve"> developed based on actual cost data from industry participants. </w:t>
            </w:r>
          </w:p>
        </w:tc>
        <w:tc>
          <w:tcPr>
            <w:tcW w:w="4846" w:type="dxa"/>
          </w:tcPr>
          <w:p w14:paraId="43796D72" w14:textId="77777777" w:rsidR="007A5764" w:rsidRDefault="46C9708F" w:rsidP="002C4258">
            <w:pPr>
              <w:pStyle w:val="TableBody"/>
              <w:framePr w:hSpace="180" w:wrap="around" w:hAnchor="margin" w:y="580"/>
            </w:pPr>
            <w:r w:rsidRPr="0F3B4C48">
              <w:rPr>
                <w:lang w:val="en-AU"/>
              </w:rPr>
              <w:t xml:space="preserve">The assumptions underpinning our benchmarking analysis, including multiple payment terminals and average revenue per terminal, reflect the particular circumstances of the taxi payment industry. </w:t>
            </w:r>
          </w:p>
        </w:tc>
      </w:tr>
      <w:tr w:rsidR="007A5764" w14:paraId="7B289AA8"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59D290B0" w14:textId="77777777" w:rsidR="007A5764" w:rsidRDefault="007A5764" w:rsidP="002C4258">
            <w:pPr>
              <w:pStyle w:val="ListParagraph"/>
              <w:framePr w:hSpace="180" w:wrap="around" w:hAnchor="margin" w:y="580"/>
              <w:numPr>
                <w:ilvl w:val="0"/>
                <w:numId w:val="42"/>
              </w:numPr>
              <w:spacing w:before="0" w:line="240" w:lineRule="auto"/>
              <w:ind w:left="477" w:hanging="477"/>
            </w:pPr>
            <w:r w:rsidRPr="000A0E14">
              <w:t>the efficient costs of producing or supplying regulated goods or services and of complying with relevant legislation and relevant health, safety, environmental and social legislation applying to the regulated industry</w:t>
            </w:r>
          </w:p>
        </w:tc>
        <w:tc>
          <w:tcPr>
            <w:tcW w:w="4842" w:type="dxa"/>
          </w:tcPr>
          <w:p w14:paraId="7E059D54" w14:textId="2E4D5794" w:rsidR="007A5764" w:rsidRDefault="46C9708F" w:rsidP="002C4258">
            <w:pPr>
              <w:pStyle w:val="TableBody"/>
              <w:framePr w:hSpace="180" w:wrap="around" w:hAnchor="margin" w:y="580"/>
            </w:pPr>
            <w:r w:rsidRPr="0F3B4C48">
              <w:rPr>
                <w:lang w:val="en-AU"/>
              </w:rPr>
              <w:t>Our taxi cost index</w:t>
            </w:r>
            <w:r w:rsidR="6D33CCBC" w:rsidRPr="0F3B4C48">
              <w:rPr>
                <w:lang w:val="en-AU"/>
              </w:rPr>
              <w:t>es</w:t>
            </w:r>
            <w:r w:rsidRPr="0F3B4C48">
              <w:rPr>
                <w:lang w:val="en-AU"/>
              </w:rPr>
              <w:t xml:space="preserve"> consider the reasonable cost</w:t>
            </w:r>
            <w:r w:rsidR="6D33CCBC" w:rsidRPr="0F3B4C48">
              <w:rPr>
                <w:lang w:val="en-AU"/>
              </w:rPr>
              <w:t>s</w:t>
            </w:r>
            <w:r w:rsidRPr="0F3B4C48">
              <w:rPr>
                <w:lang w:val="en-AU"/>
              </w:rPr>
              <w:t xml:space="preserve"> of providing the regulated service and of complying with the relevant legislation</w:t>
            </w:r>
          </w:p>
        </w:tc>
        <w:tc>
          <w:tcPr>
            <w:tcW w:w="4846" w:type="dxa"/>
          </w:tcPr>
          <w:p w14:paraId="3871A736" w14:textId="77777777" w:rsidR="007A5764" w:rsidRDefault="46C9708F" w:rsidP="002C4258">
            <w:pPr>
              <w:pStyle w:val="TableBody"/>
              <w:framePr w:hSpace="180" w:wrap="around" w:hAnchor="margin" w:y="580"/>
            </w:pPr>
            <w:r w:rsidRPr="0F3B4C48">
              <w:rPr>
                <w:lang w:val="en-AU"/>
              </w:rPr>
              <w:t xml:space="preserve">Our benchmarking analysis considers the reasonable cost of providing the regulated service and of complying with the relevant legislation. </w:t>
            </w:r>
          </w:p>
        </w:tc>
      </w:tr>
      <w:tr w:rsidR="007A5764" w14:paraId="0207C026" w14:textId="77777777" w:rsidTr="0F3B4C48">
        <w:trPr>
          <w:cnfStyle w:val="000000010000" w:firstRow="0" w:lastRow="0" w:firstColumn="0" w:lastColumn="0" w:oddVBand="0" w:evenVBand="0" w:oddHBand="0" w:evenHBand="1" w:firstRowFirstColumn="0" w:firstRowLastColumn="0" w:lastRowFirstColumn="0" w:lastRowLastColumn="0"/>
        </w:trPr>
        <w:tc>
          <w:tcPr>
            <w:tcW w:w="4882" w:type="dxa"/>
          </w:tcPr>
          <w:p w14:paraId="5FC20947" w14:textId="77777777" w:rsidR="007A5764" w:rsidRDefault="007A5764" w:rsidP="002C4258">
            <w:pPr>
              <w:pStyle w:val="ListParagraph"/>
              <w:framePr w:hSpace="180" w:wrap="around" w:hAnchor="margin" w:y="580"/>
              <w:numPr>
                <w:ilvl w:val="0"/>
                <w:numId w:val="42"/>
              </w:numPr>
              <w:spacing w:before="0" w:line="240" w:lineRule="auto"/>
              <w:ind w:left="477" w:hanging="477"/>
            </w:pPr>
            <w:r w:rsidRPr="000A0E14">
              <w:t>the return on assets in the regulated industry</w:t>
            </w:r>
          </w:p>
        </w:tc>
        <w:tc>
          <w:tcPr>
            <w:tcW w:w="4842" w:type="dxa"/>
          </w:tcPr>
          <w:p w14:paraId="31EAD883" w14:textId="34FCB26F" w:rsidR="007A5764" w:rsidRDefault="007A5764" w:rsidP="002C4258">
            <w:pPr>
              <w:pStyle w:val="TableBody"/>
              <w:framePr w:hSpace="180" w:wrap="around" w:hAnchor="margin" w:y="580"/>
            </w:pPr>
            <w:r w:rsidRPr="008411BA">
              <w:t>Our taxi cost index</w:t>
            </w:r>
            <w:r w:rsidR="004403D8">
              <w:t>es</w:t>
            </w:r>
            <w:r w:rsidRPr="008411BA">
              <w:t xml:space="preserve"> include a return on assets.</w:t>
            </w:r>
          </w:p>
        </w:tc>
        <w:tc>
          <w:tcPr>
            <w:tcW w:w="4846" w:type="dxa"/>
          </w:tcPr>
          <w:p w14:paraId="1980ECC3" w14:textId="77777777" w:rsidR="007A5764" w:rsidRDefault="007A5764" w:rsidP="002C4258">
            <w:pPr>
              <w:pStyle w:val="TableBody"/>
              <w:framePr w:hSpace="180" w:wrap="around" w:hAnchor="margin" w:y="580"/>
            </w:pPr>
            <w:r>
              <w:t>T</w:t>
            </w:r>
            <w:r w:rsidRPr="009A0596">
              <w:t>he return on assets in the taxi non-cash payments industry</w:t>
            </w:r>
            <w:r>
              <w:t xml:space="preserve"> </w:t>
            </w:r>
            <w:r w:rsidRPr="009A0596">
              <w:t xml:space="preserve">was </w:t>
            </w:r>
            <w:r>
              <w:t xml:space="preserve">considered </w:t>
            </w:r>
            <w:r w:rsidRPr="009A0596">
              <w:t>implicitly through our benchmark</w:t>
            </w:r>
            <w:r>
              <w:t>ing analysis</w:t>
            </w:r>
            <w:r w:rsidRPr="009A0596">
              <w:t xml:space="preserve"> and explicitly in our bottom-up cost assessment</w:t>
            </w:r>
            <w:r>
              <w:t xml:space="preserve"> on which the current surcharges were based</w:t>
            </w:r>
            <w:r w:rsidRPr="009A0596">
              <w:t xml:space="preserve">. </w:t>
            </w:r>
          </w:p>
        </w:tc>
      </w:tr>
      <w:tr w:rsidR="007A5764" w14:paraId="672B4F76"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7E6313F8" w14:textId="073539F9" w:rsidR="007A5764" w:rsidRDefault="007A5764" w:rsidP="002C4258">
            <w:pPr>
              <w:pStyle w:val="ListParagraph"/>
              <w:framePr w:hSpace="180" w:wrap="around" w:hAnchor="margin" w:y="580"/>
              <w:numPr>
                <w:ilvl w:val="0"/>
                <w:numId w:val="42"/>
              </w:numPr>
              <w:spacing w:before="0" w:line="240" w:lineRule="auto"/>
              <w:ind w:left="477" w:hanging="477"/>
            </w:pPr>
            <w:r w:rsidRPr="00734EE3">
              <w:t>any relevant interstate and international benchmarks for prices, costs and return on assets in comparable industries</w:t>
            </w:r>
          </w:p>
        </w:tc>
        <w:tc>
          <w:tcPr>
            <w:tcW w:w="4842" w:type="dxa"/>
          </w:tcPr>
          <w:p w14:paraId="3A020AB5" w14:textId="7F4C1EC4" w:rsidR="007A5764" w:rsidRDefault="007A5764" w:rsidP="002C4258">
            <w:pPr>
              <w:pStyle w:val="TableBody"/>
              <w:framePr w:hSpace="180" w:wrap="around" w:hAnchor="margin" w:y="580"/>
            </w:pPr>
            <w:r w:rsidRPr="003F383C">
              <w:t xml:space="preserve">We looked at regulation of taxi fares and the level of taxi fares interstate and internationally (see Appendix </w:t>
            </w:r>
            <w:r w:rsidR="00546E10" w:rsidRPr="0094751E">
              <w:t>C</w:t>
            </w:r>
            <w:r w:rsidRPr="0094751E">
              <w:t xml:space="preserve"> and </w:t>
            </w:r>
            <w:r w:rsidR="00546E10" w:rsidRPr="0094751E">
              <w:t>D</w:t>
            </w:r>
            <w:r w:rsidRPr="003F383C">
              <w:t>).</w:t>
            </w:r>
          </w:p>
        </w:tc>
        <w:tc>
          <w:tcPr>
            <w:tcW w:w="4846" w:type="dxa"/>
          </w:tcPr>
          <w:p w14:paraId="7B6184A9" w14:textId="0951F12A" w:rsidR="007A5764" w:rsidRDefault="46C9708F" w:rsidP="002C4258">
            <w:pPr>
              <w:pStyle w:val="TableBody"/>
              <w:framePr w:hSpace="180" w:wrap="around" w:hAnchor="margin" w:y="580"/>
            </w:pPr>
            <w:r w:rsidRPr="0F3B4C48">
              <w:rPr>
                <w:lang w:val="en-AU"/>
              </w:rPr>
              <w:t xml:space="preserve">Our benchmarking analysis examined the costs of accepting non-cash payments in the broader economy. We tailored our analysis to the particular circumstances of the taxi payment industry to ensure our benchmarks were comparable (see Appendix </w:t>
            </w:r>
            <w:r w:rsidR="00546E10">
              <w:rPr>
                <w:lang w:val="en-AU"/>
              </w:rPr>
              <w:t>F</w:t>
            </w:r>
            <w:r w:rsidRPr="0F3B4C48">
              <w:rPr>
                <w:lang w:val="en-AU"/>
              </w:rPr>
              <w:t>).</w:t>
            </w:r>
          </w:p>
        </w:tc>
      </w:tr>
    </w:tbl>
    <w:p w14:paraId="6D993AD4" w14:textId="34DF9B88" w:rsidR="006D08EA" w:rsidRPr="006D08EA" w:rsidRDefault="006D08EA" w:rsidP="00503A99">
      <w:pPr>
        <w:pStyle w:val="Figure-Table-BoxHeading"/>
        <w:rPr>
          <w:rStyle w:val="Heading1Char"/>
          <w:rFonts w:asciiTheme="majorHAnsi" w:hAnsiTheme="majorHAnsi"/>
          <w:color w:val="4986A0" w:themeColor="text2"/>
          <w:sz w:val="22"/>
          <w:szCs w:val="24"/>
        </w:rPr>
      </w:pPr>
      <w:bookmarkStart w:id="339" w:name="_Toc167345880"/>
      <w:bookmarkStart w:id="340" w:name="_Toc167346574"/>
      <w:bookmarkStart w:id="341" w:name="_Toc167780372"/>
      <w:bookmarkStart w:id="342" w:name="_Toc173691450"/>
      <w:bookmarkStart w:id="343" w:name="_Toc174692716"/>
      <w:bookmarkStart w:id="344" w:name="_Hlk167178149"/>
      <w:r w:rsidRPr="006D08EA">
        <w:rPr>
          <w:rStyle w:val="Heading1Char"/>
          <w:rFonts w:asciiTheme="majorHAnsi" w:hAnsiTheme="majorHAnsi"/>
          <w:color w:val="4986A0" w:themeColor="text2"/>
          <w:sz w:val="22"/>
          <w:szCs w:val="24"/>
        </w:rPr>
        <w:t xml:space="preserve">Table </w:t>
      </w:r>
      <w:r w:rsidR="008764D4">
        <w:rPr>
          <w:rStyle w:val="Heading1Char"/>
          <w:rFonts w:asciiTheme="majorHAnsi" w:hAnsiTheme="majorHAnsi"/>
          <w:color w:val="4986A0" w:themeColor="text2"/>
          <w:sz w:val="22"/>
          <w:szCs w:val="24"/>
        </w:rPr>
        <w:t>G</w:t>
      </w:r>
      <w:r w:rsidRPr="006D08EA">
        <w:rPr>
          <w:rStyle w:val="Heading1Char"/>
          <w:rFonts w:asciiTheme="majorHAnsi" w:hAnsiTheme="majorHAnsi"/>
          <w:color w:val="4986A0" w:themeColor="text2"/>
          <w:sz w:val="22"/>
          <w:szCs w:val="24"/>
        </w:rPr>
        <w:t>.1 (continued)</w:t>
      </w:r>
      <w:bookmarkEnd w:id="339"/>
      <w:bookmarkEnd w:id="340"/>
      <w:bookmarkEnd w:id="341"/>
      <w:bookmarkEnd w:id="342"/>
      <w:bookmarkEnd w:id="343"/>
    </w:p>
    <w:p w14:paraId="32FD7D37" w14:textId="77777777" w:rsidR="00864DC7" w:rsidRPr="00864DC7" w:rsidRDefault="00864DC7" w:rsidP="00864DC7">
      <w:pPr>
        <w:pStyle w:val="Source"/>
        <w:rPr>
          <w:rStyle w:val="Heading1Char"/>
          <w:rFonts w:asciiTheme="minorHAnsi" w:eastAsiaTheme="minorHAnsi" w:hAnsiTheme="minorHAnsi" w:cstheme="minorBidi"/>
          <w:color w:val="4986A0" w:themeColor="text2"/>
          <w:sz w:val="18"/>
          <w:szCs w:val="18"/>
        </w:rPr>
      </w:pPr>
      <w:bookmarkStart w:id="345" w:name="_Toc167345881"/>
      <w:bookmarkStart w:id="346" w:name="_Toc167346575"/>
      <w:bookmarkStart w:id="347" w:name="_Toc167780373"/>
      <w:bookmarkStart w:id="348" w:name="_Toc173691451"/>
      <w:bookmarkStart w:id="349" w:name="_Toc174692717"/>
      <w:bookmarkEnd w:id="344"/>
      <w:r w:rsidRPr="00864DC7">
        <w:rPr>
          <w:rStyle w:val="Heading1Char"/>
          <w:rFonts w:asciiTheme="minorHAnsi" w:eastAsiaTheme="minorHAnsi" w:hAnsiTheme="minorHAnsi" w:cstheme="minorBidi"/>
          <w:color w:val="4986A0" w:themeColor="text2"/>
          <w:sz w:val="18"/>
          <w:szCs w:val="18"/>
        </w:rPr>
        <w:t>Continued next page</w:t>
      </w:r>
      <w:bookmarkEnd w:id="345"/>
      <w:bookmarkEnd w:id="346"/>
      <w:bookmarkEnd w:id="347"/>
      <w:bookmarkEnd w:id="348"/>
      <w:bookmarkEnd w:id="349"/>
    </w:p>
    <w:p w14:paraId="202148C6" w14:textId="77777777" w:rsidR="00E6763B" w:rsidRDefault="00E6763B">
      <w:pPr>
        <w:spacing w:before="0" w:line="259" w:lineRule="auto"/>
        <w:rPr>
          <w:rStyle w:val="Heading1Char"/>
          <w:color w:val="4986A0" w:themeColor="text2"/>
          <w:sz w:val="18"/>
          <w:szCs w:val="18"/>
        </w:rPr>
      </w:pPr>
    </w:p>
    <w:p w14:paraId="32B04061" w14:textId="5B09B22B" w:rsidR="00C46C14" w:rsidRPr="00E6763B" w:rsidRDefault="00E6763B" w:rsidP="00E6763B">
      <w:pPr>
        <w:pStyle w:val="Figure-Table-BoxHeading"/>
        <w:rPr>
          <w:rStyle w:val="Heading1Char"/>
          <w:rFonts w:asciiTheme="majorHAnsi" w:hAnsiTheme="majorHAnsi"/>
          <w:color w:val="4986A0" w:themeColor="text2"/>
          <w:sz w:val="22"/>
          <w:szCs w:val="24"/>
        </w:rPr>
      </w:pPr>
      <w:bookmarkStart w:id="350" w:name="_Toc167345882"/>
      <w:bookmarkStart w:id="351" w:name="_Toc167346576"/>
      <w:bookmarkStart w:id="352" w:name="_Toc167780374"/>
      <w:bookmarkStart w:id="353" w:name="_Toc173691452"/>
      <w:bookmarkStart w:id="354" w:name="_Toc174692718"/>
      <w:r w:rsidRPr="00E6763B">
        <w:rPr>
          <w:rStyle w:val="Heading1Char"/>
          <w:rFonts w:asciiTheme="majorHAnsi" w:hAnsiTheme="majorHAnsi"/>
          <w:color w:val="4986A0" w:themeColor="text2"/>
          <w:sz w:val="22"/>
          <w:szCs w:val="24"/>
        </w:rPr>
        <w:t xml:space="preserve">Table </w:t>
      </w:r>
      <w:r w:rsidR="008764D4">
        <w:rPr>
          <w:rStyle w:val="Heading1Char"/>
          <w:rFonts w:asciiTheme="majorHAnsi" w:hAnsiTheme="majorHAnsi"/>
          <w:color w:val="4986A0" w:themeColor="text2"/>
          <w:sz w:val="22"/>
          <w:szCs w:val="24"/>
        </w:rPr>
        <w:t>G</w:t>
      </w:r>
      <w:r w:rsidRPr="00E6763B">
        <w:rPr>
          <w:rStyle w:val="Heading1Char"/>
          <w:rFonts w:asciiTheme="majorHAnsi" w:hAnsiTheme="majorHAnsi"/>
          <w:color w:val="4986A0" w:themeColor="text2"/>
          <w:sz w:val="22"/>
          <w:szCs w:val="24"/>
        </w:rPr>
        <w:t>.1 (continued)</w:t>
      </w:r>
      <w:bookmarkEnd w:id="350"/>
      <w:bookmarkEnd w:id="351"/>
      <w:bookmarkEnd w:id="352"/>
      <w:bookmarkEnd w:id="353"/>
      <w:bookmarkEnd w:id="354"/>
    </w:p>
    <w:tbl>
      <w:tblPr>
        <w:tblStyle w:val="TableGrid"/>
        <w:tblW w:w="0" w:type="auto"/>
        <w:tblLook w:val="04A0" w:firstRow="1" w:lastRow="0" w:firstColumn="1" w:lastColumn="0" w:noHBand="0" w:noVBand="1"/>
      </w:tblPr>
      <w:tblGrid>
        <w:gridCol w:w="4882"/>
        <w:gridCol w:w="4842"/>
        <w:gridCol w:w="4846"/>
      </w:tblGrid>
      <w:tr w:rsidR="00864DC7" w14:paraId="6E4B3DDB" w14:textId="77777777" w:rsidTr="0F3B4C48">
        <w:trPr>
          <w:cnfStyle w:val="100000000000" w:firstRow="1" w:lastRow="0" w:firstColumn="0" w:lastColumn="0" w:oddVBand="0" w:evenVBand="0" w:oddHBand="0" w:evenHBand="0" w:firstRowFirstColumn="0" w:firstRowLastColumn="0" w:lastRowFirstColumn="0" w:lastRowLastColumn="0"/>
        </w:trPr>
        <w:tc>
          <w:tcPr>
            <w:tcW w:w="4882" w:type="dxa"/>
          </w:tcPr>
          <w:p w14:paraId="41B97A3A" w14:textId="77777777" w:rsidR="00864DC7" w:rsidRDefault="00864DC7">
            <w:pPr>
              <w:pStyle w:val="TableHeading"/>
            </w:pPr>
          </w:p>
        </w:tc>
        <w:tc>
          <w:tcPr>
            <w:tcW w:w="4842" w:type="dxa"/>
          </w:tcPr>
          <w:p w14:paraId="0392D558" w14:textId="312F787D" w:rsidR="00864DC7" w:rsidRDefault="00864DC7">
            <w:pPr>
              <w:pStyle w:val="TableHeading"/>
            </w:pPr>
            <w:r>
              <w:t xml:space="preserve">Examples of how we have had regard to this in making our </w:t>
            </w:r>
            <w:r w:rsidR="00E8021A">
              <w:t xml:space="preserve">final </w:t>
            </w:r>
            <w:r>
              <w:t>decision for unbooked taxi fares</w:t>
            </w:r>
          </w:p>
        </w:tc>
        <w:tc>
          <w:tcPr>
            <w:tcW w:w="4846" w:type="dxa"/>
          </w:tcPr>
          <w:p w14:paraId="330F5561" w14:textId="0BD5779A" w:rsidR="00864DC7" w:rsidRDefault="00864DC7">
            <w:pPr>
              <w:pStyle w:val="TableHeading"/>
            </w:pPr>
            <w:r>
              <w:t>Examples of h</w:t>
            </w:r>
            <w:r w:rsidRPr="00A34A93">
              <w:t xml:space="preserve">ow we have had regard to this in making our </w:t>
            </w:r>
            <w:r w:rsidR="00E8021A">
              <w:t>final</w:t>
            </w:r>
            <w:r w:rsidR="00E8021A" w:rsidRPr="00A34A93">
              <w:t xml:space="preserve"> </w:t>
            </w:r>
            <w:r w:rsidRPr="00A34A93">
              <w:t xml:space="preserve">decision for </w:t>
            </w:r>
            <w:r>
              <w:t>taxi non-cash payment surcharges</w:t>
            </w:r>
          </w:p>
        </w:tc>
      </w:tr>
      <w:tr w:rsidR="00864DC7" w:rsidRPr="00FE1712" w14:paraId="68E9BAA4"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01EAD7EC" w14:textId="77777777" w:rsidR="00864DC7" w:rsidRPr="00702A57" w:rsidRDefault="00864DC7">
            <w:pPr>
              <w:pStyle w:val="TableBold"/>
              <w:spacing w:line="264" w:lineRule="auto"/>
            </w:pPr>
            <w:r>
              <w:t>Section 33(4) of the ESC Act 2001</w:t>
            </w:r>
          </w:p>
        </w:tc>
        <w:tc>
          <w:tcPr>
            <w:tcW w:w="4842" w:type="dxa"/>
          </w:tcPr>
          <w:p w14:paraId="296A1FA0" w14:textId="77777777" w:rsidR="00864DC7" w:rsidRPr="005B378C" w:rsidRDefault="00864DC7">
            <w:pPr>
              <w:pStyle w:val="TableBold"/>
              <w:spacing w:line="264" w:lineRule="auto"/>
            </w:pPr>
          </w:p>
        </w:tc>
        <w:tc>
          <w:tcPr>
            <w:tcW w:w="4846" w:type="dxa"/>
          </w:tcPr>
          <w:p w14:paraId="674BFB04" w14:textId="77777777" w:rsidR="00864DC7" w:rsidRPr="00FE1712" w:rsidRDefault="00864DC7">
            <w:pPr>
              <w:pStyle w:val="TableBold"/>
              <w:spacing w:line="264" w:lineRule="auto"/>
            </w:pPr>
          </w:p>
        </w:tc>
      </w:tr>
      <w:tr w:rsidR="00864DC7" w14:paraId="286F65DB" w14:textId="77777777" w:rsidTr="0F3B4C48">
        <w:trPr>
          <w:cnfStyle w:val="000000010000" w:firstRow="0" w:lastRow="0" w:firstColumn="0" w:lastColumn="0" w:oddVBand="0" w:evenVBand="0" w:oddHBand="0" w:evenHBand="1" w:firstRowFirstColumn="0" w:firstRowLastColumn="0" w:lastRowFirstColumn="0" w:lastRowLastColumn="0"/>
        </w:trPr>
        <w:tc>
          <w:tcPr>
            <w:tcW w:w="4882" w:type="dxa"/>
          </w:tcPr>
          <w:p w14:paraId="69AA1EE3" w14:textId="77777777" w:rsidR="00864DC7" w:rsidRDefault="00864DC7">
            <w:pPr>
              <w:pStyle w:val="TableBody"/>
              <w:spacing w:line="264" w:lineRule="auto"/>
            </w:pPr>
            <w:r w:rsidRPr="0F3B4C48">
              <w:rPr>
                <w:lang w:val="en-AU"/>
              </w:rPr>
              <w:t>In making a determination, we must ensure that the expected costs of the proposed regulation do not exceed the expected benefits, and that the determination takes into account and clearly articulates any trade-offs between costs and service standards</w:t>
            </w:r>
          </w:p>
        </w:tc>
        <w:tc>
          <w:tcPr>
            <w:tcW w:w="4842" w:type="dxa"/>
          </w:tcPr>
          <w:p w14:paraId="3E6FC73A" w14:textId="77777777" w:rsidR="00864DC7" w:rsidRDefault="00864DC7">
            <w:pPr>
              <w:pStyle w:val="TableBody"/>
              <w:spacing w:line="264" w:lineRule="auto"/>
            </w:pPr>
            <w:r w:rsidRPr="005B378C">
              <w:t>We consider that the maximum fares for unbooked taxi services will be sufficient for unbooked taxi service providers to ensure that the quality of service experienced by customers will at least remain stable.</w:t>
            </w:r>
          </w:p>
        </w:tc>
        <w:tc>
          <w:tcPr>
            <w:tcW w:w="4846" w:type="dxa"/>
          </w:tcPr>
          <w:p w14:paraId="613AD0F6" w14:textId="77777777" w:rsidR="00864DC7" w:rsidRDefault="00864DC7">
            <w:pPr>
              <w:pStyle w:val="TableBody"/>
              <w:spacing w:line="264" w:lineRule="auto"/>
            </w:pPr>
            <w:r w:rsidRPr="0F3B4C48">
              <w:rPr>
                <w:lang w:val="en-AU"/>
              </w:rPr>
              <w:t>Maintaining the current surcharges should allow taxi payment processors to recover the reasonable cost of processing non-cash payments through the maximum surcharges. As the surcharge is unchanged, it is unlikely that service standards will change as a result of this decision.</w:t>
            </w:r>
          </w:p>
        </w:tc>
      </w:tr>
      <w:tr w:rsidR="00864DC7" w14:paraId="78EBD9E2"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54A33908" w14:textId="77777777" w:rsidR="00864DC7" w:rsidRDefault="00864DC7">
            <w:pPr>
              <w:pStyle w:val="TableBold"/>
              <w:spacing w:line="264" w:lineRule="auto"/>
            </w:pPr>
            <w:r>
              <w:t>Transport system objectives</w:t>
            </w:r>
          </w:p>
        </w:tc>
        <w:tc>
          <w:tcPr>
            <w:tcW w:w="4842" w:type="dxa"/>
          </w:tcPr>
          <w:p w14:paraId="14CFC3C5" w14:textId="77777777" w:rsidR="00864DC7" w:rsidRDefault="00864DC7">
            <w:pPr>
              <w:pStyle w:val="TableBold"/>
              <w:spacing w:line="264" w:lineRule="auto"/>
            </w:pPr>
          </w:p>
        </w:tc>
        <w:tc>
          <w:tcPr>
            <w:tcW w:w="4846" w:type="dxa"/>
          </w:tcPr>
          <w:p w14:paraId="01962A92" w14:textId="77777777" w:rsidR="00864DC7" w:rsidRDefault="00864DC7">
            <w:pPr>
              <w:pStyle w:val="TableBold"/>
              <w:spacing w:line="264" w:lineRule="auto"/>
            </w:pPr>
          </w:p>
        </w:tc>
      </w:tr>
      <w:tr w:rsidR="00864DC7" w14:paraId="5524CA48" w14:textId="77777777" w:rsidTr="0F3B4C48">
        <w:trPr>
          <w:cnfStyle w:val="000000010000" w:firstRow="0" w:lastRow="0" w:firstColumn="0" w:lastColumn="0" w:oddVBand="0" w:evenVBand="0" w:oddHBand="0" w:evenHBand="1" w:firstRowFirstColumn="0" w:firstRowLastColumn="0" w:lastRowFirstColumn="0" w:lastRowLastColumn="0"/>
        </w:trPr>
        <w:tc>
          <w:tcPr>
            <w:tcW w:w="4882" w:type="dxa"/>
          </w:tcPr>
          <w:p w14:paraId="0B12B1CF" w14:textId="77777777" w:rsidR="00864DC7" w:rsidRDefault="00864DC7">
            <w:pPr>
              <w:pStyle w:val="TableBody"/>
              <w:spacing w:line="264" w:lineRule="auto"/>
            </w:pPr>
            <w:r>
              <w:t>Section 8 – Social and economic inclusion</w:t>
            </w:r>
          </w:p>
          <w:p w14:paraId="673C1735" w14:textId="77777777" w:rsidR="00864DC7" w:rsidRDefault="00864DC7">
            <w:pPr>
              <w:pStyle w:val="TableBody"/>
              <w:spacing w:line="264" w:lineRule="auto"/>
            </w:pPr>
            <w:r>
              <w:t xml:space="preserve">The transport system should provide a means by which persons can access social and economic opportunities to support individual and community wellbeing including by-  </w:t>
            </w:r>
          </w:p>
          <w:p w14:paraId="07533143" w14:textId="019BBB03" w:rsidR="00864DC7" w:rsidRDefault="00864DC7" w:rsidP="0F3B4C48">
            <w:pPr>
              <w:pStyle w:val="TableBody"/>
              <w:numPr>
                <w:ilvl w:val="4"/>
                <w:numId w:val="10"/>
              </w:numPr>
              <w:spacing w:line="264" w:lineRule="auto"/>
              <w:ind w:left="477" w:hanging="477"/>
              <w:rPr>
                <w:lang w:val="en-AU"/>
              </w:rPr>
            </w:pPr>
            <w:r w:rsidRPr="0F3B4C48">
              <w:rPr>
                <w:lang w:val="en-AU"/>
              </w:rPr>
              <w:t>minimising barriers to access so that so far as is possible the transport system is available to as many persons as wish to use it;</w:t>
            </w:r>
          </w:p>
          <w:p w14:paraId="1D958520" w14:textId="47AC683F" w:rsidR="00864DC7" w:rsidRDefault="00864DC7" w:rsidP="002E0586">
            <w:pPr>
              <w:pStyle w:val="TableBody"/>
              <w:numPr>
                <w:ilvl w:val="4"/>
                <w:numId w:val="10"/>
              </w:numPr>
              <w:spacing w:line="264" w:lineRule="auto"/>
              <w:ind w:left="477" w:hanging="477"/>
            </w:pPr>
            <w:r>
              <w:t xml:space="preserve">providing tailored infrastructure, services and support for persons who find it difficult to use the transport system. </w:t>
            </w:r>
          </w:p>
        </w:tc>
        <w:tc>
          <w:tcPr>
            <w:tcW w:w="9688" w:type="dxa"/>
            <w:gridSpan w:val="2"/>
          </w:tcPr>
          <w:p w14:paraId="0C20CF6E" w14:textId="77777777" w:rsidR="00864DC7" w:rsidRDefault="00864DC7">
            <w:pPr>
              <w:pStyle w:val="TableBody"/>
              <w:spacing w:line="264" w:lineRule="auto"/>
            </w:pPr>
            <w:r w:rsidRPr="0F3B4C48">
              <w:rPr>
                <w:lang w:val="en-AU"/>
              </w:rPr>
              <w:t xml:space="preserve">We are aware of the important role taxis have in enabling social and economic inclusion, particularly for people who are unable to drive themselves, or who lack the means to own a vehicle. </w:t>
            </w:r>
          </w:p>
          <w:p w14:paraId="61C26848" w14:textId="1FFDCA3E" w:rsidR="00864DC7" w:rsidRDefault="00864DC7" w:rsidP="00503A99">
            <w:pPr>
              <w:pStyle w:val="TableBody"/>
              <w:spacing w:before="120" w:line="264" w:lineRule="auto"/>
            </w:pPr>
            <w:r w:rsidRPr="0F3B4C48">
              <w:rPr>
                <w:lang w:val="en-AU"/>
              </w:rPr>
              <w:t xml:space="preserve">This transport system objective is best served by ensuring Victorians who require access to unbooked commercial passenger vehicle services are able to access services at efficient prices from a viable industry. </w:t>
            </w:r>
          </w:p>
          <w:p w14:paraId="7A276A45" w14:textId="77777777" w:rsidR="00864DC7" w:rsidRDefault="00864DC7">
            <w:pPr>
              <w:pStyle w:val="TableBody"/>
              <w:spacing w:line="264" w:lineRule="auto"/>
            </w:pPr>
          </w:p>
        </w:tc>
      </w:tr>
    </w:tbl>
    <w:p w14:paraId="03004195" w14:textId="77777777" w:rsidR="00864DC7" w:rsidRPr="00864DC7" w:rsidRDefault="00864DC7" w:rsidP="00864DC7">
      <w:pPr>
        <w:pStyle w:val="Source"/>
        <w:rPr>
          <w:rStyle w:val="Heading1Char"/>
          <w:rFonts w:asciiTheme="minorHAnsi" w:eastAsiaTheme="minorHAnsi" w:hAnsiTheme="minorHAnsi" w:cstheme="minorBidi"/>
          <w:color w:val="4986A0" w:themeColor="text2"/>
          <w:sz w:val="18"/>
          <w:szCs w:val="18"/>
        </w:rPr>
      </w:pPr>
      <w:bookmarkStart w:id="355" w:name="_Toc167345883"/>
      <w:bookmarkStart w:id="356" w:name="_Toc167346577"/>
      <w:bookmarkStart w:id="357" w:name="_Toc167780375"/>
      <w:bookmarkStart w:id="358" w:name="_Toc173691453"/>
      <w:bookmarkStart w:id="359" w:name="_Toc174692719"/>
      <w:r w:rsidRPr="00864DC7">
        <w:rPr>
          <w:rStyle w:val="Heading1Char"/>
          <w:rFonts w:asciiTheme="minorHAnsi" w:eastAsiaTheme="minorHAnsi" w:hAnsiTheme="minorHAnsi" w:cstheme="minorBidi"/>
          <w:color w:val="4986A0" w:themeColor="text2"/>
          <w:sz w:val="18"/>
          <w:szCs w:val="18"/>
        </w:rPr>
        <w:t>Continued next page</w:t>
      </w:r>
      <w:bookmarkEnd w:id="355"/>
      <w:bookmarkEnd w:id="356"/>
      <w:bookmarkEnd w:id="357"/>
      <w:bookmarkEnd w:id="358"/>
      <w:bookmarkEnd w:id="359"/>
    </w:p>
    <w:p w14:paraId="4F21A4E6" w14:textId="185D0F60" w:rsidR="00056BE6" w:rsidRPr="00E6763B" w:rsidRDefault="00E6763B" w:rsidP="00E6763B">
      <w:pPr>
        <w:pStyle w:val="Figure-Table-BoxHeading"/>
        <w:rPr>
          <w:rStyle w:val="Heading1Char"/>
          <w:rFonts w:asciiTheme="majorHAnsi" w:hAnsiTheme="majorHAnsi"/>
          <w:color w:val="4986A0" w:themeColor="text2"/>
          <w:sz w:val="22"/>
          <w:szCs w:val="24"/>
        </w:rPr>
      </w:pPr>
      <w:bookmarkStart w:id="360" w:name="_Toc167345884"/>
      <w:bookmarkStart w:id="361" w:name="_Toc167346578"/>
      <w:bookmarkStart w:id="362" w:name="_Toc167780376"/>
      <w:bookmarkStart w:id="363" w:name="_Toc173691454"/>
      <w:bookmarkStart w:id="364" w:name="_Toc174692720"/>
      <w:r w:rsidRPr="00E6763B">
        <w:rPr>
          <w:rStyle w:val="Heading1Char"/>
          <w:rFonts w:asciiTheme="majorHAnsi" w:hAnsiTheme="majorHAnsi"/>
          <w:color w:val="4986A0" w:themeColor="text2"/>
          <w:sz w:val="22"/>
          <w:szCs w:val="24"/>
        </w:rPr>
        <w:lastRenderedPageBreak/>
        <w:t xml:space="preserve">Table </w:t>
      </w:r>
      <w:r w:rsidR="008764D4">
        <w:rPr>
          <w:rStyle w:val="Heading1Char"/>
          <w:rFonts w:asciiTheme="majorHAnsi" w:hAnsiTheme="majorHAnsi"/>
          <w:color w:val="4986A0" w:themeColor="text2"/>
          <w:sz w:val="22"/>
          <w:szCs w:val="24"/>
        </w:rPr>
        <w:t>G</w:t>
      </w:r>
      <w:r w:rsidRPr="00E6763B">
        <w:rPr>
          <w:rStyle w:val="Heading1Char"/>
          <w:rFonts w:asciiTheme="majorHAnsi" w:hAnsiTheme="majorHAnsi"/>
          <w:color w:val="4986A0" w:themeColor="text2"/>
          <w:sz w:val="22"/>
          <w:szCs w:val="24"/>
        </w:rPr>
        <w:t>.1 (continued)</w:t>
      </w:r>
      <w:bookmarkEnd w:id="360"/>
      <w:bookmarkEnd w:id="361"/>
      <w:bookmarkEnd w:id="362"/>
      <w:bookmarkEnd w:id="363"/>
      <w:bookmarkEnd w:id="364"/>
    </w:p>
    <w:tbl>
      <w:tblPr>
        <w:tblStyle w:val="TableGrid"/>
        <w:tblW w:w="0" w:type="auto"/>
        <w:tblLook w:val="04A0" w:firstRow="1" w:lastRow="0" w:firstColumn="1" w:lastColumn="0" w:noHBand="0" w:noVBand="1"/>
      </w:tblPr>
      <w:tblGrid>
        <w:gridCol w:w="4882"/>
        <w:gridCol w:w="4842"/>
        <w:gridCol w:w="4846"/>
      </w:tblGrid>
      <w:tr w:rsidR="00864DC7" w14:paraId="1F71A4FE" w14:textId="77777777" w:rsidTr="0F3B4C48">
        <w:trPr>
          <w:cnfStyle w:val="100000000000" w:firstRow="1" w:lastRow="0" w:firstColumn="0" w:lastColumn="0" w:oddVBand="0" w:evenVBand="0" w:oddHBand="0" w:evenHBand="0" w:firstRowFirstColumn="0" w:firstRowLastColumn="0" w:lastRowFirstColumn="0" w:lastRowLastColumn="0"/>
        </w:trPr>
        <w:tc>
          <w:tcPr>
            <w:tcW w:w="4882" w:type="dxa"/>
          </w:tcPr>
          <w:p w14:paraId="3BE0B131" w14:textId="77777777" w:rsidR="00864DC7" w:rsidRDefault="00864DC7">
            <w:pPr>
              <w:pStyle w:val="TableHeading"/>
            </w:pPr>
          </w:p>
        </w:tc>
        <w:tc>
          <w:tcPr>
            <w:tcW w:w="4842" w:type="dxa"/>
          </w:tcPr>
          <w:p w14:paraId="35FA8A42" w14:textId="61AC4E5A" w:rsidR="00864DC7" w:rsidRDefault="00864DC7">
            <w:pPr>
              <w:pStyle w:val="TableHeading"/>
            </w:pPr>
            <w:r>
              <w:t xml:space="preserve">Examples of how we have had regard to this in making our </w:t>
            </w:r>
            <w:r w:rsidR="00E8021A">
              <w:t xml:space="preserve">final </w:t>
            </w:r>
            <w:r>
              <w:t>decision for unbooked taxi fares</w:t>
            </w:r>
          </w:p>
        </w:tc>
        <w:tc>
          <w:tcPr>
            <w:tcW w:w="4846" w:type="dxa"/>
          </w:tcPr>
          <w:p w14:paraId="6796CE35" w14:textId="5B2752DE" w:rsidR="00864DC7" w:rsidRDefault="00864DC7">
            <w:pPr>
              <w:pStyle w:val="TableHeading"/>
            </w:pPr>
            <w:r>
              <w:t>Examples of h</w:t>
            </w:r>
            <w:r w:rsidRPr="00A34A93">
              <w:t xml:space="preserve">ow we have had regard to this in making our </w:t>
            </w:r>
            <w:r w:rsidR="00E8021A">
              <w:t>final</w:t>
            </w:r>
            <w:r w:rsidR="00E8021A" w:rsidRPr="00A34A93">
              <w:t xml:space="preserve"> </w:t>
            </w:r>
            <w:r w:rsidRPr="00A34A93">
              <w:t xml:space="preserve">decision for </w:t>
            </w:r>
            <w:r>
              <w:t>taxi non-cash payment surcharges</w:t>
            </w:r>
          </w:p>
        </w:tc>
      </w:tr>
      <w:tr w:rsidR="00864DC7" w14:paraId="3C1922A3"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5EEDC61D" w14:textId="60209A77" w:rsidR="00864DC7" w:rsidRDefault="00864DC7">
            <w:pPr>
              <w:pStyle w:val="TableBold"/>
              <w:spacing w:line="264" w:lineRule="auto"/>
            </w:pPr>
            <w:r w:rsidRPr="0F3B4C48">
              <w:rPr>
                <w:lang w:val="en-AU"/>
              </w:rPr>
              <w:t>Transport system objectives</w:t>
            </w:r>
            <w:r w:rsidR="00056BE6" w:rsidRPr="0F3B4C48">
              <w:rPr>
                <w:lang w:val="en-AU"/>
              </w:rPr>
              <w:t xml:space="preserve"> (continued)</w:t>
            </w:r>
          </w:p>
        </w:tc>
        <w:tc>
          <w:tcPr>
            <w:tcW w:w="4842" w:type="dxa"/>
          </w:tcPr>
          <w:p w14:paraId="62D63A26" w14:textId="77777777" w:rsidR="00864DC7" w:rsidRDefault="00864DC7">
            <w:pPr>
              <w:pStyle w:val="TableBold"/>
              <w:spacing w:line="264" w:lineRule="auto"/>
            </w:pPr>
          </w:p>
        </w:tc>
        <w:tc>
          <w:tcPr>
            <w:tcW w:w="4846" w:type="dxa"/>
          </w:tcPr>
          <w:p w14:paraId="4F81A80F" w14:textId="77777777" w:rsidR="00864DC7" w:rsidRDefault="00864DC7">
            <w:pPr>
              <w:pStyle w:val="TableBold"/>
              <w:spacing w:line="264" w:lineRule="auto"/>
            </w:pPr>
          </w:p>
        </w:tc>
      </w:tr>
      <w:tr w:rsidR="00864DC7" w14:paraId="2D2CB48E" w14:textId="77777777" w:rsidTr="0F3B4C48">
        <w:trPr>
          <w:cnfStyle w:val="000000010000" w:firstRow="0" w:lastRow="0" w:firstColumn="0" w:lastColumn="0" w:oddVBand="0" w:evenVBand="0" w:oddHBand="0" w:evenHBand="1" w:firstRowFirstColumn="0" w:firstRowLastColumn="0" w:lastRowFirstColumn="0" w:lastRowLastColumn="0"/>
        </w:trPr>
        <w:tc>
          <w:tcPr>
            <w:tcW w:w="4882" w:type="dxa"/>
          </w:tcPr>
          <w:p w14:paraId="15BAE2CD" w14:textId="77777777" w:rsidR="00864DC7" w:rsidRDefault="00864DC7">
            <w:pPr>
              <w:pStyle w:val="TableBody"/>
              <w:spacing w:line="264" w:lineRule="auto"/>
            </w:pPr>
            <w:r>
              <w:t>Section 9 - Economic prosperity</w:t>
            </w:r>
          </w:p>
          <w:p w14:paraId="3D9BA08C" w14:textId="77777777" w:rsidR="00864DC7" w:rsidRDefault="00864DC7">
            <w:pPr>
              <w:pStyle w:val="TableBody"/>
              <w:spacing w:line="264" w:lineRule="auto"/>
            </w:pPr>
            <w:r w:rsidRPr="0F3B4C48">
              <w:rPr>
                <w:lang w:val="en-AU"/>
              </w:rPr>
              <w:t xml:space="preserve">The transport system should facilitate economic prosperity by- </w:t>
            </w:r>
          </w:p>
          <w:p w14:paraId="166AFF0B" w14:textId="11BD2C02" w:rsidR="00864DC7" w:rsidRDefault="00864DC7" w:rsidP="0F3B4C48">
            <w:pPr>
              <w:pStyle w:val="TableBody"/>
              <w:numPr>
                <w:ilvl w:val="4"/>
                <w:numId w:val="34"/>
              </w:numPr>
              <w:spacing w:line="264" w:lineRule="auto"/>
              <w:ind w:left="477" w:hanging="501"/>
              <w:rPr>
                <w:lang w:val="en-AU"/>
              </w:rPr>
            </w:pPr>
            <w:r w:rsidRPr="0F3B4C48">
              <w:rPr>
                <w:lang w:val="en-AU"/>
              </w:rPr>
              <w:t>enabling efficient and effective access for persons and goods to places of employment, markets and services;</w:t>
            </w:r>
          </w:p>
          <w:p w14:paraId="21C6F6DB" w14:textId="77777777" w:rsidR="00864DC7" w:rsidRDefault="00864DC7" w:rsidP="002E0586">
            <w:pPr>
              <w:pStyle w:val="TableBody"/>
              <w:numPr>
                <w:ilvl w:val="4"/>
                <w:numId w:val="34"/>
              </w:numPr>
              <w:spacing w:line="264" w:lineRule="auto"/>
              <w:ind w:left="477" w:hanging="501"/>
            </w:pPr>
            <w:r>
              <w:t>increasing efficiency through reducing costs and improving timeliness;</w:t>
            </w:r>
          </w:p>
          <w:p w14:paraId="68F8E953" w14:textId="77777777" w:rsidR="00864DC7" w:rsidRDefault="00864DC7" w:rsidP="002E0586">
            <w:pPr>
              <w:pStyle w:val="TableBody"/>
              <w:numPr>
                <w:ilvl w:val="4"/>
                <w:numId w:val="34"/>
              </w:numPr>
              <w:spacing w:line="264" w:lineRule="auto"/>
              <w:ind w:left="477" w:hanging="501"/>
            </w:pPr>
            <w:r>
              <w:t>fostering competition by providing access to markets;</w:t>
            </w:r>
          </w:p>
          <w:p w14:paraId="301C1714" w14:textId="77777777" w:rsidR="00864DC7" w:rsidRDefault="00864DC7" w:rsidP="002E0586">
            <w:pPr>
              <w:pStyle w:val="TableBody"/>
              <w:numPr>
                <w:ilvl w:val="4"/>
                <w:numId w:val="34"/>
              </w:numPr>
              <w:spacing w:line="264" w:lineRule="auto"/>
              <w:ind w:left="477" w:hanging="501"/>
            </w:pPr>
            <w:r>
              <w:t>facilitating investment in Victoria;</w:t>
            </w:r>
          </w:p>
          <w:p w14:paraId="40AE32C2" w14:textId="285E84BD" w:rsidR="00864DC7" w:rsidRDefault="00404EBC" w:rsidP="00185DCA">
            <w:pPr>
              <w:pStyle w:val="TableBody"/>
              <w:spacing w:line="264" w:lineRule="auto"/>
              <w:ind w:left="477" w:hanging="477"/>
            </w:pPr>
            <w:r>
              <w:t>(e)</w:t>
            </w:r>
            <w:r w:rsidR="000068DD">
              <w:tab/>
            </w:r>
            <w:r w:rsidR="00864DC7">
              <w:t>supporting financial sustainability.</w:t>
            </w:r>
          </w:p>
        </w:tc>
        <w:tc>
          <w:tcPr>
            <w:tcW w:w="9688" w:type="dxa"/>
            <w:gridSpan w:val="2"/>
          </w:tcPr>
          <w:p w14:paraId="75DE03CE" w14:textId="08506CCA" w:rsidR="00864DC7" w:rsidRDefault="00864DC7" w:rsidP="00A4188B">
            <w:pPr>
              <w:pStyle w:val="TableBody"/>
              <w:spacing w:line="264" w:lineRule="auto"/>
            </w:pPr>
            <w:r>
              <w:t>This overarching transport system objective is consistent with the specific objectives provided for us in the Commercial Passenger Vehicle Industry Act sections 110C (promote the efficient provision and use of applicable unbooked services) and 122 (in relation to the non-cash payment industry, to promote efficiency by regulating the amount that may be imposed by way of a non-cash payment surcharge, and ensuring persons facilitating the making of non-cash payment transactions are able to recover the reasonable cost of accepting and processing such transactions).</w:t>
            </w:r>
          </w:p>
          <w:p w14:paraId="6144F30A" w14:textId="77777777" w:rsidR="00864DC7" w:rsidRDefault="00864DC7" w:rsidP="00A4188B">
            <w:pPr>
              <w:pStyle w:val="TableBody"/>
              <w:spacing w:line="264" w:lineRule="auto"/>
            </w:pPr>
          </w:p>
        </w:tc>
      </w:tr>
      <w:tr w:rsidR="00864DC7" w14:paraId="744E1F9C" w14:textId="77777777" w:rsidTr="0F3B4C48">
        <w:trPr>
          <w:cnfStyle w:val="000000100000" w:firstRow="0" w:lastRow="0" w:firstColumn="0" w:lastColumn="0" w:oddVBand="0" w:evenVBand="0" w:oddHBand="1" w:evenHBand="0" w:firstRowFirstColumn="0" w:firstRowLastColumn="0" w:lastRowFirstColumn="0" w:lastRowLastColumn="0"/>
        </w:trPr>
        <w:tc>
          <w:tcPr>
            <w:tcW w:w="4882" w:type="dxa"/>
          </w:tcPr>
          <w:p w14:paraId="271770F9" w14:textId="77777777" w:rsidR="00864DC7" w:rsidRDefault="00864DC7">
            <w:pPr>
              <w:pStyle w:val="TableBody"/>
              <w:spacing w:line="264" w:lineRule="auto"/>
            </w:pPr>
            <w:r>
              <w:t>Charter of Human Rights and Responsibilities Act consideration of relevant human rights</w:t>
            </w:r>
          </w:p>
          <w:p w14:paraId="4955BB93" w14:textId="77777777" w:rsidR="00864DC7" w:rsidRDefault="00864DC7">
            <w:pPr>
              <w:pStyle w:val="TableBody"/>
              <w:spacing w:line="264" w:lineRule="auto"/>
            </w:pPr>
            <w:r>
              <w:t>Section 12 – Freedom of movement</w:t>
            </w:r>
          </w:p>
          <w:p w14:paraId="7909DC4D" w14:textId="77777777" w:rsidR="00864DC7" w:rsidRDefault="00864DC7">
            <w:pPr>
              <w:pStyle w:val="TableBody"/>
              <w:spacing w:line="264" w:lineRule="auto"/>
            </w:pPr>
            <w:r>
              <w:t>Section 18 – Taking part in public life</w:t>
            </w:r>
          </w:p>
          <w:p w14:paraId="0A557761" w14:textId="77777777" w:rsidR="00864DC7" w:rsidRDefault="00864DC7">
            <w:pPr>
              <w:pStyle w:val="TableBody"/>
              <w:spacing w:line="264" w:lineRule="auto"/>
            </w:pPr>
            <w:r>
              <w:t>Section 19 – Cultural rights</w:t>
            </w:r>
          </w:p>
        </w:tc>
        <w:tc>
          <w:tcPr>
            <w:tcW w:w="9688" w:type="dxa"/>
            <w:gridSpan w:val="2"/>
          </w:tcPr>
          <w:p w14:paraId="0BD16C07" w14:textId="77777777" w:rsidR="00864DC7" w:rsidRDefault="00864DC7">
            <w:pPr>
              <w:pStyle w:val="TableBody"/>
              <w:spacing w:line="264" w:lineRule="auto"/>
            </w:pPr>
            <w:r w:rsidRPr="0F3B4C48">
              <w:rPr>
                <w:lang w:val="en-AU"/>
              </w:rPr>
              <w:t xml:space="preserve">We are required to give proper consideration to relevant human rights when making a decision. </w:t>
            </w:r>
          </w:p>
          <w:p w14:paraId="7C2A0D53" w14:textId="77777777" w:rsidR="00864DC7" w:rsidRDefault="00864DC7">
            <w:pPr>
              <w:pStyle w:val="TableBody"/>
              <w:spacing w:line="264" w:lineRule="auto"/>
            </w:pPr>
            <w:r w:rsidRPr="0F3B4C48">
              <w:rPr>
                <w:lang w:val="en-AU"/>
              </w:rPr>
              <w:t xml:space="preserve">We consider our work in regulating non-cash payment transactions and unbooked commercial passenger vehicle fares - through facilitating the ongoing availability of unbooked taxi services at efficient prices – advances the rights of freedom of movement, taking part in public life, and cultural rights in particular. </w:t>
            </w:r>
          </w:p>
        </w:tc>
      </w:tr>
    </w:tbl>
    <w:p w14:paraId="6A6F67A9" w14:textId="68D4D21E" w:rsidR="00B97D78" w:rsidRDefault="0006646F" w:rsidP="00434AC3">
      <w:pPr>
        <w:pStyle w:val="Source"/>
        <w:jc w:val="left"/>
        <w:rPr>
          <w:rStyle w:val="Heading1Char"/>
          <w:rFonts w:asciiTheme="minorHAnsi" w:eastAsiaTheme="minorHAnsi" w:hAnsiTheme="minorHAnsi" w:cstheme="minorBidi"/>
          <w:color w:val="4986A0" w:themeColor="text2"/>
          <w:sz w:val="18"/>
          <w:szCs w:val="18"/>
        </w:rPr>
      </w:pPr>
      <w:bookmarkStart w:id="365" w:name="_Toc167780377"/>
      <w:bookmarkStart w:id="366" w:name="_Toc173691455"/>
      <w:bookmarkStart w:id="367" w:name="_Toc174692721"/>
      <w:bookmarkStart w:id="368" w:name="_Toc167345885"/>
      <w:bookmarkStart w:id="369" w:name="_Toc167346579"/>
      <w:r w:rsidRPr="00434AC3">
        <w:rPr>
          <w:rStyle w:val="Heading1Char"/>
          <w:rFonts w:asciiTheme="minorHAnsi" w:eastAsiaTheme="minorHAnsi" w:hAnsiTheme="minorHAnsi" w:cstheme="minorBidi"/>
          <w:b/>
          <w:color w:val="4986A0" w:themeColor="text2"/>
          <w:sz w:val="18"/>
          <w:szCs w:val="18"/>
          <w:vertAlign w:val="superscript"/>
        </w:rPr>
        <w:t>a</w:t>
      </w:r>
      <w:bookmarkEnd w:id="365"/>
      <w:bookmarkEnd w:id="366"/>
      <w:bookmarkEnd w:id="367"/>
      <w:r w:rsidRPr="00C46C14">
        <w:rPr>
          <w:rStyle w:val="Heading1Char"/>
          <w:rFonts w:asciiTheme="minorHAnsi" w:eastAsiaTheme="minorHAnsi" w:hAnsiTheme="minorHAnsi" w:cstheme="minorBidi"/>
          <w:color w:val="4986A0" w:themeColor="text2"/>
          <w:sz w:val="18"/>
          <w:szCs w:val="18"/>
        </w:rPr>
        <w:t xml:space="preserve"> </w:t>
      </w:r>
      <w:r w:rsidR="00C46C14" w:rsidRPr="006B4A9B">
        <w:t>U</w:t>
      </w:r>
      <w:r w:rsidR="00056BE6" w:rsidRPr="006B4A9B">
        <w:t>nder the Commercial Passenger Vehicle Industry Act 2017 and the Commercial Passenger Vehicle Regulations 2018</w:t>
      </w:r>
      <w:r w:rsidR="00C46C14" w:rsidRPr="006B4A9B">
        <w:t>.</w:t>
      </w:r>
      <w:bookmarkEnd w:id="368"/>
      <w:bookmarkEnd w:id="369"/>
    </w:p>
    <w:p w14:paraId="3A466836" w14:textId="77777777" w:rsidR="00326EFF" w:rsidRDefault="00326EFF" w:rsidP="00434AC3">
      <w:pPr>
        <w:pStyle w:val="Source"/>
        <w:jc w:val="left"/>
        <w:rPr>
          <w:rStyle w:val="Heading1Char"/>
          <w:rFonts w:asciiTheme="minorHAnsi" w:eastAsiaTheme="minorHAnsi" w:hAnsiTheme="minorHAnsi" w:cstheme="minorBidi"/>
          <w:color w:val="4986A0" w:themeColor="text2"/>
          <w:sz w:val="18"/>
          <w:szCs w:val="18"/>
        </w:rPr>
        <w:sectPr w:rsidR="00326EFF" w:rsidSect="00434AC3">
          <w:pgSz w:w="16838" w:h="11906" w:orient="landscape" w:code="9"/>
          <w:pgMar w:top="1134" w:right="1134" w:bottom="1134" w:left="1134" w:header="709" w:footer="692" w:gutter="0"/>
          <w:cols w:space="708"/>
          <w:docGrid w:linePitch="360"/>
        </w:sectPr>
      </w:pPr>
    </w:p>
    <w:p w14:paraId="4AC88A5E" w14:textId="396EC95D" w:rsidR="0088262F" w:rsidRDefault="0088262F" w:rsidP="006B4A9B">
      <w:pPr>
        <w:pStyle w:val="Heading1"/>
        <w:rPr>
          <w:rStyle w:val="Heading1Char"/>
        </w:rPr>
      </w:pPr>
      <w:bookmarkStart w:id="370" w:name="_Toc507072067"/>
    </w:p>
    <w:bookmarkEnd w:id="370"/>
    <w:p w14:paraId="17BCE492" w14:textId="6934FB42" w:rsidR="0048332E" w:rsidRPr="00275C80" w:rsidRDefault="0048332E" w:rsidP="00816D9C">
      <w:pPr>
        <w:pStyle w:val="Source"/>
        <w:spacing w:before="160"/>
        <w:jc w:val="left"/>
        <w:rPr>
          <w:rStyle w:val="Heading1Char"/>
          <w:rFonts w:ascii="Arial" w:eastAsia="Times New Roman" w:hAnsi="Arial" w:cs="Arial"/>
          <w:iCs w:val="0"/>
          <w:color w:val="4986A0"/>
          <w:sz w:val="18"/>
          <w:szCs w:val="18"/>
        </w:rPr>
      </w:pPr>
    </w:p>
    <w:sectPr w:rsidR="0048332E" w:rsidRPr="00275C80" w:rsidSect="00AC6879">
      <w:headerReference w:type="default" r:id="rId67"/>
      <w:footerReference w:type="default" r:id="rId6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F482E" w14:textId="77777777" w:rsidR="00650FE7" w:rsidRDefault="00650FE7" w:rsidP="00AE03FA">
      <w:pPr>
        <w:spacing w:after="0"/>
      </w:pPr>
      <w:r>
        <w:separator/>
      </w:r>
    </w:p>
    <w:p w14:paraId="3B10E8A6" w14:textId="77777777" w:rsidR="00650FE7" w:rsidRDefault="00650FE7"/>
  </w:endnote>
  <w:endnote w:type="continuationSeparator" w:id="0">
    <w:p w14:paraId="04363F86" w14:textId="77777777" w:rsidR="00650FE7" w:rsidRDefault="00650FE7" w:rsidP="00AE03FA">
      <w:pPr>
        <w:spacing w:after="0"/>
      </w:pPr>
      <w:r>
        <w:continuationSeparator/>
      </w:r>
    </w:p>
    <w:p w14:paraId="302FAA08" w14:textId="77777777" w:rsidR="00650FE7" w:rsidRDefault="00650FE7"/>
  </w:endnote>
  <w:endnote w:type="continuationNotice" w:id="1">
    <w:p w14:paraId="615642EB" w14:textId="77777777" w:rsidR="00650FE7" w:rsidRDefault="00650F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FFD2" w14:textId="65FA69AB" w:rsidR="002616F9" w:rsidRDefault="00D50569">
    <w:r>
      <w:cr/>
    </w:r>
    <w:r w:rsidR="00035417">
      <w:cr/>
    </w:r>
    <w:r>
      <w:cr/>
    </w:r>
    <w:r>
      <w:cr/>
    </w:r>
    <w:r>
      <w:cr/>
    </w:r>
    <w:r w:rsidR="0075211E">
      <w:cr/>
    </w:r>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8266" w14:textId="33930B41" w:rsidR="008764D4" w:rsidRDefault="008764D4" w:rsidP="00F44D5E">
    <w:pPr>
      <w:pStyle w:val="FooterSpace"/>
      <w:ind w:right="707"/>
    </w:pPr>
    <w:r>
      <w:t>Appendix B: Stakeholder submissions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8764D4" w14:paraId="39740BF4"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FF9B3D0" w14:textId="77777777" w:rsidR="008764D4" w:rsidRPr="009E15D6" w:rsidRDefault="008764D4"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33FB5DDE" w14:textId="77777777" w:rsidR="008764D4" w:rsidRPr="00E5390E" w:rsidRDefault="008764D4" w:rsidP="00F44D5E">
    <w:pPr>
      <w:pStyle w:val="Footer"/>
      <w:ind w:right="707"/>
      <w:rPr>
        <w:b/>
      </w:rPr>
    </w:pPr>
    <w:r>
      <w:t xml:space="preserve">Essential Services Commission </w:t>
    </w:r>
    <w:sdt>
      <w:sdtPr>
        <w:rPr>
          <w:b/>
        </w:rPr>
        <w:alias w:val="Title"/>
        <w:tag w:val=""/>
        <w:id w:val="397488836"/>
        <w:placeholder>
          <w:docPart w:val="E511F22BDC0E438B99301CE38D95B7D6"/>
        </w:placeholder>
        <w:dataBinding w:prefixMappings="xmlns:ns0='http://purl.org/dc/elements/1.1/' xmlns:ns1='http://schemas.openxmlformats.org/package/2006/metadata/core-properties' " w:xpath="/ns1:coreProperties[1]/ns0:title[1]" w:storeItemID="{6C3C8BC8-F283-45AE-878A-BAB7291924A1}"/>
        <w:text/>
      </w:sdtPr>
      <w:sdtContent>
        <w:r>
          <w:rPr>
            <w:b/>
          </w:rPr>
          <w:t>Review of the maximum unbooked taxi fares and non-cash payment surcharges</w:t>
        </w:r>
      </w:sdtContent>
    </w:sdt>
    <w:r>
      <w:rPr>
        <w:b/>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3EC88" w14:textId="2F35B2FC" w:rsidR="003A30F3" w:rsidRDefault="00417FF5" w:rsidP="00F44D5E">
    <w:pPr>
      <w:pStyle w:val="FooterSpace"/>
      <w:ind w:right="707"/>
    </w:pPr>
    <w:r w:rsidRPr="00417FF5">
      <w:t xml:space="preserve">Appendix </w:t>
    </w:r>
    <w:r w:rsidR="008764D4">
      <w:t>C</w:t>
    </w:r>
    <w:r w:rsidRPr="00417FF5">
      <w:t>: Commercial Passenger Vehicle industry</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572B8EBE"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CF6125F"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8</w:t>
          </w:r>
          <w:r w:rsidRPr="009E15D6">
            <w:rPr>
              <w:rStyle w:val="PageNumber"/>
            </w:rPr>
            <w:fldChar w:fldCharType="end"/>
          </w:r>
        </w:p>
      </w:tc>
    </w:tr>
  </w:tbl>
  <w:p w14:paraId="3D0FECC2" w14:textId="182547F2" w:rsidR="003A30F3" w:rsidRPr="00CF2B15" w:rsidRDefault="003A30F3" w:rsidP="00F44D5E">
    <w:pPr>
      <w:pStyle w:val="Footer"/>
      <w:ind w:right="707"/>
      <w:rPr>
        <w:b/>
      </w:rPr>
    </w:pPr>
    <w:r>
      <w:t xml:space="preserve">Essential Services Commission </w:t>
    </w:r>
    <w:sdt>
      <w:sdtPr>
        <w:rPr>
          <w:b/>
        </w:rPr>
        <w:alias w:val="Title"/>
        <w:tag w:val=""/>
        <w:id w:val="-1336141239"/>
        <w:placeholder>
          <w:docPart w:val="DC485E1D39A544F99EB1BFB498E8EE3D"/>
        </w:placeholder>
        <w:dataBinding w:prefixMappings="xmlns:ns0='http://purl.org/dc/elements/1.1/' xmlns:ns1='http://schemas.openxmlformats.org/package/2006/metadata/core-properties' " w:xpath="/ns1:coreProperties[1]/ns0:title[1]" w:storeItemID="{6C3C8BC8-F283-45AE-878A-BAB7291924A1}"/>
        <w:text/>
      </w:sdtPr>
      <w:sdtContent>
        <w:r w:rsidR="005C281C">
          <w:rPr>
            <w:b/>
          </w:rPr>
          <w:t>Review of the maximum unbooked taxi fares and non-cash payment surcharges</w:t>
        </w:r>
      </w:sdtContent>
    </w:sdt>
    <w:r>
      <w:rPr>
        <w:b/>
      </w:rPr>
      <w:t xml:space="preserve">   </w:t>
    </w:r>
    <w:r w:rsidRPr="00CF2B15">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73E6" w14:textId="3669106A" w:rsidR="00417FF5" w:rsidRDefault="00417FF5" w:rsidP="00F44D5E">
    <w:pPr>
      <w:pStyle w:val="FooterSpace"/>
      <w:ind w:right="707"/>
    </w:pPr>
    <w:r w:rsidRPr="00BD1852">
      <w:t xml:space="preserve">Appendix </w:t>
    </w:r>
    <w:r w:rsidR="008764D4">
      <w:t>D</w:t>
    </w:r>
    <w:r w:rsidRPr="00BD1852">
      <w:t xml:space="preserve">: </w:t>
    </w:r>
    <w:r w:rsidR="00DF361E">
      <w:t>Taxi non-cash payment surcharging in other jurisdictions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417FF5" w14:paraId="331BF4F5"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7EB25F5" w14:textId="77777777" w:rsidR="00417FF5" w:rsidRPr="009E15D6" w:rsidRDefault="00417FF5"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52912362" w14:textId="77777777" w:rsidR="00417FF5" w:rsidRPr="00CF2B15" w:rsidRDefault="00417FF5" w:rsidP="00F44D5E">
    <w:pPr>
      <w:pStyle w:val="Footer"/>
      <w:ind w:right="707"/>
      <w:rPr>
        <w:b/>
      </w:rPr>
    </w:pPr>
    <w:r>
      <w:t xml:space="preserve">Essential Services Commission </w:t>
    </w:r>
    <w:sdt>
      <w:sdtPr>
        <w:rPr>
          <w:b/>
        </w:rPr>
        <w:alias w:val="Title"/>
        <w:tag w:val=""/>
        <w:id w:val="1090430117"/>
        <w:placeholder>
          <w:docPart w:val="4F7ECCE48E2D4A8F8AE721F0E689401D"/>
        </w:placeholder>
        <w:dataBinding w:prefixMappings="xmlns:ns0='http://purl.org/dc/elements/1.1/' xmlns:ns1='http://schemas.openxmlformats.org/package/2006/metadata/core-properties' " w:xpath="/ns1:coreProperties[1]/ns0:title[1]" w:storeItemID="{6C3C8BC8-F283-45AE-878A-BAB7291924A1}"/>
        <w:text/>
      </w:sdtPr>
      <w:sdtContent>
        <w:r>
          <w:rPr>
            <w:b/>
          </w:rPr>
          <w:t>Review of the maximum unbooked taxi fares and non-cash payment surcharges</w:t>
        </w:r>
      </w:sdtContent>
    </w:sdt>
    <w:r>
      <w:rPr>
        <w:b/>
      </w:rPr>
      <w:t xml:space="preserve">   </w:t>
    </w:r>
    <w:r w:rsidRPr="00CF2B15">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0DB4" w14:textId="629B9515" w:rsidR="003A30F3" w:rsidRDefault="00EA25E9" w:rsidP="00F44D5E">
    <w:pPr>
      <w:pStyle w:val="FooterSpace"/>
      <w:ind w:right="707"/>
    </w:pPr>
    <w:r w:rsidRPr="00EA25E9">
      <w:t xml:space="preserve">Appendix </w:t>
    </w:r>
    <w:r w:rsidR="0050000F">
      <w:t>E</w:t>
    </w:r>
    <w:r w:rsidRPr="00EA25E9">
      <w:t>: Taxi cost index</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7BCE154F"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B10BA75"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11</w:t>
          </w:r>
          <w:r w:rsidRPr="009E15D6">
            <w:rPr>
              <w:rStyle w:val="PageNumber"/>
            </w:rPr>
            <w:fldChar w:fldCharType="end"/>
          </w:r>
        </w:p>
      </w:tc>
    </w:tr>
  </w:tbl>
  <w:p w14:paraId="2C146CD0" w14:textId="37E85DD7" w:rsidR="003A30F3" w:rsidRPr="00CF2B15" w:rsidRDefault="003A30F3" w:rsidP="00F44D5E">
    <w:pPr>
      <w:pStyle w:val="Footer"/>
      <w:ind w:right="707"/>
      <w:rPr>
        <w:b/>
      </w:rPr>
    </w:pPr>
    <w:r>
      <w:t xml:space="preserve">Essential Services Commission </w:t>
    </w:r>
    <w:sdt>
      <w:sdtPr>
        <w:rPr>
          <w:b/>
        </w:rPr>
        <w:alias w:val="Title"/>
        <w:tag w:val=""/>
        <w:id w:val="-1241334570"/>
        <w:placeholder>
          <w:docPart w:val="0AB6374F56814B3796F75F2179745D3F"/>
        </w:placeholder>
        <w:dataBinding w:prefixMappings="xmlns:ns0='http://purl.org/dc/elements/1.1/' xmlns:ns1='http://schemas.openxmlformats.org/package/2006/metadata/core-properties' " w:xpath="/ns1:coreProperties[1]/ns0:title[1]" w:storeItemID="{6C3C8BC8-F283-45AE-878A-BAB7291924A1}"/>
        <w:text/>
      </w:sdtPr>
      <w:sdtContent>
        <w:r w:rsidR="005C281C">
          <w:rPr>
            <w:b/>
          </w:rPr>
          <w:t>Review of the maximum unbooked taxi fares and non-cash payment surcharges</w:t>
        </w:r>
      </w:sdtContent>
    </w:sdt>
    <w:r>
      <w:rPr>
        <w:b/>
      </w:rPr>
      <w:t xml:space="preserve">   </w:t>
    </w:r>
    <w:r w:rsidRPr="00CF2B15">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4A2F" w14:textId="65A42C9C" w:rsidR="00283026" w:rsidRDefault="00283026" w:rsidP="00F44D5E">
    <w:pPr>
      <w:pStyle w:val="FooterSpace"/>
      <w:ind w:right="707"/>
    </w:pPr>
    <w:r w:rsidRPr="00F05EA1">
      <w:t xml:space="preserve">Appendix </w:t>
    </w:r>
    <w:r w:rsidR="0050000F">
      <w:t>F</w:t>
    </w:r>
    <w:r w:rsidRPr="00F05EA1">
      <w:t>: Non-cash payment surcharge benchmarking analysis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283026" w14:paraId="3C826E5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F34ED5A" w14:textId="77777777" w:rsidR="00283026" w:rsidRPr="009E15D6" w:rsidRDefault="00283026"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11</w:t>
          </w:r>
          <w:r w:rsidRPr="009E15D6">
            <w:rPr>
              <w:rStyle w:val="PageNumber"/>
            </w:rPr>
            <w:fldChar w:fldCharType="end"/>
          </w:r>
        </w:p>
      </w:tc>
    </w:tr>
  </w:tbl>
  <w:p w14:paraId="72CFAE82" w14:textId="11026E1C" w:rsidR="00283026" w:rsidRPr="00CF2B15" w:rsidRDefault="00283026" w:rsidP="00F44D5E">
    <w:pPr>
      <w:pStyle w:val="Footer"/>
      <w:ind w:right="707"/>
      <w:rPr>
        <w:b/>
      </w:rPr>
    </w:pPr>
    <w:r>
      <w:t xml:space="preserve">Essential Services Commission </w:t>
    </w:r>
    <w:sdt>
      <w:sdtPr>
        <w:rPr>
          <w:b/>
        </w:rPr>
        <w:alias w:val="Title"/>
        <w:tag w:val=""/>
        <w:id w:val="435957727"/>
        <w:placeholder>
          <w:docPart w:val="BE158EB609FB403ABB7E9CD6F56542FF"/>
        </w:placeholder>
        <w:dataBinding w:prefixMappings="xmlns:ns0='http://purl.org/dc/elements/1.1/' xmlns:ns1='http://schemas.openxmlformats.org/package/2006/metadata/core-properties' " w:xpath="/ns1:coreProperties[1]/ns0:title[1]" w:storeItemID="{6C3C8BC8-F283-45AE-878A-BAB7291924A1}"/>
        <w:text/>
      </w:sdtPr>
      <w:sdtContent>
        <w:r>
          <w:rPr>
            <w:b/>
          </w:rPr>
          <w:t>Review of the maximum unbooked taxi fares and non-cash payment surcharges</w:t>
        </w:r>
      </w:sdtContent>
    </w:sdt>
    <w:r>
      <w:rPr>
        <w:b/>
      </w:rPr>
      <w:t xml:space="preserve">   </w:t>
    </w:r>
    <w:r w:rsidRPr="00CF2B15">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A9FB" w14:textId="7423E022" w:rsidR="002410F4" w:rsidRDefault="002410F4" w:rsidP="00F44D5E">
    <w:pPr>
      <w:pStyle w:val="FooterSpace"/>
      <w:ind w:right="707"/>
    </w:pPr>
    <w:r w:rsidRPr="00F05EA1">
      <w:t xml:space="preserve">Appendix </w:t>
    </w:r>
    <w:r w:rsidR="00BE5B32">
      <w:t>G</w:t>
    </w:r>
    <w:r w:rsidRPr="00F05EA1">
      <w:t xml:space="preserve">: </w:t>
    </w:r>
    <w:r>
      <w:t>Our legal considerations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2410F4" w14:paraId="4644715D"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A3B0BE6" w14:textId="77777777" w:rsidR="002410F4" w:rsidRPr="009E15D6" w:rsidRDefault="002410F4"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11</w:t>
          </w:r>
          <w:r w:rsidRPr="009E15D6">
            <w:rPr>
              <w:rStyle w:val="PageNumber"/>
            </w:rPr>
            <w:fldChar w:fldCharType="end"/>
          </w:r>
        </w:p>
      </w:tc>
    </w:tr>
  </w:tbl>
  <w:p w14:paraId="4ABDCB89" w14:textId="77777777" w:rsidR="002410F4" w:rsidRPr="00CF2B15" w:rsidRDefault="002410F4" w:rsidP="00F44D5E">
    <w:pPr>
      <w:pStyle w:val="Footer"/>
      <w:ind w:right="707"/>
      <w:rPr>
        <w:b/>
      </w:rPr>
    </w:pPr>
    <w:r>
      <w:t xml:space="preserve">Essential Services Commission </w:t>
    </w:r>
    <w:sdt>
      <w:sdtPr>
        <w:rPr>
          <w:b/>
        </w:rPr>
        <w:alias w:val="Title"/>
        <w:tag w:val=""/>
        <w:id w:val="-654996265"/>
        <w:placeholder>
          <w:docPart w:val="20233562A7AC4A27B643CFBD03949B10"/>
        </w:placeholder>
        <w:dataBinding w:prefixMappings="xmlns:ns0='http://purl.org/dc/elements/1.1/' xmlns:ns1='http://schemas.openxmlformats.org/package/2006/metadata/core-properties' " w:xpath="/ns1:coreProperties[1]/ns0:title[1]" w:storeItemID="{6C3C8BC8-F283-45AE-878A-BAB7291924A1}"/>
        <w:text/>
      </w:sdtPr>
      <w:sdtContent>
        <w:r>
          <w:rPr>
            <w:b/>
          </w:rPr>
          <w:t>Review of the maximum unbooked taxi fares and non-cash payment surcharges</w:t>
        </w:r>
      </w:sdtContent>
    </w:sdt>
    <w:r>
      <w:rPr>
        <w:b/>
      </w:rPr>
      <w:t xml:space="preserve">   </w:t>
    </w:r>
    <w:r w:rsidRPr="00CF2B15">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051E" w14:textId="61E7B5FD" w:rsidR="00FE1374" w:rsidRDefault="00FE1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AF24" w14:textId="52B4A9D3" w:rsidR="002616F9" w:rsidRDefault="00D50569">
    <w:r>
      <w:cr/>
    </w:r>
    <w:r w:rsidR="00035417">
      <w:cr/>
    </w:r>
    <w:r>
      <w:cr/>
    </w:r>
    <w:r>
      <w:cr/>
    </w:r>
    <w:r>
      <w:cr/>
    </w:r>
    <w:r w:rsidR="0075211E">
      <w:cr/>
    </w:r>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DA24A" w14:textId="77777777" w:rsidR="003A30F3" w:rsidRDefault="003A30F3" w:rsidP="00F44D5E">
    <w:pPr>
      <w:pStyle w:val="FooterSpace"/>
      <w:ind w:right="707"/>
    </w:pPr>
    <w:r>
      <w:t>Preface</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3736CB9A"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677A663"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4C2DB028" w14:textId="5A647CE1"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Content>
        <w:r w:rsidR="005C281C">
          <w:rPr>
            <w:b/>
          </w:rPr>
          <w:t>Review of the maximum unbooked taxi fares and non-cash payment surcharges</w:t>
        </w:r>
      </w:sdtContent>
    </w:sdt>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C66E"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1108FC38"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1C36BBD"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20C0998E" w14:textId="7FDD014B"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8A242777EE684D85AE4CB9C85A9668F3"/>
        </w:placeholder>
        <w:dataBinding w:prefixMappings="xmlns:ns0='http://purl.org/dc/elements/1.1/' xmlns:ns1='http://schemas.openxmlformats.org/package/2006/metadata/core-properties' " w:xpath="/ns1:coreProperties[1]/ns0:title[1]" w:storeItemID="{6C3C8BC8-F283-45AE-878A-BAB7291924A1}"/>
        <w:text/>
      </w:sdtPr>
      <w:sdtContent>
        <w:r w:rsidR="005C281C">
          <w:rPr>
            <w:b/>
          </w:rPr>
          <w:t>Review of the maximum unbooked taxi fares and non-cash payment surcharges</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7E12A" w14:textId="63C5ADCE" w:rsidR="003A30F3" w:rsidRDefault="003344CB" w:rsidP="00F44D5E">
    <w:pPr>
      <w:pStyle w:val="Footer"/>
      <w:ind w:right="707"/>
    </w:pPr>
    <w:r>
      <w:t>Summary</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065B74F5"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9B60144"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v</w:t>
          </w:r>
          <w:r w:rsidRPr="009E15D6">
            <w:rPr>
              <w:rStyle w:val="PageNumber"/>
            </w:rPr>
            <w:fldChar w:fldCharType="end"/>
          </w:r>
        </w:p>
      </w:tc>
    </w:tr>
  </w:tbl>
  <w:p w14:paraId="7DA29A04" w14:textId="177DE7D3" w:rsidR="003A30F3" w:rsidRPr="002C2ADF" w:rsidRDefault="003A30F3" w:rsidP="00F44D5E">
    <w:pPr>
      <w:pStyle w:val="Footer"/>
      <w:ind w:right="707"/>
      <w:rPr>
        <w:b/>
      </w:rPr>
    </w:pPr>
    <w:r>
      <w:t xml:space="preserve">Essential Services Commission </w:t>
    </w:r>
    <w:sdt>
      <w:sdtPr>
        <w:rPr>
          <w:b/>
        </w:rPr>
        <w:alias w:val="Title"/>
        <w:tag w:val=""/>
        <w:id w:val="463464720"/>
        <w:placeholder>
          <w:docPart w:val="FB739D6C14934A1A8E7F7D867AC0912E"/>
        </w:placeholder>
        <w:dataBinding w:prefixMappings="xmlns:ns0='http://purl.org/dc/elements/1.1/' xmlns:ns1='http://schemas.openxmlformats.org/package/2006/metadata/core-properties' " w:xpath="/ns1:coreProperties[1]/ns0:title[1]" w:storeItemID="{6C3C8BC8-F283-45AE-878A-BAB7291924A1}"/>
        <w:text/>
      </w:sdtPr>
      <w:sdtContent>
        <w:r w:rsidR="005C281C">
          <w:rPr>
            <w:b/>
          </w:rPr>
          <w:t>Review of the maximum unbooked taxi fares and non-cash payment surcharges</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B113" w14:textId="7E8277F9" w:rsidR="003344CB" w:rsidRDefault="00BA44F3" w:rsidP="00F44D5E">
    <w:pPr>
      <w:pStyle w:val="Footer"/>
      <w:ind w:right="707"/>
    </w:pPr>
    <w:r>
      <w:t xml:space="preserve">1. </w:t>
    </w:r>
    <w:r w:rsidR="003344CB">
      <w:t>Introduction</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344CB" w14:paraId="049097A8"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766F9F9" w14:textId="77777777" w:rsidR="003344CB" w:rsidRPr="009E15D6" w:rsidRDefault="003344CB"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3A16C579" w14:textId="77777777" w:rsidR="003344CB" w:rsidRPr="002C2ADF" w:rsidRDefault="003344CB" w:rsidP="00F44D5E">
    <w:pPr>
      <w:pStyle w:val="Footer"/>
      <w:ind w:right="707"/>
      <w:rPr>
        <w:b/>
      </w:rPr>
    </w:pPr>
    <w:r>
      <w:t xml:space="preserve">Essential Services Commission </w:t>
    </w:r>
    <w:sdt>
      <w:sdtPr>
        <w:rPr>
          <w:b/>
        </w:rPr>
        <w:alias w:val="Title"/>
        <w:tag w:val=""/>
        <w:id w:val="-1304996387"/>
        <w:placeholder>
          <w:docPart w:val="E4E78E2258004ADA93F3C5C910B7C5A7"/>
        </w:placeholder>
        <w:dataBinding w:prefixMappings="xmlns:ns0='http://purl.org/dc/elements/1.1/' xmlns:ns1='http://schemas.openxmlformats.org/package/2006/metadata/core-properties' " w:xpath="/ns1:coreProperties[1]/ns0:title[1]" w:storeItemID="{6C3C8BC8-F283-45AE-878A-BAB7291924A1}"/>
        <w:text/>
      </w:sdtPr>
      <w:sdtContent>
        <w:r>
          <w:rPr>
            <w:b/>
          </w:rPr>
          <w:t>Review of the maximum unbooked taxi fares and non-cash payment surcharges</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ED9D" w14:textId="5C68F03F" w:rsidR="003A30F3" w:rsidRDefault="00BA44F3" w:rsidP="00F44D5E">
    <w:pPr>
      <w:pStyle w:val="FooterSpace"/>
      <w:ind w:right="707"/>
    </w:pPr>
    <w:r>
      <w:t xml:space="preserve">2. </w:t>
    </w:r>
    <w:r w:rsidR="009472F9" w:rsidRPr="009472F9">
      <w:t>Unbooked taxi fares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2AFFACF1"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8F35B3A"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6</w:t>
          </w:r>
          <w:r w:rsidRPr="009E15D6">
            <w:rPr>
              <w:rStyle w:val="PageNumber"/>
            </w:rPr>
            <w:fldChar w:fldCharType="end"/>
          </w:r>
        </w:p>
      </w:tc>
    </w:tr>
  </w:tbl>
  <w:p w14:paraId="2D9A708B" w14:textId="4C192266" w:rsidR="003A30F3" w:rsidRPr="00E5390E" w:rsidRDefault="003A30F3" w:rsidP="00F44D5E">
    <w:pPr>
      <w:pStyle w:val="Footer"/>
      <w:ind w:right="707"/>
      <w:rPr>
        <w:b/>
      </w:rPr>
    </w:pPr>
    <w:r>
      <w:t xml:space="preserve">Essential Services Commission </w:t>
    </w:r>
    <w:sdt>
      <w:sdtPr>
        <w:rPr>
          <w:b/>
        </w:rPr>
        <w:alias w:val="Title"/>
        <w:tag w:val=""/>
        <w:id w:val="-1236005415"/>
        <w:placeholder>
          <w:docPart w:val="80FE518C65974B1A944C95F671D1B468"/>
        </w:placeholder>
        <w:dataBinding w:prefixMappings="xmlns:ns0='http://purl.org/dc/elements/1.1/' xmlns:ns1='http://schemas.openxmlformats.org/package/2006/metadata/core-properties' " w:xpath="/ns1:coreProperties[1]/ns0:title[1]" w:storeItemID="{6C3C8BC8-F283-45AE-878A-BAB7291924A1}"/>
        <w:text/>
      </w:sdtPr>
      <w:sdtContent>
        <w:r w:rsidR="005C281C">
          <w:rPr>
            <w:b/>
          </w:rPr>
          <w:t>Review of the maximum unbooked taxi fares and non-cash payment surcharges</w:t>
        </w:r>
      </w:sdtContent>
    </w:sdt>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8244" w14:textId="604364DF" w:rsidR="009472F9" w:rsidRDefault="00BA44F3" w:rsidP="00F44D5E">
    <w:pPr>
      <w:pStyle w:val="FooterSpace"/>
      <w:ind w:right="707"/>
    </w:pPr>
    <w:r>
      <w:t xml:space="preserve">3. </w:t>
    </w:r>
    <w:r w:rsidR="009472F9">
      <w:t>Non-cash payment surcharge</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9472F9" w14:paraId="26C6D143"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216124A0" w14:textId="77777777" w:rsidR="009472F9" w:rsidRPr="009E15D6" w:rsidRDefault="009472F9"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3456C797" w14:textId="77777777" w:rsidR="009472F9" w:rsidRPr="00E5390E" w:rsidRDefault="009472F9" w:rsidP="00F44D5E">
    <w:pPr>
      <w:pStyle w:val="Footer"/>
      <w:ind w:right="707"/>
      <w:rPr>
        <w:b/>
      </w:rPr>
    </w:pPr>
    <w:r>
      <w:t xml:space="preserve">Essential Services Commission </w:t>
    </w:r>
    <w:sdt>
      <w:sdtPr>
        <w:rPr>
          <w:b/>
        </w:rPr>
        <w:alias w:val="Title"/>
        <w:tag w:val=""/>
        <w:id w:val="1863238293"/>
        <w:placeholder>
          <w:docPart w:val="0838128AB53C44C5B2B5282A0D145FCE"/>
        </w:placeholder>
        <w:dataBinding w:prefixMappings="xmlns:ns0='http://purl.org/dc/elements/1.1/' xmlns:ns1='http://schemas.openxmlformats.org/package/2006/metadata/core-properties' " w:xpath="/ns1:coreProperties[1]/ns0:title[1]" w:storeItemID="{6C3C8BC8-F283-45AE-878A-BAB7291924A1}"/>
        <w:text/>
      </w:sdtPr>
      <w:sdtContent>
        <w:r>
          <w:rPr>
            <w:b/>
          </w:rPr>
          <w:t>Review of the maximum unbooked taxi fares and non-cash payment surcharges</w:t>
        </w:r>
      </w:sdtContent>
    </w:sdt>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C25A" w14:textId="4E12780B" w:rsidR="008764D4" w:rsidRDefault="00D4301D" w:rsidP="00F44D5E">
    <w:pPr>
      <w:pStyle w:val="FooterSpace"/>
      <w:ind w:right="707"/>
    </w:pPr>
    <w:r>
      <w:t>Appendix</w:t>
    </w:r>
    <w:r w:rsidR="00F04F17">
      <w:t xml:space="preserve"> A: </w:t>
    </w:r>
    <w:r w:rsidR="008764D4">
      <w:t xml:space="preserve">Maximum unbooked taxi fares (from </w:t>
    </w:r>
    <w:r w:rsidR="001A6E98">
      <w:t>2</w:t>
    </w:r>
    <w:r w:rsidR="005734C5">
      <w:t>3</w:t>
    </w:r>
    <w:r w:rsidR="001A6E98">
      <w:t xml:space="preserve"> September 2024</w:t>
    </w:r>
    <w:r w:rsidR="008764D4">
      <w:t>)</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D4301D" w14:paraId="373A17A9"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0C957CD" w14:textId="77777777" w:rsidR="00D4301D" w:rsidRPr="009E15D6" w:rsidRDefault="00D4301D"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4AAA6D1C" w14:textId="77777777" w:rsidR="00D4301D" w:rsidRPr="00E5390E" w:rsidRDefault="00D4301D" w:rsidP="00F44D5E">
    <w:pPr>
      <w:pStyle w:val="Footer"/>
      <w:ind w:right="707"/>
      <w:rPr>
        <w:b/>
      </w:rPr>
    </w:pPr>
    <w:r>
      <w:t xml:space="preserve">Essential Services Commission </w:t>
    </w:r>
    <w:sdt>
      <w:sdtPr>
        <w:rPr>
          <w:b/>
        </w:rPr>
        <w:alias w:val="Title"/>
        <w:tag w:val=""/>
        <w:id w:val="-986548360"/>
        <w:placeholder>
          <w:docPart w:val="B6F3BC31A9FA46B98165AF96B4F689B3"/>
        </w:placeholder>
        <w:dataBinding w:prefixMappings="xmlns:ns0='http://purl.org/dc/elements/1.1/' xmlns:ns1='http://schemas.openxmlformats.org/package/2006/metadata/core-properties' " w:xpath="/ns1:coreProperties[1]/ns0:title[1]" w:storeItemID="{6C3C8BC8-F283-45AE-878A-BAB7291924A1}"/>
        <w:text/>
      </w:sdtPr>
      <w:sdtContent>
        <w:r>
          <w:rPr>
            <w:b/>
          </w:rPr>
          <w:t>Review of the maximum unbooked taxi fares and non-cash payment surcharges</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9FDC5" w14:textId="77777777" w:rsidR="00650FE7" w:rsidRDefault="00650FE7" w:rsidP="00417FF5">
      <w:pPr>
        <w:spacing w:after="0"/>
      </w:pPr>
      <w:bookmarkStart w:id="0" w:name="_Hlk480978878"/>
      <w:bookmarkEnd w:id="0"/>
      <w:r w:rsidRPr="00CF33F6">
        <w:rPr>
          <w:color w:val="75787B" w:themeColor="background2"/>
        </w:rPr>
        <w:separator/>
      </w:r>
    </w:p>
  </w:footnote>
  <w:footnote w:type="continuationSeparator" w:id="0">
    <w:p w14:paraId="00FBE67A" w14:textId="77777777" w:rsidR="00650FE7" w:rsidRDefault="00650FE7" w:rsidP="00AE03FA">
      <w:pPr>
        <w:spacing w:after="0"/>
      </w:pPr>
      <w:r>
        <w:continuationSeparator/>
      </w:r>
    </w:p>
    <w:p w14:paraId="5AC58DFE" w14:textId="77777777" w:rsidR="00650FE7" w:rsidRDefault="00650FE7"/>
  </w:footnote>
  <w:footnote w:type="continuationNotice" w:id="1">
    <w:p w14:paraId="5C448F63" w14:textId="77777777" w:rsidR="00650FE7" w:rsidRDefault="00650FE7">
      <w:pPr>
        <w:spacing w:before="0" w:after="0" w:line="240" w:lineRule="auto"/>
      </w:pPr>
    </w:p>
  </w:footnote>
  <w:footnote w:id="2">
    <w:p w14:paraId="089CD07F" w14:textId="77777777" w:rsidR="0015639F" w:rsidRDefault="0015639F" w:rsidP="0015639F">
      <w:pPr>
        <w:pStyle w:val="FootnoteText"/>
        <w:ind w:left="284" w:hanging="284"/>
      </w:pPr>
      <w:r>
        <w:rPr>
          <w:rStyle w:val="FootnoteReference"/>
        </w:rPr>
        <w:footnoteRef/>
      </w:r>
      <w:r>
        <w:t xml:space="preserve"> </w:t>
      </w:r>
      <w:r>
        <w:tab/>
      </w:r>
      <w:r w:rsidRPr="002C1C03">
        <w:rPr>
          <w:i/>
          <w:iCs/>
        </w:rPr>
        <w:t>Essential Services Commission Act 2001</w:t>
      </w:r>
      <w:r w:rsidRPr="009B27F9">
        <w:t>, s. 8</w:t>
      </w:r>
      <w:r>
        <w:t>.</w:t>
      </w:r>
    </w:p>
  </w:footnote>
  <w:footnote w:id="3">
    <w:p w14:paraId="02F7471F" w14:textId="77777777" w:rsidR="0015639F" w:rsidRDefault="0015639F" w:rsidP="0015639F">
      <w:pPr>
        <w:pStyle w:val="FootnoteText"/>
        <w:ind w:left="284" w:hanging="284"/>
      </w:pPr>
      <w:r>
        <w:rPr>
          <w:rStyle w:val="FootnoteReference"/>
        </w:rPr>
        <w:footnoteRef/>
      </w:r>
      <w:r>
        <w:t xml:space="preserve"> </w:t>
      </w:r>
      <w:r>
        <w:tab/>
      </w:r>
      <w:r w:rsidRPr="002C1C03">
        <w:rPr>
          <w:i/>
          <w:iCs/>
        </w:rPr>
        <w:t>Commercial Passenger Vehicle Industry Act 2017</w:t>
      </w:r>
      <w:r w:rsidRPr="009B27F9">
        <w:t>, s. 110C.</w:t>
      </w:r>
    </w:p>
  </w:footnote>
  <w:footnote w:id="4">
    <w:p w14:paraId="63701F77" w14:textId="4941E353" w:rsidR="0015639F" w:rsidRDefault="0015639F" w:rsidP="0015639F">
      <w:pPr>
        <w:pStyle w:val="FootnoteText"/>
        <w:ind w:left="284" w:hanging="284"/>
      </w:pPr>
      <w:r>
        <w:rPr>
          <w:rStyle w:val="FootnoteReference"/>
        </w:rPr>
        <w:footnoteRef/>
      </w:r>
      <w:r>
        <w:t xml:space="preserve"> </w:t>
      </w:r>
      <w:r>
        <w:tab/>
      </w:r>
      <w:r w:rsidRPr="002C1C03">
        <w:rPr>
          <w:i/>
          <w:iCs/>
        </w:rPr>
        <w:t>Commercial Passenger Vehicle Industry Act 2017</w:t>
      </w:r>
      <w:r w:rsidRPr="00C74CE7">
        <w:t>, s 122</w:t>
      </w:r>
      <w:r w:rsidR="007F3C55">
        <w:t>.</w:t>
      </w:r>
    </w:p>
  </w:footnote>
  <w:footnote w:id="5">
    <w:p w14:paraId="5F7402B4" w14:textId="77777777" w:rsidR="0015639F" w:rsidRDefault="0015639F" w:rsidP="0015639F">
      <w:pPr>
        <w:pStyle w:val="FootnoteText"/>
        <w:ind w:left="284" w:hanging="284"/>
      </w:pPr>
      <w:r>
        <w:rPr>
          <w:rStyle w:val="FootnoteReference"/>
        </w:rPr>
        <w:footnoteRef/>
      </w:r>
      <w:r>
        <w:t xml:space="preserve"> </w:t>
      </w:r>
      <w:r>
        <w:tab/>
      </w:r>
      <w:r w:rsidRPr="002C1C03">
        <w:rPr>
          <w:i/>
          <w:iCs/>
        </w:rPr>
        <w:t>Commercial Passenger Vehicle Industry Act 2017,</w:t>
      </w:r>
      <w:r w:rsidRPr="00C74CE7">
        <w:t xml:space="preserve"> s 122(1)</w:t>
      </w:r>
      <w:r>
        <w:t>.</w:t>
      </w:r>
    </w:p>
  </w:footnote>
  <w:footnote w:id="6">
    <w:p w14:paraId="63AD394D" w14:textId="4ED0F4FB" w:rsidR="00B210B7" w:rsidRDefault="00B210B7" w:rsidP="00A749E3">
      <w:pPr>
        <w:pStyle w:val="FootnoteText"/>
        <w:ind w:left="284" w:hanging="284"/>
      </w:pPr>
      <w:r>
        <w:rPr>
          <w:rStyle w:val="FootnoteReference"/>
        </w:rPr>
        <w:footnoteRef/>
      </w:r>
      <w:r>
        <w:t xml:space="preserve"> </w:t>
      </w:r>
      <w:r w:rsidR="004A2AE2">
        <w:tab/>
      </w:r>
      <w:r w:rsidR="002D5306" w:rsidRPr="002D5306">
        <w:t xml:space="preserve">Sections 110F(2) and 124(4) of the </w:t>
      </w:r>
      <w:r w:rsidR="00812C5D" w:rsidRPr="00001474">
        <w:rPr>
          <w:i/>
          <w:iCs/>
        </w:rPr>
        <w:t>Commercial Passenger Vehicle Industry Act 2017</w:t>
      </w:r>
    </w:p>
  </w:footnote>
  <w:footnote w:id="7">
    <w:p w14:paraId="0D5ABFDC" w14:textId="4B995A85" w:rsidR="00EC58E4" w:rsidRDefault="00EC58E4" w:rsidP="0041731F">
      <w:pPr>
        <w:pStyle w:val="FootnoteText"/>
        <w:ind w:left="284" w:hanging="284"/>
      </w:pPr>
      <w:r>
        <w:rPr>
          <w:rStyle w:val="FootnoteReference"/>
        </w:rPr>
        <w:footnoteRef/>
      </w:r>
      <w:r>
        <w:t xml:space="preserve"> </w:t>
      </w:r>
      <w:r>
        <w:tab/>
      </w:r>
      <w:r w:rsidR="00F97779">
        <w:t xml:space="preserve">These determinations are made under section </w:t>
      </w:r>
      <w:r w:rsidR="00F52BAA">
        <w:t xml:space="preserve">33 of the </w:t>
      </w:r>
      <w:r w:rsidR="00F52BAA" w:rsidRPr="00E651CF">
        <w:rPr>
          <w:i/>
          <w:iCs/>
        </w:rPr>
        <w:t>Essential Services Commission Act 2001</w:t>
      </w:r>
      <w:r w:rsidR="00F52BAA">
        <w:t>.</w:t>
      </w:r>
    </w:p>
  </w:footnote>
  <w:footnote w:id="8">
    <w:p w14:paraId="25365A37" w14:textId="75CBA7EB" w:rsidR="00EC58E4" w:rsidRDefault="00EC58E4" w:rsidP="0041731F">
      <w:pPr>
        <w:pStyle w:val="FootnoteText"/>
        <w:ind w:left="284" w:hanging="284"/>
      </w:pPr>
      <w:r>
        <w:rPr>
          <w:rStyle w:val="FootnoteReference"/>
        </w:rPr>
        <w:footnoteRef/>
      </w:r>
      <w:r>
        <w:t xml:space="preserve"> </w:t>
      </w:r>
      <w:r>
        <w:tab/>
      </w:r>
      <w:r w:rsidR="00765B87" w:rsidRPr="00654416">
        <w:t>See our draft decision: Essential</w:t>
      </w:r>
      <w:r w:rsidR="00765B87" w:rsidRPr="007D1A76">
        <w:t xml:space="preserve"> Services Commission</w:t>
      </w:r>
      <w:r w:rsidR="00765B87">
        <w:t xml:space="preserve"> 2024,</w:t>
      </w:r>
      <w:r w:rsidR="00765B87" w:rsidRPr="007D1A76">
        <w:t xml:space="preserve"> </w:t>
      </w:r>
      <w:hyperlink r:id="rId1" w:history="1">
        <w:r w:rsidR="00765B87" w:rsidRPr="007A50AB">
          <w:rPr>
            <w:rStyle w:val="Hyperlink"/>
            <w:i/>
            <w:iCs/>
          </w:rPr>
          <w:t>Review of the maximum unbooked taxi fares and non-cash payment surcharges</w:t>
        </w:r>
        <w:r w:rsidR="00765B87" w:rsidRPr="007A50AB">
          <w:rPr>
            <w:rStyle w:val="Hyperlink"/>
          </w:rPr>
          <w:t>,</w:t>
        </w:r>
      </w:hyperlink>
      <w:r w:rsidR="00765B87" w:rsidRPr="007D1A76">
        <w:t xml:space="preserve"> </w:t>
      </w:r>
      <w:r w:rsidR="00765B87">
        <w:t>Draft</w:t>
      </w:r>
      <w:r w:rsidR="00765B87" w:rsidRPr="007D1A76">
        <w:t xml:space="preserve"> Decision, </w:t>
      </w:r>
      <w:r w:rsidR="00765B87">
        <w:t>June</w:t>
      </w:r>
      <w:r w:rsidR="00765B87" w:rsidRPr="007D1A76">
        <w:t xml:space="preserve"> 202</w:t>
      </w:r>
      <w:r w:rsidR="00765B87">
        <w:t>4.</w:t>
      </w:r>
    </w:p>
  </w:footnote>
  <w:footnote w:id="9">
    <w:p w14:paraId="3143FF5A" w14:textId="0E8294CE" w:rsidR="00E144C9" w:rsidRDefault="00E144C9" w:rsidP="00E144C9">
      <w:pPr>
        <w:pStyle w:val="FootnoteText"/>
        <w:ind w:left="284" w:hanging="284"/>
      </w:pPr>
      <w:r>
        <w:rPr>
          <w:rStyle w:val="FootnoteReference"/>
        </w:rPr>
        <w:footnoteRef/>
      </w:r>
      <w:r>
        <w:t xml:space="preserve"> </w:t>
      </w:r>
      <w:r>
        <w:tab/>
      </w:r>
      <w:r w:rsidR="008832D1">
        <w:t>The high occupancy fees and charges reflect</w:t>
      </w:r>
      <w:r w:rsidR="00CB0F5E">
        <w:t xml:space="preserve"> the cost of operating larger taxis that can perform high occupancy trips. They can only</w:t>
      </w:r>
      <w:r w:rsidR="00CB0F5E" w:rsidRPr="00CB0F5E">
        <w:t xml:space="preserve"> be charged when there are five or more people using the taxi (excluding children under the age of five years) or where a larger vehicle is required by the hirer other than for the carriage of a person who uses a wheelchair or mobility aid (for example, to carry luggage).</w:t>
      </w:r>
    </w:p>
  </w:footnote>
  <w:footnote w:id="10">
    <w:p w14:paraId="7830D794" w14:textId="44FF8705" w:rsidR="000963BD" w:rsidRDefault="000963BD" w:rsidP="0041731F">
      <w:pPr>
        <w:pStyle w:val="FootnoteText"/>
        <w:ind w:left="284" w:hanging="284"/>
      </w:pPr>
      <w:r>
        <w:rPr>
          <w:rStyle w:val="FootnoteReference"/>
        </w:rPr>
        <w:footnoteRef/>
      </w:r>
      <w:r>
        <w:t xml:space="preserve"> </w:t>
      </w:r>
      <w:r w:rsidR="0041731F">
        <w:tab/>
      </w:r>
      <w:r w:rsidR="00197A85">
        <w:t xml:space="preserve">The taxi cost indexes were developed in our 2022 review. See Appendix </w:t>
      </w:r>
      <w:r w:rsidR="003333B4">
        <w:t>E for more information on how we developed these indexes</w:t>
      </w:r>
      <w:r w:rsidR="0041731F">
        <w:t>.</w:t>
      </w:r>
    </w:p>
  </w:footnote>
  <w:footnote w:id="11">
    <w:p w14:paraId="6F4C962A" w14:textId="1ECA69E0" w:rsidR="00DB66F1" w:rsidRDefault="00DB66F1" w:rsidP="00E144C9">
      <w:pPr>
        <w:pStyle w:val="FootnoteText"/>
        <w:ind w:left="284" w:hanging="284"/>
      </w:pPr>
      <w:r>
        <w:rPr>
          <w:rStyle w:val="FootnoteReference"/>
        </w:rPr>
        <w:footnoteRef/>
      </w:r>
      <w:r>
        <w:t xml:space="preserve"> </w:t>
      </w:r>
      <w:r w:rsidR="00AC53F0">
        <w:tab/>
        <w:t xml:space="preserve">The fare increase in our final decision is </w:t>
      </w:r>
      <w:r w:rsidR="00131572">
        <w:t>slightly lower than</w:t>
      </w:r>
      <w:r w:rsidR="00AC53F0">
        <w:t xml:space="preserve"> our draft </w:t>
      </w:r>
      <w:r w:rsidR="00027171">
        <w:t xml:space="preserve">decision </w:t>
      </w:r>
      <w:r w:rsidR="00C63ED9">
        <w:t>as we have updated our cost indexes with the latest information.</w:t>
      </w:r>
      <w:r w:rsidR="00131572">
        <w:t xml:space="preserve"> This reflects our fuel and vehicle costs being slightly lower in June 2024 than March 2024.</w:t>
      </w:r>
    </w:p>
  </w:footnote>
  <w:footnote w:id="12">
    <w:p w14:paraId="70C418D2" w14:textId="06C04555" w:rsidR="00036603" w:rsidRDefault="00036603" w:rsidP="00A749E3">
      <w:pPr>
        <w:pStyle w:val="FootnoteText"/>
        <w:ind w:left="284" w:hanging="284"/>
      </w:pPr>
      <w:r>
        <w:rPr>
          <w:rStyle w:val="FootnoteReference"/>
        </w:rPr>
        <w:footnoteRef/>
      </w:r>
      <w:r>
        <w:t xml:space="preserve"> </w:t>
      </w:r>
      <w:r w:rsidR="004A2AE2">
        <w:tab/>
      </w:r>
      <w:r>
        <w:t>An unbooked taxi trip refers to commercial passenger vehicle trips that are hailed from the street or at a designated taxi rank.</w:t>
      </w:r>
      <w:r w:rsidR="00CF7B3F">
        <w:t xml:space="preserve"> The new maximum fare schedules are set out in </w:t>
      </w:r>
      <w:r w:rsidR="00CF7B3F" w:rsidRPr="00131572">
        <w:t xml:space="preserve">Appendix </w:t>
      </w:r>
      <w:r w:rsidR="00B42E6D" w:rsidRPr="00131572">
        <w:t>A</w:t>
      </w:r>
      <w:r w:rsidR="00CF7B3F" w:rsidRPr="00131572">
        <w:t>.</w:t>
      </w:r>
    </w:p>
  </w:footnote>
  <w:footnote w:id="13">
    <w:p w14:paraId="305BF3A4" w14:textId="42F5C9F8" w:rsidR="001F1F59" w:rsidRDefault="001F1F59" w:rsidP="004A2AE2">
      <w:pPr>
        <w:pStyle w:val="FootnoteText"/>
        <w:ind w:left="284" w:hanging="284"/>
      </w:pPr>
      <w:r>
        <w:rPr>
          <w:rStyle w:val="FootnoteReference"/>
        </w:rPr>
        <w:footnoteRef/>
      </w:r>
      <w:r>
        <w:t xml:space="preserve"> </w:t>
      </w:r>
      <w:r w:rsidR="004A2AE2">
        <w:tab/>
      </w:r>
      <w:r w:rsidR="001F3399">
        <w:t xml:space="preserve">See </w:t>
      </w:r>
      <w:r>
        <w:t xml:space="preserve">Appendix </w:t>
      </w:r>
      <w:r w:rsidR="00B42E6D">
        <w:t>C</w:t>
      </w:r>
      <w:r w:rsidR="001F3399">
        <w:t xml:space="preserve"> for </w:t>
      </w:r>
      <w:r>
        <w:t>more information on the commercial passenger vehicle industry in Victoria.</w:t>
      </w:r>
    </w:p>
  </w:footnote>
  <w:footnote w:id="14">
    <w:p w14:paraId="6A97A5C7" w14:textId="3106E2BD" w:rsidR="00636FDF" w:rsidRDefault="00636FDF" w:rsidP="004F78C6">
      <w:pPr>
        <w:pStyle w:val="FootnoteText"/>
        <w:ind w:left="284" w:hanging="284"/>
      </w:pPr>
      <w:r>
        <w:rPr>
          <w:rStyle w:val="FootnoteReference"/>
        </w:rPr>
        <w:footnoteRef/>
      </w:r>
      <w:r>
        <w:t xml:space="preserve"> </w:t>
      </w:r>
      <w:r w:rsidR="0062688C">
        <w:tab/>
      </w:r>
      <w:r>
        <w:t xml:space="preserve">See Appendix A for a map of the </w:t>
      </w:r>
      <w:r w:rsidR="0062688C">
        <w:t>maximum fare</w:t>
      </w:r>
      <w:r>
        <w:t xml:space="preserve"> zones. </w:t>
      </w:r>
    </w:p>
  </w:footnote>
  <w:footnote w:id="15">
    <w:p w14:paraId="3324F1F0" w14:textId="4DDE3C8A" w:rsidR="0020484D" w:rsidRDefault="0020484D" w:rsidP="007F6932">
      <w:pPr>
        <w:pStyle w:val="FootnoteText"/>
        <w:ind w:left="284" w:hanging="284"/>
      </w:pPr>
      <w:r>
        <w:rPr>
          <w:rStyle w:val="FootnoteReference"/>
        </w:rPr>
        <w:footnoteRef/>
      </w:r>
      <w:r>
        <w:t xml:space="preserve"> </w:t>
      </w:r>
      <w:r w:rsidR="00367CF6">
        <w:tab/>
      </w:r>
      <w:r>
        <w:t>See Appendix</w:t>
      </w:r>
      <w:r w:rsidR="007C7473">
        <w:t xml:space="preserve"> C</w:t>
      </w:r>
      <w:r>
        <w:t xml:space="preserve"> for more information on non-cash payment processing in the taxi industry. </w:t>
      </w:r>
    </w:p>
  </w:footnote>
  <w:footnote w:id="16">
    <w:p w14:paraId="15CFF8B2" w14:textId="0E493898" w:rsidR="00277DBE" w:rsidRDefault="00277DBE" w:rsidP="007F6932">
      <w:pPr>
        <w:pStyle w:val="FootnoteText"/>
        <w:ind w:left="284" w:hanging="284"/>
      </w:pPr>
      <w:r>
        <w:rPr>
          <w:rStyle w:val="FootnoteReference"/>
        </w:rPr>
        <w:footnoteRef/>
      </w:r>
      <w:r>
        <w:t xml:space="preserve"> </w:t>
      </w:r>
      <w:r w:rsidR="00367CF6">
        <w:tab/>
      </w:r>
      <w:r w:rsidR="003E2E49">
        <w:t xml:space="preserve">We have heard from stakeholders that booking service providers typically do not charge a surcharge </w:t>
      </w:r>
      <w:r w:rsidR="00450994">
        <w:t xml:space="preserve">for payments made via a smartphone or online booking system. Rather, the cost of processing non-cash payments is recovered through a service fee or the booked </w:t>
      </w:r>
      <w:r w:rsidR="00C92B01">
        <w:t>taxi fare (which is not regulated)</w:t>
      </w:r>
      <w:r w:rsidR="005B1B3F">
        <w:t>.</w:t>
      </w:r>
    </w:p>
  </w:footnote>
  <w:footnote w:id="17">
    <w:p w14:paraId="4E9E42A6" w14:textId="10E38005" w:rsidR="004B5433" w:rsidRDefault="004B5433" w:rsidP="004B5433">
      <w:pPr>
        <w:pStyle w:val="FootnoteText"/>
        <w:ind w:left="284" w:hanging="284"/>
      </w:pPr>
      <w:r>
        <w:rPr>
          <w:rStyle w:val="FootnoteReference"/>
        </w:rPr>
        <w:footnoteRef/>
      </w:r>
      <w:r>
        <w:t xml:space="preserve"> </w:t>
      </w:r>
      <w:r>
        <w:tab/>
      </w:r>
      <w:r w:rsidRPr="004B5433">
        <w:t>One taxi payment processor</w:t>
      </w:r>
      <w:r w:rsidR="00BC7A2C">
        <w:t>,</w:t>
      </w:r>
      <w:r w:rsidRPr="004B5433">
        <w:t xml:space="preserve"> </w:t>
      </w:r>
      <w:r w:rsidR="00BC7A2C" w:rsidRPr="004B5433">
        <w:t>Live Payment Group</w:t>
      </w:r>
      <w:r w:rsidR="00BC7A2C">
        <w:t>,</w:t>
      </w:r>
      <w:r w:rsidRPr="004B5433">
        <w:t xml:space="preserve"> has become an acquirer </w:t>
      </w:r>
      <w:r w:rsidR="00BC7A2C">
        <w:t>itself.</w:t>
      </w:r>
      <w:r w:rsidR="00BC7A2C" w:rsidRPr="004B5433">
        <w:t xml:space="preserve"> </w:t>
      </w:r>
    </w:p>
  </w:footnote>
  <w:footnote w:id="18">
    <w:p w14:paraId="08F02F0C" w14:textId="5F53538B" w:rsidR="00F33F20" w:rsidRDefault="00F33F20" w:rsidP="00F33F20">
      <w:pPr>
        <w:pStyle w:val="FootnoteText"/>
        <w:ind w:left="284" w:hanging="284"/>
      </w:pPr>
      <w:r>
        <w:rPr>
          <w:rStyle w:val="FootnoteReference"/>
        </w:rPr>
        <w:footnoteRef/>
      </w:r>
      <w:r>
        <w:t xml:space="preserve"> </w:t>
      </w:r>
      <w:r>
        <w:tab/>
      </w:r>
      <w:r w:rsidRPr="00F33F20">
        <w:t>Consumer Price Index, All Groups, Melbourne.</w:t>
      </w:r>
    </w:p>
  </w:footnote>
  <w:footnote w:id="19">
    <w:p w14:paraId="20C63B6B" w14:textId="07ECDEEC" w:rsidR="009B5E1D" w:rsidRDefault="009B5E1D" w:rsidP="00EA6B2D">
      <w:pPr>
        <w:pStyle w:val="FootnoteText"/>
        <w:ind w:left="284" w:hanging="284"/>
      </w:pPr>
      <w:r>
        <w:rPr>
          <w:rStyle w:val="FootnoteReference"/>
        </w:rPr>
        <w:footnoteRef/>
      </w:r>
      <w:r>
        <w:t xml:space="preserve"> </w:t>
      </w:r>
      <w:r w:rsidR="00EA6B2D">
        <w:tab/>
      </w:r>
      <w:r w:rsidR="003F7BC9" w:rsidRPr="003F7BC9">
        <w:t>State Revenue Office Victoria Annual Review, Financial Statements, Administered Items</w:t>
      </w:r>
      <w:r w:rsidR="005D5D31">
        <w:t>.</w:t>
      </w:r>
    </w:p>
  </w:footnote>
  <w:footnote w:id="20">
    <w:p w14:paraId="51EADC65" w14:textId="37D9704D" w:rsidR="00171621" w:rsidRDefault="00171621" w:rsidP="00E739D2">
      <w:pPr>
        <w:pStyle w:val="FootnoteText"/>
        <w:ind w:left="284" w:hanging="284"/>
      </w:pPr>
      <w:r>
        <w:rPr>
          <w:rStyle w:val="FootnoteReference"/>
        </w:rPr>
        <w:footnoteRef/>
      </w:r>
      <w:r>
        <w:t xml:space="preserve"> </w:t>
      </w:r>
      <w:r w:rsidR="00E739D2">
        <w:tab/>
      </w:r>
      <w:r w:rsidR="009343E4" w:rsidRPr="009343E4">
        <w:t xml:space="preserve">Essential Services Commission analysis of </w:t>
      </w:r>
      <w:r w:rsidR="009343E4">
        <w:t xml:space="preserve">ACCC data – </w:t>
      </w:r>
      <w:r w:rsidR="00BD032D">
        <w:t xml:space="preserve">ACCC, 2024, </w:t>
      </w:r>
      <w:r w:rsidR="007F54FC">
        <w:t>’</w:t>
      </w:r>
      <w:r w:rsidR="00BD032D">
        <w:t xml:space="preserve">2022-23 airport monitoring report – </w:t>
      </w:r>
      <w:r w:rsidR="002679CB">
        <w:t>supplementary database</w:t>
      </w:r>
      <w:r w:rsidR="007F54FC">
        <w:t>’</w:t>
      </w:r>
      <w:r w:rsidR="00BD032D">
        <w:t xml:space="preserve"> </w:t>
      </w:r>
      <w:r w:rsidR="0087181B">
        <w:t xml:space="preserve">[Excel file], </w:t>
      </w:r>
      <w:hyperlink r:id="rId2" w:history="1">
        <w:r w:rsidR="002679CB" w:rsidRPr="00FD2556">
          <w:rPr>
            <w:rStyle w:val="Hyperlink"/>
          </w:rPr>
          <w:t>https://www.accc.gov.au/about-us/publications/serial-publications/airport-monitoring-reports/airport-monitoring-report-2022-23</w:t>
        </w:r>
      </w:hyperlink>
      <w:r w:rsidR="00C83526">
        <w:t>.</w:t>
      </w:r>
    </w:p>
  </w:footnote>
  <w:footnote w:id="21">
    <w:p w14:paraId="65923598" w14:textId="62424AC4" w:rsidR="00520F1E" w:rsidRDefault="00520F1E" w:rsidP="00E739D2">
      <w:pPr>
        <w:pStyle w:val="FootnoteText"/>
        <w:ind w:left="284" w:hanging="284"/>
      </w:pPr>
      <w:r>
        <w:rPr>
          <w:rStyle w:val="FootnoteReference"/>
        </w:rPr>
        <w:footnoteRef/>
      </w:r>
      <w:r>
        <w:t xml:space="preserve"> </w:t>
      </w:r>
      <w:r w:rsidR="00E739D2">
        <w:tab/>
      </w:r>
      <w:r w:rsidR="00D55F75" w:rsidRPr="00D55F75">
        <w:t>Tanya Livermore</w:t>
      </w:r>
      <w:r w:rsidR="00D55F75">
        <w:t xml:space="preserve"> et al</w:t>
      </w:r>
      <w:r w:rsidR="004C5BA0">
        <w:t>.</w:t>
      </w:r>
      <w:r w:rsidR="00D55F75">
        <w:t xml:space="preserve">, </w:t>
      </w:r>
      <w:r w:rsidR="0064214C">
        <w:t xml:space="preserve">2023, </w:t>
      </w:r>
      <w:r w:rsidR="00BA3E7D">
        <w:t>‘</w:t>
      </w:r>
      <w:r w:rsidR="00506B90">
        <w:t>The Evolution of Consumer Payments in Australia: Results from the 2022 Consumer Payments Survey</w:t>
      </w:r>
      <w:r w:rsidR="00BA3E7D">
        <w:t>’</w:t>
      </w:r>
      <w:r w:rsidR="00506B90">
        <w:t xml:space="preserve"> </w:t>
      </w:r>
      <w:r w:rsidR="00210EFC">
        <w:t>Reserve Bank of Australia Research Discussion Paper</w:t>
      </w:r>
      <w:r w:rsidR="008247E5">
        <w:t xml:space="preserve">, </w:t>
      </w:r>
      <w:hyperlink r:id="rId3" w:history="1">
        <w:r w:rsidR="008247E5" w:rsidRPr="00FD2556">
          <w:rPr>
            <w:rStyle w:val="Hyperlink"/>
          </w:rPr>
          <w:t>https://www.rba.gov.au/publications/rdp/2023/2023-08/full.html</w:t>
        </w:r>
      </w:hyperlink>
      <w:r w:rsidR="00707E9C">
        <w:t>.</w:t>
      </w:r>
    </w:p>
  </w:footnote>
  <w:footnote w:id="22">
    <w:p w14:paraId="54EA0C0F" w14:textId="5667F454" w:rsidR="00142691" w:rsidRDefault="00142691" w:rsidP="00142691">
      <w:pPr>
        <w:pStyle w:val="FootnoteText"/>
        <w:ind w:left="284" w:hanging="284"/>
      </w:pPr>
      <w:r>
        <w:rPr>
          <w:rStyle w:val="FootnoteReference"/>
        </w:rPr>
        <w:footnoteRef/>
      </w:r>
      <w:r>
        <w:t xml:space="preserve"> </w:t>
      </w:r>
      <w:r>
        <w:tab/>
      </w:r>
      <w:r w:rsidRPr="00142691">
        <w:t xml:space="preserve">Thuong Nguyen and Benjamin Watson, 2023, </w:t>
      </w:r>
      <w:r w:rsidR="009B29E8">
        <w:t>’</w:t>
      </w:r>
      <w:r w:rsidRPr="00142691">
        <w:t>Consumer Payment Behaviour in Australia</w:t>
      </w:r>
      <w:r w:rsidR="009B29E8">
        <w:t>’</w:t>
      </w:r>
      <w:r w:rsidRPr="00142691">
        <w:t xml:space="preserve"> Reserve Bank of Australia Research </w:t>
      </w:r>
      <w:r>
        <w:t xml:space="preserve">– Bulletin – June 2023, </w:t>
      </w:r>
      <w:hyperlink r:id="rId4" w:history="1">
        <w:r w:rsidRPr="00DA7B8B">
          <w:rPr>
            <w:rStyle w:val="Hyperlink"/>
          </w:rPr>
          <w:t>https://www.rba.gov.au/publications/bulletin/2023/jun/consumer-payment-behaviour-in-australia.html</w:t>
        </w:r>
      </w:hyperlink>
      <w:r w:rsidR="00707E9C">
        <w:rPr>
          <w:rStyle w:val="Hyperlink"/>
        </w:rPr>
        <w:t>.</w:t>
      </w:r>
      <w:r>
        <w:t xml:space="preserve"> </w:t>
      </w:r>
    </w:p>
  </w:footnote>
  <w:footnote w:id="23">
    <w:p w14:paraId="39B718A6" w14:textId="04DA0BE3" w:rsidR="00397B6E" w:rsidRDefault="00397B6E" w:rsidP="00040EA4">
      <w:pPr>
        <w:pStyle w:val="FootnoteText"/>
        <w:ind w:left="284" w:hanging="284"/>
      </w:pPr>
      <w:r>
        <w:rPr>
          <w:rStyle w:val="FootnoteReference"/>
        </w:rPr>
        <w:footnoteRef/>
      </w:r>
      <w:r>
        <w:t xml:space="preserve"> </w:t>
      </w:r>
      <w:r w:rsidR="00585D28">
        <w:tab/>
      </w:r>
      <w:r>
        <w:t>Some of these services are advertised to the taxi industry. For example</w:t>
      </w:r>
      <w:r w:rsidR="006E5CE3">
        <w:t xml:space="preserve">, </w:t>
      </w:r>
      <w:hyperlink r:id="rId5" w:history="1">
        <w:r w:rsidR="006E5CE3" w:rsidRPr="00FD2556">
          <w:rPr>
            <w:rStyle w:val="Hyperlink"/>
          </w:rPr>
          <w:t>https://livepayments.com/product/livetap-for-taxi</w:t>
        </w:r>
      </w:hyperlink>
      <w:r w:rsidR="006E5CE3">
        <w:t>, accessed 17 May 2024</w:t>
      </w:r>
      <w:r w:rsidR="00707E9C">
        <w:t>.</w:t>
      </w:r>
    </w:p>
  </w:footnote>
  <w:footnote w:id="24">
    <w:p w14:paraId="16F7B5EF" w14:textId="005A132F" w:rsidR="00A22016" w:rsidRDefault="00A22016" w:rsidP="00040EA4">
      <w:pPr>
        <w:pStyle w:val="FootnoteText"/>
        <w:ind w:left="284" w:hanging="284"/>
      </w:pPr>
      <w:r>
        <w:rPr>
          <w:rStyle w:val="FootnoteReference"/>
        </w:rPr>
        <w:footnoteRef/>
      </w:r>
      <w:r>
        <w:t xml:space="preserve"> </w:t>
      </w:r>
      <w:r w:rsidR="00585D28">
        <w:tab/>
      </w:r>
      <w:r w:rsidR="007F6932" w:rsidRPr="007F6932">
        <w:t>GM Cabs, submission to the Essential Services Commission consultation paper ‘Taxi reviews 2024: unbooked taxi fares and non-cash payment surcharge’, 22 December 2023.</w:t>
      </w:r>
    </w:p>
  </w:footnote>
  <w:footnote w:id="25">
    <w:p w14:paraId="46B32E08" w14:textId="5697457D" w:rsidR="00BC397C" w:rsidRDefault="00BC397C" w:rsidP="00BC397C">
      <w:pPr>
        <w:pStyle w:val="FootnoteText"/>
        <w:ind w:left="284" w:hanging="284"/>
      </w:pPr>
      <w:r>
        <w:rPr>
          <w:rStyle w:val="FootnoteReference"/>
        </w:rPr>
        <w:footnoteRef/>
      </w:r>
      <w:r>
        <w:t xml:space="preserve"> </w:t>
      </w:r>
      <w:r>
        <w:tab/>
      </w:r>
      <w:hyperlink r:id="rId6" w:history="1">
        <w:r w:rsidRPr="00690494">
          <w:rPr>
            <w:rStyle w:val="Hyperlink"/>
          </w:rPr>
          <w:t>https://www.esc.vic.gov.au/transport/commercial-passenger-vehicles/unbooked-taxi-fares-and-non-cash-payment-surcharge-review-2024</w:t>
        </w:r>
      </w:hyperlink>
      <w:r w:rsidR="00EF5D73">
        <w:rPr>
          <w:rStyle w:val="Hyperlink"/>
        </w:rPr>
        <w:t>.</w:t>
      </w:r>
    </w:p>
  </w:footnote>
  <w:footnote w:id="26">
    <w:p w14:paraId="142B9922" w14:textId="043238B6" w:rsidR="009427B7" w:rsidRDefault="009427B7" w:rsidP="009427B7">
      <w:pPr>
        <w:pStyle w:val="FootnoteText"/>
        <w:ind w:left="284" w:hanging="284"/>
      </w:pPr>
      <w:r>
        <w:rPr>
          <w:rStyle w:val="FootnoteReference"/>
        </w:rPr>
        <w:footnoteRef/>
      </w:r>
      <w:r>
        <w:t xml:space="preserve"> </w:t>
      </w:r>
      <w:r>
        <w:tab/>
      </w:r>
      <w:r w:rsidRPr="0018575D">
        <w:rPr>
          <w:i/>
          <w:iCs/>
        </w:rPr>
        <w:t>Commercial Passenger Vehicle Industry Act 2017</w:t>
      </w:r>
      <w:r w:rsidRPr="009427B7">
        <w:t>, s 110A.</w:t>
      </w:r>
    </w:p>
  </w:footnote>
  <w:footnote w:id="27">
    <w:p w14:paraId="7E0FE6B9" w14:textId="71E5B3A9" w:rsidR="00C658E8" w:rsidRDefault="00C658E8" w:rsidP="008777DB">
      <w:pPr>
        <w:pStyle w:val="FootnoteText"/>
        <w:ind w:left="284" w:hanging="284"/>
      </w:pPr>
      <w:r>
        <w:rPr>
          <w:rStyle w:val="FootnoteReference"/>
        </w:rPr>
        <w:footnoteRef/>
      </w:r>
      <w:r>
        <w:t xml:space="preserve"> </w:t>
      </w:r>
      <w:r w:rsidR="008777DB">
        <w:tab/>
      </w:r>
      <w:r w:rsidRPr="006C7B3E">
        <w:rPr>
          <w:i/>
          <w:iCs/>
        </w:rPr>
        <w:t>Essential Services Commission Act 2001</w:t>
      </w:r>
      <w:r w:rsidRPr="00C658E8">
        <w:t xml:space="preserve">, s. 8; </w:t>
      </w:r>
      <w:r w:rsidRPr="00753AF2">
        <w:rPr>
          <w:i/>
          <w:iCs/>
        </w:rPr>
        <w:t>Commercial Passenger Vehicle Industry Act 2017</w:t>
      </w:r>
      <w:r w:rsidRPr="00C658E8">
        <w:t>, s. 110C</w:t>
      </w:r>
      <w:r w:rsidR="00D60CE9">
        <w:t>.</w:t>
      </w:r>
    </w:p>
  </w:footnote>
  <w:footnote w:id="28">
    <w:p w14:paraId="15C72E8C" w14:textId="4EBBB9C9" w:rsidR="00F23462" w:rsidRDefault="00F23462" w:rsidP="008777DB">
      <w:pPr>
        <w:pStyle w:val="FootnoteText"/>
        <w:ind w:left="284" w:hanging="284"/>
      </w:pPr>
      <w:r>
        <w:rPr>
          <w:rStyle w:val="FootnoteReference"/>
        </w:rPr>
        <w:footnoteRef/>
      </w:r>
      <w:r>
        <w:t xml:space="preserve"> </w:t>
      </w:r>
      <w:r w:rsidR="008777DB">
        <w:tab/>
      </w:r>
      <w:r w:rsidRPr="00147DD1">
        <w:rPr>
          <w:i/>
          <w:iCs/>
        </w:rPr>
        <w:t>Essential Services Commission Act 2001</w:t>
      </w:r>
      <w:r w:rsidRPr="00F23462">
        <w:t xml:space="preserve">, ss. 8, 8A, 33; </w:t>
      </w:r>
      <w:r w:rsidRPr="00147DD1">
        <w:rPr>
          <w:i/>
          <w:iCs/>
        </w:rPr>
        <w:t>Transport Integration Act 2010</w:t>
      </w:r>
      <w:r w:rsidRPr="00F23462">
        <w:t>, s. 24.</w:t>
      </w:r>
    </w:p>
  </w:footnote>
  <w:footnote w:id="29">
    <w:p w14:paraId="33175D49" w14:textId="7C386262" w:rsidR="003C2C6F" w:rsidRDefault="003C2C6F" w:rsidP="008777DB">
      <w:pPr>
        <w:pStyle w:val="FootnoteText"/>
        <w:ind w:left="284" w:hanging="284"/>
      </w:pPr>
      <w:r>
        <w:rPr>
          <w:rStyle w:val="FootnoteReference"/>
        </w:rPr>
        <w:footnoteRef/>
      </w:r>
      <w:r>
        <w:t xml:space="preserve"> </w:t>
      </w:r>
      <w:r w:rsidR="008777DB">
        <w:tab/>
      </w:r>
      <w:r w:rsidRPr="00147DD1">
        <w:rPr>
          <w:i/>
          <w:iCs/>
        </w:rPr>
        <w:t>Commercial Passenger Vehicle Industry Act 2017</w:t>
      </w:r>
      <w:r w:rsidRPr="003C2C6F">
        <w:t xml:space="preserve">, s. 110E(1)(ga). The Fair Work Commission’s annual wage review is conducted under section 285 of the </w:t>
      </w:r>
      <w:r w:rsidRPr="00147DD1">
        <w:rPr>
          <w:i/>
          <w:iCs/>
        </w:rPr>
        <w:t>Fair Work Act 2009 (Cth)</w:t>
      </w:r>
      <w:r w:rsidRPr="003C2C6F">
        <w:t>.</w:t>
      </w:r>
    </w:p>
  </w:footnote>
  <w:footnote w:id="30">
    <w:p w14:paraId="0D7D900D" w14:textId="6D152C67" w:rsidR="00F62CD4" w:rsidRDefault="00F62CD4" w:rsidP="008777DB">
      <w:pPr>
        <w:pStyle w:val="FootnoteText"/>
        <w:ind w:left="284" w:hanging="284"/>
      </w:pPr>
      <w:r>
        <w:rPr>
          <w:rStyle w:val="FootnoteReference"/>
        </w:rPr>
        <w:footnoteRef/>
      </w:r>
      <w:r>
        <w:t xml:space="preserve"> </w:t>
      </w:r>
      <w:r w:rsidR="008777DB">
        <w:tab/>
      </w:r>
      <w:r w:rsidRPr="00147DD1">
        <w:rPr>
          <w:i/>
          <w:iCs/>
        </w:rPr>
        <w:t>Commercial Passenger Vehicle Industry Act 2018</w:t>
      </w:r>
      <w:r w:rsidRPr="00F62CD4">
        <w:t>, s. 110E(1)(gb).</w:t>
      </w:r>
    </w:p>
  </w:footnote>
  <w:footnote w:id="31">
    <w:p w14:paraId="5D6328BB" w14:textId="3AD6A4D1" w:rsidR="002E3858" w:rsidRDefault="002E3858" w:rsidP="00C9128F">
      <w:pPr>
        <w:pStyle w:val="FootnoteText"/>
        <w:ind w:left="284" w:hanging="284"/>
      </w:pPr>
      <w:r>
        <w:rPr>
          <w:rStyle w:val="FootnoteReference"/>
        </w:rPr>
        <w:footnoteRef/>
      </w:r>
      <w:r>
        <w:t xml:space="preserve"> </w:t>
      </w:r>
      <w:r w:rsidR="00B11A63">
        <w:tab/>
        <w:t xml:space="preserve">Our cost index measures the change in costs since our 2022 review. Fares increased by 4.1 per cent in 2023. Due to compounding, a 5.5 per cent increase ensures that the </w:t>
      </w:r>
      <w:r w:rsidR="002045F2">
        <w:t>fares</w:t>
      </w:r>
      <w:r w:rsidR="00B11A63">
        <w:t xml:space="preserve"> are 9.9 per cent higher than the 2022 fare level.</w:t>
      </w:r>
    </w:p>
  </w:footnote>
  <w:footnote w:id="32">
    <w:p w14:paraId="30A94BAC" w14:textId="23B8AFEA" w:rsidR="005743CF" w:rsidRDefault="005743CF" w:rsidP="005743CF">
      <w:pPr>
        <w:pStyle w:val="FootnoteText"/>
        <w:ind w:left="284" w:hanging="284"/>
      </w:pPr>
      <w:r>
        <w:rPr>
          <w:rStyle w:val="FootnoteReference"/>
        </w:rPr>
        <w:footnoteRef/>
      </w:r>
      <w:r>
        <w:t xml:space="preserve"> </w:t>
      </w:r>
      <w:r>
        <w:tab/>
      </w:r>
      <w:r w:rsidR="00D45A14" w:rsidRPr="00A03A48">
        <w:t xml:space="preserve">Name </w:t>
      </w:r>
      <w:r w:rsidR="003D06DF" w:rsidRPr="00A03A48">
        <w:t>withheld</w:t>
      </w:r>
      <w:r w:rsidR="00347708" w:rsidRPr="00A03A48">
        <w:t xml:space="preserve"> </w:t>
      </w:r>
      <w:r w:rsidR="00205589">
        <w:t>1</w:t>
      </w:r>
      <w:r>
        <w:t xml:space="preserve">, submission to the Essential Services Commission draft decision </w:t>
      </w:r>
      <w:r w:rsidR="00E6144C">
        <w:t>paper</w:t>
      </w:r>
      <w:r>
        <w:t xml:space="preserve"> ‘Taxi reviews 2024: unbooked taxi fares and non-cash payment surcharge’, 13 June 2024; Fuad Yonis, submission to the Essential Services Commission draft decision </w:t>
      </w:r>
      <w:r w:rsidR="00E6144C">
        <w:t>paper</w:t>
      </w:r>
      <w:r>
        <w:t xml:space="preserve"> ‘Taxi reviews 2024: unbooked taxi fares and non-cash payment surcharge’, 13 June 2024; </w:t>
      </w:r>
      <w:r w:rsidR="00D45A14" w:rsidRPr="00A03A48">
        <w:t xml:space="preserve">Name </w:t>
      </w:r>
      <w:r w:rsidR="003D06DF" w:rsidRPr="00A03A48">
        <w:t>withheld</w:t>
      </w:r>
      <w:r w:rsidR="00347708" w:rsidRPr="00A03A48">
        <w:t xml:space="preserve"> </w:t>
      </w:r>
      <w:r w:rsidR="00F3640D">
        <w:t>2</w:t>
      </w:r>
      <w:r>
        <w:t xml:space="preserve">, submission to the Essential Services Commission draft decision </w:t>
      </w:r>
      <w:r w:rsidR="00E6144C">
        <w:t>paper</w:t>
      </w:r>
      <w:r>
        <w:t xml:space="preserve"> ‘Taxi reviews 2024: unbooked taxi fares and non-cash payment surcharge’, 16 June 2024; </w:t>
      </w:r>
      <w:r w:rsidR="003D06DF" w:rsidRPr="00A03A48">
        <w:t>Name withheld</w:t>
      </w:r>
      <w:r w:rsidR="00B61979" w:rsidRPr="00A03A48">
        <w:t xml:space="preserve"> </w:t>
      </w:r>
      <w:r w:rsidR="009625F8">
        <w:t>4</w:t>
      </w:r>
      <w:r>
        <w:t xml:space="preserve">, submission to the Essential Services Commission draft decision </w:t>
      </w:r>
      <w:r w:rsidR="00E6144C">
        <w:t>paper</w:t>
      </w:r>
      <w:r>
        <w:t xml:space="preserve"> ‘Taxi reviews 2024: unbooked taxi fares and non-cash payment surcharge’, 17 June 2024.</w:t>
      </w:r>
    </w:p>
  </w:footnote>
  <w:footnote w:id="33">
    <w:p w14:paraId="16E5CB1D" w14:textId="42D3B056" w:rsidR="006B62B8" w:rsidRDefault="006B62B8" w:rsidP="004D3118">
      <w:pPr>
        <w:pStyle w:val="FootnoteText"/>
        <w:ind w:left="284" w:hanging="284"/>
      </w:pPr>
      <w:r>
        <w:rPr>
          <w:rStyle w:val="FootnoteReference"/>
        </w:rPr>
        <w:footnoteRef/>
      </w:r>
      <w:r>
        <w:t xml:space="preserve"> </w:t>
      </w:r>
      <w:r w:rsidR="007F0C42">
        <w:tab/>
      </w:r>
      <w:r w:rsidRPr="004D3118">
        <w:t>The key driver</w:t>
      </w:r>
      <w:r w:rsidR="006D1F5D">
        <w:t>s</w:t>
      </w:r>
      <w:r w:rsidRPr="004D3118">
        <w:t xml:space="preserve"> of the </w:t>
      </w:r>
      <w:r w:rsidR="00C32FA5" w:rsidRPr="004D3118">
        <w:t>lower increase in costs as suggested by our taxi cost indexes w</w:t>
      </w:r>
      <w:r w:rsidR="00DA135D">
        <w:t>ere lower</w:t>
      </w:r>
      <w:r w:rsidR="008554DC">
        <w:t xml:space="preserve"> fuel and vehicle costs</w:t>
      </w:r>
      <w:r w:rsidR="002836E7">
        <w:t xml:space="preserve"> for the June 2024 Quarter compared to the March 2024 Quarter</w:t>
      </w:r>
      <w:r w:rsidR="008554DC">
        <w:t>.</w:t>
      </w:r>
    </w:p>
  </w:footnote>
  <w:footnote w:id="34">
    <w:p w14:paraId="150B5E9E" w14:textId="239AE378" w:rsidR="004B4DBC" w:rsidRDefault="004B4DBC" w:rsidP="0050114C">
      <w:pPr>
        <w:pStyle w:val="FootnoteText"/>
        <w:ind w:left="284" w:hanging="284"/>
      </w:pPr>
      <w:r>
        <w:rPr>
          <w:rStyle w:val="FootnoteReference"/>
        </w:rPr>
        <w:footnoteRef/>
      </w:r>
      <w:r>
        <w:t xml:space="preserve"> </w:t>
      </w:r>
      <w:r w:rsidR="0050114C">
        <w:tab/>
      </w:r>
      <w:r w:rsidRPr="004B4DBC">
        <w:t xml:space="preserve">The relevant tariff components in fare schedule 1 (fares for </w:t>
      </w:r>
      <w:r w:rsidR="00A91AD6">
        <w:t xml:space="preserve">Metropolitan </w:t>
      </w:r>
      <w:r w:rsidRPr="004B4DBC">
        <w:t xml:space="preserve">Melbourne, Dandenong, Frankston and the Mornington Peninsula) include the flagfall and variable components of the day tariff, peak tariff and overnight tariff. The relevant tariff components in fare schedule 2 (fares for Ballarat, Bendigo and Geelong) include the flagfall and variable components of tariff one, the flagfall of the high occupancy tariff, late night fee and holiday </w:t>
      </w:r>
      <w:r w:rsidR="00D35EC0">
        <w:t>fee</w:t>
      </w:r>
      <w:r w:rsidRPr="004B4DBC">
        <w:t>.</w:t>
      </w:r>
    </w:p>
  </w:footnote>
  <w:footnote w:id="35">
    <w:p w14:paraId="71B3C22F" w14:textId="534C01A2" w:rsidR="0063734E" w:rsidRDefault="0063734E" w:rsidP="0050114C">
      <w:pPr>
        <w:pStyle w:val="FootnoteText"/>
        <w:ind w:left="284" w:hanging="284"/>
      </w:pPr>
      <w:r>
        <w:rPr>
          <w:rStyle w:val="FootnoteReference"/>
        </w:rPr>
        <w:footnoteRef/>
      </w:r>
      <w:r>
        <w:t xml:space="preserve"> </w:t>
      </w:r>
      <w:r w:rsidR="0050114C">
        <w:tab/>
      </w:r>
      <w:r w:rsidRPr="0063734E">
        <w:t>This estimate is for a conventional taxi and is based on daytime ‘time and distance’ tariffs. Distance and travel time to destination (Parliament to Docklands) are based on Google maps. Fare estimates exclude other charges not set by the commission.</w:t>
      </w:r>
    </w:p>
  </w:footnote>
  <w:footnote w:id="36">
    <w:p w14:paraId="0230EAB3" w14:textId="1650D2AF" w:rsidR="00533606" w:rsidRDefault="00533606" w:rsidP="0050114C">
      <w:pPr>
        <w:pStyle w:val="FootnoteText"/>
        <w:ind w:left="284" w:hanging="284"/>
      </w:pPr>
      <w:r>
        <w:rPr>
          <w:rStyle w:val="FootnoteReference"/>
        </w:rPr>
        <w:footnoteRef/>
      </w:r>
      <w:r>
        <w:t xml:space="preserve"> </w:t>
      </w:r>
      <w:r w:rsidR="0050114C">
        <w:tab/>
      </w:r>
      <w:r w:rsidRPr="00533606">
        <w:t>This estimate is for a conventional taxi and is based on daytime ‘time and distance’ tariffs. Distance and travel time to destination (Melbourne CBD to Melbourne Airport) are based on Google maps. Fare estimates exclude other charges not set by the commission such as toll</w:t>
      </w:r>
      <w:r w:rsidR="008E5B40">
        <w:t>s</w:t>
      </w:r>
      <w:r w:rsidRPr="00533606">
        <w:t xml:space="preserve"> and the Melbourne Airport fee.</w:t>
      </w:r>
    </w:p>
  </w:footnote>
  <w:footnote w:id="37">
    <w:p w14:paraId="31319FA5" w14:textId="3FA81C99" w:rsidR="006479B9" w:rsidRDefault="006479B9" w:rsidP="00CF12AB">
      <w:pPr>
        <w:pStyle w:val="FootnoteText"/>
        <w:ind w:left="284" w:hanging="284"/>
      </w:pPr>
      <w:r>
        <w:rPr>
          <w:rStyle w:val="FootnoteReference"/>
        </w:rPr>
        <w:footnoteRef/>
      </w:r>
      <w:r>
        <w:t xml:space="preserve"> </w:t>
      </w:r>
      <w:r>
        <w:tab/>
        <w:t>Due to round</w:t>
      </w:r>
      <w:r w:rsidR="00CF12AB">
        <w:t>ing</w:t>
      </w:r>
      <w:r>
        <w:t xml:space="preserve">, the high occupancy fee for the Melbourne </w:t>
      </w:r>
      <w:r w:rsidR="00EE55D7">
        <w:t xml:space="preserve">Metropolitan </w:t>
      </w:r>
      <w:r>
        <w:t>Zone and Urban area increases by 6.1</w:t>
      </w:r>
      <w:r w:rsidR="004048AA">
        <w:t> </w:t>
      </w:r>
      <w:r>
        <w:t>per</w:t>
      </w:r>
      <w:r w:rsidR="004048AA">
        <w:t> </w:t>
      </w:r>
      <w:r>
        <w:t xml:space="preserve">cent, and the </w:t>
      </w:r>
      <w:r w:rsidR="007D0DAF">
        <w:t xml:space="preserve">high occupancy </w:t>
      </w:r>
      <w:r w:rsidR="00B87E1E">
        <w:t>charge</w:t>
      </w:r>
      <w:r w:rsidR="006714A3">
        <w:t>s for the Large Regional area</w:t>
      </w:r>
      <w:r w:rsidR="004048AA">
        <w:t>s</w:t>
      </w:r>
      <w:r w:rsidR="006714A3">
        <w:t xml:space="preserve"> increase by 6.3 per cent.</w:t>
      </w:r>
    </w:p>
  </w:footnote>
  <w:footnote w:id="38">
    <w:p w14:paraId="34DD49EB" w14:textId="0954BF1C" w:rsidR="00EC2061" w:rsidRDefault="00EC2061" w:rsidP="00C9128F">
      <w:pPr>
        <w:pStyle w:val="FootnoteText"/>
        <w:ind w:left="284" w:hanging="284"/>
      </w:pPr>
      <w:r>
        <w:rPr>
          <w:rStyle w:val="FootnoteReference"/>
        </w:rPr>
        <w:footnoteRef/>
      </w:r>
      <w:r>
        <w:t xml:space="preserve"> </w:t>
      </w:r>
      <w:r>
        <w:tab/>
      </w:r>
      <w:r w:rsidR="00F1665B">
        <w:t xml:space="preserve">Our cost index measures the change in costs since our </w:t>
      </w:r>
      <w:r w:rsidR="00A97434">
        <w:t xml:space="preserve">2022 review. </w:t>
      </w:r>
      <w:r w:rsidR="00B11A63">
        <w:t xml:space="preserve">Fares increased by 4.1 per cent in 2023. </w:t>
      </w:r>
      <w:r w:rsidR="008F5E1E">
        <w:t>Due to compounding, a</w:t>
      </w:r>
      <w:r w:rsidR="0050554A">
        <w:t xml:space="preserve"> 6.2 per cent increase ensures that the high occupancy fees and charges are 10.6 per cent higher than the 2022 </w:t>
      </w:r>
      <w:r w:rsidR="008F5E1E">
        <w:t>fare level</w:t>
      </w:r>
      <w:r w:rsidR="00376995">
        <w:t xml:space="preserve">. </w:t>
      </w:r>
    </w:p>
  </w:footnote>
  <w:footnote w:id="39">
    <w:p w14:paraId="0E26AAFE" w14:textId="7E0E0685" w:rsidR="00271287" w:rsidRDefault="00271287" w:rsidP="009C3FD3">
      <w:pPr>
        <w:pStyle w:val="FootnoteText"/>
        <w:ind w:left="284" w:hanging="284"/>
      </w:pPr>
      <w:r>
        <w:rPr>
          <w:rStyle w:val="FootnoteReference"/>
        </w:rPr>
        <w:footnoteRef/>
      </w:r>
      <w:r>
        <w:t xml:space="preserve"> </w:t>
      </w:r>
      <w:r w:rsidR="00D62EF4">
        <w:tab/>
      </w:r>
      <w:r w:rsidR="005375D1">
        <w:t xml:space="preserve">A </w:t>
      </w:r>
      <w:r w:rsidR="00AE3394">
        <w:t>‘</w:t>
      </w:r>
      <w:r w:rsidR="00865818" w:rsidRPr="00865818">
        <w:t>standard taxi</w:t>
      </w:r>
      <w:r w:rsidR="00B624CB">
        <w:t>’</w:t>
      </w:r>
      <w:r w:rsidR="00865818" w:rsidRPr="00865818">
        <w:t xml:space="preserve"> means a taxi with seating for up to four passengers and includes station wagon type vehicles.</w:t>
      </w:r>
      <w:r w:rsidR="002D19A9">
        <w:t xml:space="preserve"> See </w:t>
      </w:r>
      <w:r w:rsidR="002D19A9" w:rsidRPr="009C3FD3">
        <w:t xml:space="preserve">clause </w:t>
      </w:r>
      <w:r w:rsidR="00C47A9A" w:rsidRPr="009C3FD3">
        <w:t>6.4</w:t>
      </w:r>
      <w:r w:rsidR="009460F9" w:rsidRPr="009C3FD3">
        <w:t xml:space="preserve"> of Schedule 1</w:t>
      </w:r>
      <w:r w:rsidR="009460F9">
        <w:t xml:space="preserve"> </w:t>
      </w:r>
      <w:r w:rsidR="002D0B19">
        <w:t xml:space="preserve">of the Determination of Maximum Charge for Unbooked </w:t>
      </w:r>
      <w:r w:rsidR="00796BD2">
        <w:t>Commercial Passenger Vehicle Services.</w:t>
      </w:r>
    </w:p>
  </w:footnote>
  <w:footnote w:id="40">
    <w:p w14:paraId="1ACB4769" w14:textId="12DD9866" w:rsidR="0042611C" w:rsidRDefault="0042611C" w:rsidP="0050114C">
      <w:pPr>
        <w:pStyle w:val="FootnoteText"/>
        <w:ind w:left="284" w:hanging="284"/>
      </w:pPr>
      <w:r>
        <w:rPr>
          <w:rStyle w:val="FootnoteReference"/>
        </w:rPr>
        <w:footnoteRef/>
      </w:r>
      <w:r>
        <w:t xml:space="preserve"> </w:t>
      </w:r>
      <w:r w:rsidR="0050114C">
        <w:tab/>
      </w:r>
      <w:r w:rsidRPr="0042611C">
        <w:t>High occupancy vehicles that are wheelchair accessible have an important role in providing means by which persons with disability can access social and economic opportunities to support their wellbeing. This is one of the transport system objectives the commission is to have regard to (</w:t>
      </w:r>
      <w:r w:rsidRPr="00C21C23">
        <w:rPr>
          <w:i/>
          <w:iCs/>
        </w:rPr>
        <w:t>Transport Integration Act 2010</w:t>
      </w:r>
      <w:r w:rsidRPr="0042611C">
        <w:t>, s. 8).</w:t>
      </w:r>
    </w:p>
  </w:footnote>
  <w:footnote w:id="41">
    <w:p w14:paraId="2C3D4A52" w14:textId="77777777" w:rsidR="00723A31" w:rsidRPr="00B82879" w:rsidRDefault="00723A31" w:rsidP="00723A31">
      <w:pPr>
        <w:pStyle w:val="FootnoteText"/>
        <w:ind w:left="284" w:hanging="284"/>
        <w:rPr>
          <w:rStyle w:val="FootnoteReference"/>
        </w:rPr>
      </w:pPr>
      <w:r>
        <w:rPr>
          <w:rStyle w:val="FootnoteReference"/>
        </w:rPr>
        <w:footnoteRef/>
      </w:r>
      <w:r>
        <w:t xml:space="preserve"> </w:t>
      </w:r>
      <w:r>
        <w:tab/>
        <w:t>T</w:t>
      </w:r>
      <w:r w:rsidRPr="00CD38D8">
        <w:t xml:space="preserve">he </w:t>
      </w:r>
      <w:r>
        <w:t>Multi Purpose</w:t>
      </w:r>
      <w:r w:rsidRPr="00CD38D8">
        <w:t xml:space="preserve"> Taxi Program (MPTP) assists with the travel needs of people with accessibility and mobility needs by offering subsidised CPV fares to members. Members get 50 per cent off the total fare, up to $60, with some restrictions. The MPTP is administered by Safe Transport Victoria (STV). The lifting fee is a fee paid by STV to the taxi driver/operator for helping MPTP members in wheelchairs or scooters get into a wheelchair accessible vehicle. STV also pays a partial fee for loading wheelchairs into other types of vehicles. The lifting fee is set by STV.</w:t>
      </w:r>
    </w:p>
  </w:footnote>
  <w:footnote w:id="42">
    <w:p w14:paraId="2D30650C" w14:textId="77777777" w:rsidR="00D81742" w:rsidRDefault="00D81742" w:rsidP="00D81742">
      <w:pPr>
        <w:pStyle w:val="FootnoteText"/>
        <w:ind w:left="284" w:hanging="284"/>
      </w:pPr>
      <w:r>
        <w:rPr>
          <w:rStyle w:val="FootnoteReference"/>
        </w:rPr>
        <w:footnoteRef/>
      </w:r>
      <w:r>
        <w:t xml:space="preserve"> </w:t>
      </w:r>
      <w:r>
        <w:tab/>
      </w:r>
      <w:r w:rsidRPr="00C53D8C">
        <w:t xml:space="preserve">Northern Territory Government, Taxi and minibus areas and fares, </w:t>
      </w:r>
      <w:hyperlink r:id="rId7" w:history="1">
        <w:r w:rsidRPr="00A10F6F">
          <w:rPr>
            <w:rStyle w:val="Hyperlink"/>
          </w:rPr>
          <w:t>https://nt.gov.au/driving/industry/commercial-passenger-vehicles/taxi-areas-meters-and-fares</w:t>
        </w:r>
      </w:hyperlink>
      <w:r w:rsidRPr="00C53D8C">
        <w:t xml:space="preserve"> (accessed </w:t>
      </w:r>
      <w:r>
        <w:t>18 July</w:t>
      </w:r>
      <w:r w:rsidRPr="00C53D8C">
        <w:t xml:space="preserve"> 2024)</w:t>
      </w:r>
      <w:r>
        <w:t>.</w:t>
      </w:r>
    </w:p>
  </w:footnote>
  <w:footnote w:id="43">
    <w:p w14:paraId="681D2AF8" w14:textId="5430F177" w:rsidR="008C358E" w:rsidRDefault="008C358E" w:rsidP="001F5794">
      <w:pPr>
        <w:pStyle w:val="FootnoteText"/>
        <w:ind w:left="284" w:hanging="284"/>
      </w:pPr>
      <w:r>
        <w:rPr>
          <w:rStyle w:val="FootnoteReference"/>
        </w:rPr>
        <w:footnoteRef/>
      </w:r>
      <w:r>
        <w:t xml:space="preserve"> </w:t>
      </w:r>
      <w:r w:rsidR="001F5794">
        <w:tab/>
      </w:r>
      <w:r w:rsidRPr="008C358E">
        <w:t xml:space="preserve">Queensland Government, Taxi Service Standards, </w:t>
      </w:r>
      <w:hyperlink r:id="rId8" w:history="1">
        <w:r w:rsidRPr="00530FDE">
          <w:rPr>
            <w:rStyle w:val="Hyperlink"/>
          </w:rPr>
          <w:t>https://www.qld.gov.au/transport/public/operators/information-for-passengers/passenger-rights-and-fares/taxi-service-standards</w:t>
        </w:r>
      </w:hyperlink>
      <w:r w:rsidRPr="008C358E">
        <w:t xml:space="preserve"> (accessed </w:t>
      </w:r>
      <w:r w:rsidR="00FB3AC7">
        <w:t>18 July</w:t>
      </w:r>
      <w:r w:rsidRPr="008C358E">
        <w:t xml:space="preserve"> 2024)</w:t>
      </w:r>
      <w:r w:rsidR="001F5794">
        <w:t>.</w:t>
      </w:r>
    </w:p>
  </w:footnote>
  <w:footnote w:id="44">
    <w:p w14:paraId="603969BE" w14:textId="6BF5AB0A" w:rsidR="001D44A4" w:rsidRDefault="001D44A4" w:rsidP="00E6413A">
      <w:pPr>
        <w:pStyle w:val="FootnoteText"/>
        <w:ind w:left="284" w:hanging="284"/>
      </w:pPr>
      <w:r>
        <w:rPr>
          <w:rStyle w:val="FootnoteReference"/>
        </w:rPr>
        <w:footnoteRef/>
      </w:r>
      <w:r>
        <w:t xml:space="preserve"> </w:t>
      </w:r>
      <w:r w:rsidR="001F5794">
        <w:tab/>
      </w:r>
      <w:r w:rsidRPr="001D44A4">
        <w:t xml:space="preserve">Didi, How do I request a cleaning fee, </w:t>
      </w:r>
      <w:hyperlink r:id="rId9" w:history="1">
        <w:r w:rsidRPr="005A528F">
          <w:rPr>
            <w:rStyle w:val="Hyperlink"/>
          </w:rPr>
          <w:t>https://web.didiglobal.com/au/help-center/how-do-i-request-a-cleaning-fee/</w:t>
        </w:r>
      </w:hyperlink>
      <w:r w:rsidRPr="001D44A4">
        <w:t xml:space="preserve"> (accessed </w:t>
      </w:r>
      <w:r w:rsidR="00FB40C7">
        <w:t>18 July</w:t>
      </w:r>
      <w:r w:rsidRPr="001D44A4" w:rsidDel="00E6413A">
        <w:t xml:space="preserve"> 2024); </w:t>
      </w:r>
      <w:r w:rsidRPr="001D44A4">
        <w:t xml:space="preserve">Ola, Driver cleaning fee reimbursement policy, </w:t>
      </w:r>
      <w:hyperlink r:id="rId10" w:history="1">
        <w:r w:rsidRPr="002A0211">
          <w:rPr>
            <w:rStyle w:val="Hyperlink"/>
          </w:rPr>
          <w:t>https://ola.com.au/driver/drivers-guidelines/ola-driver-cleaning-fee-reimbursement-policy/</w:t>
        </w:r>
      </w:hyperlink>
      <w:r w:rsidRPr="001D44A4">
        <w:t xml:space="preserve"> (accessed </w:t>
      </w:r>
      <w:r w:rsidR="00F7661C">
        <w:t>18 July</w:t>
      </w:r>
      <w:r w:rsidRPr="001D44A4">
        <w:t xml:space="preserve"> 2024)</w:t>
      </w:r>
      <w:r w:rsidR="001F5794">
        <w:t>.</w:t>
      </w:r>
    </w:p>
  </w:footnote>
  <w:footnote w:id="45">
    <w:p w14:paraId="2188EA82" w14:textId="6D96373D" w:rsidR="00BB0B8A" w:rsidRDefault="00BB0B8A" w:rsidP="001F5794">
      <w:pPr>
        <w:pStyle w:val="FootnoteText"/>
        <w:ind w:left="284" w:hanging="284"/>
      </w:pPr>
      <w:r>
        <w:rPr>
          <w:rStyle w:val="FootnoteReference"/>
        </w:rPr>
        <w:footnoteRef/>
      </w:r>
      <w:r>
        <w:t xml:space="preserve"> </w:t>
      </w:r>
      <w:r w:rsidR="001F5794">
        <w:tab/>
      </w:r>
      <w:r w:rsidRPr="00BB0B8A">
        <w:t>Essential Services Commission 2023, Unbooked Taxi Fare Annual Adjustment, 24 August</w:t>
      </w:r>
      <w:r w:rsidR="001F5794">
        <w:t>.</w:t>
      </w:r>
      <w:r w:rsidR="007125F4">
        <w:t xml:space="preserve"> Under the fare adjustment mechanism for 2023, </w:t>
      </w:r>
      <w:r w:rsidR="00827625">
        <w:t>the 4.1 per cent increas</w:t>
      </w:r>
      <w:r w:rsidR="004014B8">
        <w:t xml:space="preserve">e applied to </w:t>
      </w:r>
      <w:r w:rsidR="003C7A36">
        <w:t>all fares and</w:t>
      </w:r>
      <w:r w:rsidR="00C50575">
        <w:t xml:space="preserve"> charges. </w:t>
      </w:r>
      <w:r w:rsidR="0003573B">
        <w:t>We did not apply a differe</w:t>
      </w:r>
      <w:r w:rsidR="00CF41AC">
        <w:t>nt</w:t>
      </w:r>
      <w:r w:rsidR="0003573B">
        <w:t xml:space="preserve"> inc</w:t>
      </w:r>
      <w:r w:rsidR="003C7A36">
        <w:t>rease to the high occupancy fee and charges.</w:t>
      </w:r>
    </w:p>
  </w:footnote>
  <w:footnote w:id="46">
    <w:p w14:paraId="56E04705" w14:textId="027BA776" w:rsidR="00555E2B" w:rsidRDefault="00555E2B" w:rsidP="001F5794">
      <w:pPr>
        <w:pStyle w:val="FootnoteText"/>
        <w:ind w:left="284" w:hanging="284"/>
      </w:pPr>
      <w:r>
        <w:rPr>
          <w:rStyle w:val="FootnoteReference"/>
        </w:rPr>
        <w:footnoteRef/>
      </w:r>
      <w:r>
        <w:t xml:space="preserve"> </w:t>
      </w:r>
      <w:r w:rsidR="001F5794">
        <w:tab/>
      </w:r>
      <w:r w:rsidRPr="00555E2B">
        <w:t xml:space="preserve">Anonymous, </w:t>
      </w:r>
      <w:r w:rsidR="006A5718">
        <w:t>submission to the Essential Services Commission consultation paper</w:t>
      </w:r>
      <w:r w:rsidR="006A5718" w:rsidRPr="00C928FA">
        <w:t xml:space="preserve"> </w:t>
      </w:r>
      <w:r w:rsidR="006A5718">
        <w:t>‘Taxi reviews 2024: unbooked taxi fares and non-cash payment surcharge’,</w:t>
      </w:r>
      <w:r w:rsidRPr="00555E2B">
        <w:t xml:space="preserve"> 30 October 2023; Anonymous, </w:t>
      </w:r>
      <w:r w:rsidR="006A5718">
        <w:t>submission to the Essential Services Commission consultation paper</w:t>
      </w:r>
      <w:r w:rsidR="006A5718" w:rsidRPr="00C928FA">
        <w:t xml:space="preserve"> </w:t>
      </w:r>
      <w:r w:rsidR="006A5718">
        <w:t xml:space="preserve">‘Taxi reviews 2024: unbooked taxi fares and non-cash payment surcharge’, </w:t>
      </w:r>
      <w:r w:rsidRPr="00555E2B">
        <w:t xml:space="preserve">24 November 2023; Anonymous, </w:t>
      </w:r>
      <w:r w:rsidR="006A5718">
        <w:t>submission to the Essential Services Commission consultation paper</w:t>
      </w:r>
      <w:r w:rsidR="006A5718" w:rsidRPr="00C928FA">
        <w:t xml:space="preserve"> </w:t>
      </w:r>
      <w:r w:rsidR="006A5718">
        <w:t>‘Taxi reviews 2024: unbooked taxi fares and non-cash payment surcharge’,</w:t>
      </w:r>
      <w:r w:rsidRPr="00555E2B">
        <w:t xml:space="preserve"> 12 December 2023</w:t>
      </w:r>
      <w:r w:rsidR="00E10AAA">
        <w:t xml:space="preserve">; </w:t>
      </w:r>
      <w:r w:rsidR="00A3426C" w:rsidRPr="00CC3EA4">
        <w:t xml:space="preserve">Name withheld </w:t>
      </w:r>
      <w:r w:rsidR="00FD17AB">
        <w:t>2</w:t>
      </w:r>
      <w:r w:rsidR="00E10AAA">
        <w:t>, submission to the Essential Services Commission draft decision ‘Taxi review</w:t>
      </w:r>
      <w:r w:rsidR="00B600AC">
        <w:t>s</w:t>
      </w:r>
      <w:r w:rsidR="00E10AAA">
        <w:t xml:space="preserve"> 2024: unbooked taxi fares and non-cash payment</w:t>
      </w:r>
      <w:r w:rsidR="005D0861">
        <w:t xml:space="preserve"> surcharge’, </w:t>
      </w:r>
      <w:r w:rsidR="00A011DD">
        <w:t>16 June 2024</w:t>
      </w:r>
      <w:r w:rsidR="00E621FD" w:rsidDel="00E10AAA">
        <w:t>.</w:t>
      </w:r>
    </w:p>
  </w:footnote>
  <w:footnote w:id="47">
    <w:p w14:paraId="2712B779" w14:textId="4DDA9F08" w:rsidR="00F63862" w:rsidRDefault="00F63862" w:rsidP="005A3F49">
      <w:pPr>
        <w:pStyle w:val="FootnoteText"/>
        <w:ind w:left="284" w:hanging="284"/>
      </w:pPr>
      <w:r>
        <w:rPr>
          <w:rStyle w:val="FootnoteReference"/>
        </w:rPr>
        <w:footnoteRef/>
      </w:r>
      <w:r>
        <w:t xml:space="preserve"> </w:t>
      </w:r>
      <w:r w:rsidR="005A3F49">
        <w:tab/>
      </w:r>
      <w:r>
        <w:t>Reserve Bank of Australia 2016, Standard no. 3 of 2016: Scheme Rules Relating to Merchant Pricing for Credit, Debit</w:t>
      </w:r>
      <w:r w:rsidR="00A600DF">
        <w:t xml:space="preserve"> </w:t>
      </w:r>
      <w:r>
        <w:t xml:space="preserve">and Prepaid Card Transactions, section 4, 1 Sep 2016 as varied with effect from 1 Jan 2022, </w:t>
      </w:r>
      <w:hyperlink r:id="rId11" w:history="1">
        <w:r w:rsidRPr="00906D3D">
          <w:rPr>
            <w:rStyle w:val="Hyperlink"/>
          </w:rPr>
          <w:t>https://www.rba.gov.au/payments-and-infrastructure/review-of-card-payments-regulation/pdf/standard-no-3-of-2016-scheme-rules-relating-to-merchant-pricing-2021-11-18.pdf</w:t>
        </w:r>
      </w:hyperlink>
      <w:r w:rsidR="009201BE">
        <w:rPr>
          <w:rStyle w:val="Hyperlink"/>
        </w:rPr>
        <w:t>.</w:t>
      </w:r>
    </w:p>
  </w:footnote>
  <w:footnote w:id="48">
    <w:p w14:paraId="39DC4D71" w14:textId="79DD06B2" w:rsidR="00B26D57" w:rsidRDefault="00B26D57" w:rsidP="005A3F49">
      <w:pPr>
        <w:pStyle w:val="FootnoteText"/>
        <w:ind w:left="284" w:hanging="284"/>
      </w:pPr>
      <w:r>
        <w:rPr>
          <w:rStyle w:val="FootnoteReference"/>
        </w:rPr>
        <w:footnoteRef/>
      </w:r>
      <w:r>
        <w:t xml:space="preserve"> </w:t>
      </w:r>
      <w:r w:rsidR="005A3F49">
        <w:tab/>
      </w:r>
      <w:r w:rsidRPr="00AF2FA9">
        <w:rPr>
          <w:i/>
          <w:iCs/>
        </w:rPr>
        <w:t>Commercial Passenger Vehicle Industry Act 2017</w:t>
      </w:r>
      <w:r w:rsidRPr="00B26D57">
        <w:t xml:space="preserve">, s 122(1); </w:t>
      </w:r>
      <w:r w:rsidRPr="00AF2FA9">
        <w:rPr>
          <w:i/>
          <w:iCs/>
        </w:rPr>
        <w:t>Essential Services Commission Act 2001</w:t>
      </w:r>
      <w:r w:rsidRPr="00B26D57">
        <w:t>, s 8(1).</w:t>
      </w:r>
    </w:p>
  </w:footnote>
  <w:footnote w:id="49">
    <w:p w14:paraId="20327C83" w14:textId="1AEB0FEC" w:rsidR="006D2BD1" w:rsidRDefault="006D2BD1" w:rsidP="005A3F49">
      <w:pPr>
        <w:pStyle w:val="FootnoteText"/>
        <w:ind w:left="284" w:hanging="284"/>
      </w:pPr>
      <w:r>
        <w:rPr>
          <w:rStyle w:val="FootnoteReference"/>
        </w:rPr>
        <w:footnoteRef/>
      </w:r>
      <w:r>
        <w:t xml:space="preserve"> </w:t>
      </w:r>
      <w:r w:rsidR="005A3F49">
        <w:tab/>
      </w:r>
      <w:r w:rsidRPr="00AF2FA9">
        <w:rPr>
          <w:i/>
          <w:iCs/>
        </w:rPr>
        <w:t>Commercial Passenger Vehicle Industry Act 2017</w:t>
      </w:r>
      <w:r w:rsidRPr="006D2BD1">
        <w:t>, s 122(2).</w:t>
      </w:r>
    </w:p>
  </w:footnote>
  <w:footnote w:id="50">
    <w:p w14:paraId="79EBF399" w14:textId="027BFCA8" w:rsidR="00A73FEA" w:rsidRDefault="00A73FEA" w:rsidP="002669E5">
      <w:pPr>
        <w:pStyle w:val="FootnoteText"/>
        <w:ind w:left="284" w:hanging="284"/>
      </w:pPr>
      <w:r>
        <w:rPr>
          <w:rStyle w:val="FootnoteReference"/>
        </w:rPr>
        <w:footnoteRef/>
      </w:r>
      <w:r>
        <w:t xml:space="preserve"> </w:t>
      </w:r>
      <w:r w:rsidR="002669E5">
        <w:tab/>
      </w:r>
      <w:r w:rsidR="009D2B15">
        <w:t xml:space="preserve">Essential Services Commission 2018, Taxi non-cash payment surcharge review 2019, </w:t>
      </w:r>
      <w:r w:rsidR="00722BA4">
        <w:t xml:space="preserve">December, p. </w:t>
      </w:r>
      <w:r w:rsidR="00C01311">
        <w:t>9</w:t>
      </w:r>
      <w:r w:rsidR="000034F6">
        <w:t>.</w:t>
      </w:r>
    </w:p>
  </w:footnote>
  <w:footnote w:id="51">
    <w:p w14:paraId="5C05DC00" w14:textId="2C20A421" w:rsidR="008F75F8" w:rsidRDefault="008F75F8" w:rsidP="008D5CE7">
      <w:pPr>
        <w:pStyle w:val="FootnoteText"/>
        <w:ind w:left="284" w:hanging="284"/>
      </w:pPr>
      <w:r>
        <w:rPr>
          <w:rStyle w:val="FootnoteReference"/>
        </w:rPr>
        <w:footnoteRef/>
      </w:r>
      <w:r>
        <w:t xml:space="preserve"> </w:t>
      </w:r>
      <w:r w:rsidR="00364EB1">
        <w:tab/>
      </w:r>
      <w:r w:rsidR="00A11139">
        <w:t xml:space="preserve">Some payment providers choose to purchase </w:t>
      </w:r>
      <w:r w:rsidR="009F39DA">
        <w:t xml:space="preserve">the </w:t>
      </w:r>
      <w:r w:rsidR="00A11139">
        <w:t>payment terminals</w:t>
      </w:r>
      <w:r w:rsidR="009F39DA">
        <w:t xml:space="preserve"> they supply to drivers, while others</w:t>
      </w:r>
      <w:r w:rsidR="00AE263C">
        <w:t xml:space="preserve"> choose to </w:t>
      </w:r>
      <w:r w:rsidR="007C5BC4">
        <w:t>rent these</w:t>
      </w:r>
      <w:r w:rsidR="000B44B4">
        <w:t>.</w:t>
      </w:r>
      <w:r w:rsidR="00A11139">
        <w:t xml:space="preserve"> </w:t>
      </w:r>
    </w:p>
  </w:footnote>
  <w:footnote w:id="52">
    <w:p w14:paraId="69EC02F4" w14:textId="14B65070" w:rsidR="001D4886" w:rsidRPr="00E148F2" w:rsidRDefault="001D4886" w:rsidP="00040EA4">
      <w:pPr>
        <w:pStyle w:val="FootnoteText"/>
        <w:ind w:left="284" w:hanging="284"/>
      </w:pPr>
      <w:r>
        <w:rPr>
          <w:rStyle w:val="FootnoteReference"/>
        </w:rPr>
        <w:footnoteRef/>
      </w:r>
      <w:r>
        <w:t xml:space="preserve"> </w:t>
      </w:r>
      <w:r w:rsidR="009D4421">
        <w:tab/>
      </w:r>
      <w:r w:rsidR="00444C1C">
        <w:t>For example, see</w:t>
      </w:r>
      <w:r w:rsidR="00D56B3A">
        <w:t xml:space="preserve"> Chapter 3 and Appendix B from </w:t>
      </w:r>
      <w:r w:rsidR="00444C1C">
        <w:t xml:space="preserve">our 2022 decision: </w:t>
      </w:r>
      <w:r w:rsidR="00C466B6">
        <w:t>Essential Services Commission</w:t>
      </w:r>
      <w:r w:rsidR="00AB7D1B">
        <w:t xml:space="preserve">, </w:t>
      </w:r>
      <w:r w:rsidR="00E148F2">
        <w:rPr>
          <w:i/>
          <w:iCs/>
        </w:rPr>
        <w:t>Taxi Non-Cash Payment Surcharge Review 2022</w:t>
      </w:r>
      <w:r w:rsidR="00E148F2">
        <w:t xml:space="preserve">, </w:t>
      </w:r>
      <w:r w:rsidR="00BB508B">
        <w:t>August 2022</w:t>
      </w:r>
      <w:r w:rsidR="00CF1EC3">
        <w:t xml:space="preserve">. </w:t>
      </w:r>
    </w:p>
  </w:footnote>
  <w:footnote w:id="53">
    <w:p w14:paraId="3E952AFE" w14:textId="2CB4C922" w:rsidR="007C649F" w:rsidRDefault="007C649F" w:rsidP="007D1A76">
      <w:pPr>
        <w:pStyle w:val="FootnoteText"/>
        <w:ind w:left="284" w:hanging="284"/>
      </w:pPr>
      <w:r>
        <w:rPr>
          <w:rStyle w:val="FootnoteReference"/>
        </w:rPr>
        <w:footnoteRef/>
      </w:r>
      <w:r>
        <w:t xml:space="preserve"> </w:t>
      </w:r>
      <w:r w:rsidR="00673451">
        <w:tab/>
      </w:r>
      <w:r w:rsidR="007D1A76" w:rsidRPr="007D1A76">
        <w:t xml:space="preserve">See our 2019 decision: Essential Services Commission, </w:t>
      </w:r>
      <w:r w:rsidR="007D1A76" w:rsidRPr="00A0387F">
        <w:rPr>
          <w:i/>
          <w:iCs/>
        </w:rPr>
        <w:t>Taxi Non-Cash Payment Surcharge Review 2019</w:t>
      </w:r>
      <w:r w:rsidR="007D1A76" w:rsidRPr="007D1A76">
        <w:t>, Final Decision, March 2020</w:t>
      </w:r>
      <w:r w:rsidR="007D1A76">
        <w:t>.</w:t>
      </w:r>
    </w:p>
  </w:footnote>
  <w:footnote w:id="54">
    <w:p w14:paraId="6ED2AD7F" w14:textId="62664A75" w:rsidR="00A0387F" w:rsidRDefault="00A0387F" w:rsidP="001B563D">
      <w:pPr>
        <w:pStyle w:val="FootnoteText"/>
        <w:ind w:left="284" w:hanging="284"/>
      </w:pPr>
      <w:r>
        <w:rPr>
          <w:rStyle w:val="FootnoteReference"/>
        </w:rPr>
        <w:footnoteRef/>
      </w:r>
      <w:r>
        <w:t xml:space="preserve"> </w:t>
      </w:r>
      <w:r w:rsidR="000E334F">
        <w:tab/>
      </w:r>
      <w:r w:rsidR="000E334F" w:rsidRPr="007D1A76">
        <w:t>See our 20</w:t>
      </w:r>
      <w:r w:rsidR="000E334F">
        <w:t>22</w:t>
      </w:r>
      <w:r w:rsidR="000E334F" w:rsidRPr="007D1A76">
        <w:t xml:space="preserve"> decision: Essential Services Commission, </w:t>
      </w:r>
      <w:r w:rsidR="000E334F" w:rsidRPr="00A0387F">
        <w:rPr>
          <w:i/>
          <w:iCs/>
        </w:rPr>
        <w:t>Taxi Non-Cash Payment Surcharge Review 20</w:t>
      </w:r>
      <w:r w:rsidR="00446E84">
        <w:rPr>
          <w:i/>
          <w:iCs/>
        </w:rPr>
        <w:t>22</w:t>
      </w:r>
      <w:r w:rsidR="000E334F" w:rsidRPr="007D1A76">
        <w:t xml:space="preserve">, Final Decision, </w:t>
      </w:r>
      <w:r w:rsidR="00446E84">
        <w:t>September</w:t>
      </w:r>
      <w:r w:rsidR="000E334F" w:rsidRPr="007D1A76">
        <w:t xml:space="preserve"> 202</w:t>
      </w:r>
      <w:r w:rsidR="00446E84">
        <w:t>2</w:t>
      </w:r>
      <w:r w:rsidR="001E021C">
        <w:t>.</w:t>
      </w:r>
    </w:p>
  </w:footnote>
  <w:footnote w:id="55">
    <w:p w14:paraId="4F5AF40A" w14:textId="693167D2" w:rsidR="00BC69C6" w:rsidRDefault="00BC69C6" w:rsidP="005A3F49">
      <w:pPr>
        <w:pStyle w:val="FootnoteText"/>
        <w:ind w:left="284" w:hanging="284"/>
      </w:pPr>
      <w:r>
        <w:rPr>
          <w:rStyle w:val="FootnoteReference"/>
        </w:rPr>
        <w:footnoteRef/>
      </w:r>
      <w:r>
        <w:t xml:space="preserve"> </w:t>
      </w:r>
      <w:r w:rsidR="005A3F49">
        <w:tab/>
      </w:r>
      <w:r w:rsidRPr="00BC69C6">
        <w:t>A2B’s submission outlined that the amount of fares processed was 26 per cent lower in October 2023 than October 2019. This was similar to the change in total CPV levy revenue from 2019-20 to 2022-23 so we consider it is a reasonable scenario for this benchmarking analysis. The CPV levy is charged on every commercial passenger vehicle trip.</w:t>
      </w:r>
    </w:p>
  </w:footnote>
  <w:footnote w:id="56">
    <w:p w14:paraId="25818FBB" w14:textId="77777777" w:rsidR="0042798A" w:rsidRDefault="0042798A" w:rsidP="0042798A">
      <w:pPr>
        <w:pStyle w:val="FootnoteText"/>
        <w:ind w:left="284" w:hanging="284"/>
      </w:pPr>
      <w:r>
        <w:rPr>
          <w:rStyle w:val="FootnoteReference"/>
        </w:rPr>
        <w:footnoteRef/>
      </w:r>
      <w:r>
        <w:t xml:space="preserve"> </w:t>
      </w:r>
      <w:r>
        <w:tab/>
        <w:t>This means that unbooked taxi services can use A2B, GM Cabs and Silver Top, or Oiii to meet their licencing requirement to have a terminal that can process Multi Purpose Taxi Program (MPTP) trips. Customers can also access booked MPTP trips via Uber and Get Picked Up.</w:t>
      </w:r>
    </w:p>
  </w:footnote>
  <w:footnote w:id="57">
    <w:p w14:paraId="74BCAF97" w14:textId="21E0B0E7" w:rsidR="000762D1" w:rsidRDefault="000762D1" w:rsidP="00F21E2D">
      <w:pPr>
        <w:pStyle w:val="FootnoteText"/>
        <w:ind w:left="284" w:hanging="284"/>
      </w:pPr>
      <w:r>
        <w:rPr>
          <w:rStyle w:val="FootnoteReference"/>
        </w:rPr>
        <w:footnoteRef/>
      </w:r>
      <w:r>
        <w:t xml:space="preserve"> </w:t>
      </w:r>
      <w:r w:rsidR="00F21E2D">
        <w:tab/>
      </w:r>
      <w:r w:rsidR="00B35228" w:rsidRPr="00B35228">
        <w:t xml:space="preserve">As a condition of registration, unbooked taxis are required to be able to provide services for the Multi Purpose Taxi Program (MPTP). Historically, </w:t>
      </w:r>
      <w:r w:rsidR="00336767" w:rsidRPr="00334C30">
        <w:t xml:space="preserve">A2B has </w:t>
      </w:r>
      <w:r w:rsidR="00AE085A" w:rsidRPr="00334C30">
        <w:t>been the monopoly provider of</w:t>
      </w:r>
      <w:r w:rsidR="00B35228" w:rsidRPr="00334C30">
        <w:t xml:space="preserve"> </w:t>
      </w:r>
      <w:r w:rsidR="00B70AB2" w:rsidRPr="00334C30">
        <w:t>MPTP approved terminals</w:t>
      </w:r>
      <w:r w:rsidR="00B35228" w:rsidRPr="00334C30">
        <w:t xml:space="preserve">. If we set a </w:t>
      </w:r>
      <w:r w:rsidR="00FD58E4">
        <w:t>maximum</w:t>
      </w:r>
      <w:r w:rsidR="00B35228" w:rsidRPr="00334C30">
        <w:t xml:space="preserve"> surcharge that only allowed a single </w:t>
      </w:r>
      <w:r w:rsidR="00334C30" w:rsidRPr="00334C30">
        <w:t>terminal</w:t>
      </w:r>
      <w:r w:rsidR="00B35228" w:rsidRPr="00334C30">
        <w:t>, a</w:t>
      </w:r>
      <w:r w:rsidR="00B35228" w:rsidRPr="00B35228">
        <w:t xml:space="preserve"> potential consequence might be that most taxi drivers would be limited to using </w:t>
      </w:r>
      <w:r w:rsidR="00A46E94">
        <w:t>MPTP approved</w:t>
      </w:r>
      <w:r w:rsidR="00B35228" w:rsidRPr="00B35228">
        <w:t xml:space="preserve"> terminal</w:t>
      </w:r>
      <w:r w:rsidR="00B460AB">
        <w:t>s, reducing competition in the sector</w:t>
      </w:r>
      <w:r w:rsidR="00B35228">
        <w:t xml:space="preserve">. </w:t>
      </w:r>
      <w:r w:rsidR="00B35228" w:rsidRPr="00654416">
        <w:t xml:space="preserve">See our draft decision: </w:t>
      </w:r>
      <w:r w:rsidR="00C242F1" w:rsidRPr="00654416">
        <w:t>Essential</w:t>
      </w:r>
      <w:r w:rsidR="00C242F1" w:rsidRPr="007D1A76">
        <w:t xml:space="preserve"> Services Commission</w:t>
      </w:r>
      <w:r w:rsidR="00654416">
        <w:t xml:space="preserve"> 2024,</w:t>
      </w:r>
      <w:r w:rsidR="00C242F1" w:rsidRPr="007D1A76">
        <w:t xml:space="preserve"> </w:t>
      </w:r>
      <w:r w:rsidR="00671A92">
        <w:rPr>
          <w:i/>
          <w:iCs/>
        </w:rPr>
        <w:t>Review of the maximum unbooked taxi fares and n</w:t>
      </w:r>
      <w:r w:rsidR="00C242F1" w:rsidRPr="00A0387F">
        <w:rPr>
          <w:i/>
          <w:iCs/>
        </w:rPr>
        <w:t>on-</w:t>
      </w:r>
      <w:r w:rsidR="00671A92">
        <w:rPr>
          <w:i/>
          <w:iCs/>
        </w:rPr>
        <w:t>c</w:t>
      </w:r>
      <w:r w:rsidR="00C242F1" w:rsidRPr="00A0387F">
        <w:rPr>
          <w:i/>
          <w:iCs/>
        </w:rPr>
        <w:t>ash</w:t>
      </w:r>
      <w:r w:rsidR="00671A92">
        <w:rPr>
          <w:i/>
          <w:iCs/>
        </w:rPr>
        <w:t xml:space="preserve"> p</w:t>
      </w:r>
      <w:r w:rsidR="00C242F1" w:rsidRPr="00A0387F">
        <w:rPr>
          <w:i/>
          <w:iCs/>
        </w:rPr>
        <w:t xml:space="preserve">ayment </w:t>
      </w:r>
      <w:r w:rsidR="00654416">
        <w:rPr>
          <w:i/>
          <w:iCs/>
        </w:rPr>
        <w:t>surcharges</w:t>
      </w:r>
      <w:r w:rsidR="00C242F1" w:rsidRPr="007D1A76">
        <w:t xml:space="preserve">, </w:t>
      </w:r>
      <w:r w:rsidR="00654416">
        <w:t>Draft</w:t>
      </w:r>
      <w:r w:rsidR="00C242F1" w:rsidRPr="007D1A76">
        <w:t xml:space="preserve"> Decision, </w:t>
      </w:r>
      <w:r w:rsidR="00654416">
        <w:t>June</w:t>
      </w:r>
      <w:r w:rsidR="00C242F1" w:rsidRPr="007D1A76">
        <w:t xml:space="preserve"> 202</w:t>
      </w:r>
      <w:r w:rsidR="00654416">
        <w:t>4.</w:t>
      </w:r>
    </w:p>
  </w:footnote>
  <w:footnote w:id="58">
    <w:p w14:paraId="5D2B8F87" w14:textId="77777777" w:rsidR="00FD0D73" w:rsidRDefault="00FD0D73" w:rsidP="00FD0D73">
      <w:pPr>
        <w:pStyle w:val="FootnoteText"/>
        <w:ind w:left="284" w:hanging="284"/>
      </w:pPr>
      <w:r>
        <w:rPr>
          <w:rStyle w:val="FootnoteReference"/>
        </w:rPr>
        <w:footnoteRef/>
      </w:r>
      <w:r>
        <w:t xml:space="preserve"> </w:t>
      </w:r>
      <w:r>
        <w:tab/>
      </w:r>
      <w:r w:rsidRPr="007C62B6">
        <w:t xml:space="preserve">However, we note there may be other competition issues that arise even if access to MPTP processing is more widespread. This could be due to access to default terminals provided by booking service providers and conditions around how payment terminals integrate with taximeters.  </w:t>
      </w:r>
    </w:p>
  </w:footnote>
  <w:footnote w:id="59">
    <w:p w14:paraId="33384372" w14:textId="77777777" w:rsidR="00501E31" w:rsidRDefault="00501E31" w:rsidP="00501E31">
      <w:pPr>
        <w:pStyle w:val="FootnoteText"/>
        <w:ind w:left="284" w:hanging="284"/>
      </w:pPr>
      <w:r>
        <w:rPr>
          <w:rStyle w:val="FootnoteReference"/>
        </w:rPr>
        <w:footnoteRef/>
      </w:r>
      <w:r>
        <w:t xml:space="preserve"> </w:t>
      </w:r>
      <w:r>
        <w:tab/>
        <w:t>Black &amp; White Cabs, submission to the Essential Services Commission draft decision paper ‘Taxi reviews 2024: unbooked taxi fares and non-cash payment surcharge’, 21 June 2024.</w:t>
      </w:r>
    </w:p>
  </w:footnote>
  <w:footnote w:id="60">
    <w:p w14:paraId="436FC02E" w14:textId="77777777" w:rsidR="00501E31" w:rsidRDefault="00501E31" w:rsidP="00501E31">
      <w:pPr>
        <w:pStyle w:val="FootnoteText"/>
        <w:ind w:left="284" w:hanging="284"/>
      </w:pPr>
      <w:r>
        <w:rPr>
          <w:rStyle w:val="FootnoteReference"/>
        </w:rPr>
        <w:footnoteRef/>
      </w:r>
      <w:r>
        <w:t xml:space="preserve"> </w:t>
      </w:r>
      <w:r>
        <w:tab/>
        <w:t>GM Cabs, submission to the Essential Services Commission draft decision paper ‘Taxi reviews 2024: unbooked taxi fares and non-cash payment surcharge’, 12 July 2024.</w:t>
      </w:r>
    </w:p>
  </w:footnote>
  <w:footnote w:id="61">
    <w:p w14:paraId="6EFA4B5A" w14:textId="6F626A95" w:rsidR="005C449F" w:rsidRDefault="005C449F" w:rsidP="0046575E">
      <w:pPr>
        <w:pStyle w:val="FootnoteText"/>
        <w:ind w:left="284" w:hanging="284"/>
      </w:pPr>
      <w:r>
        <w:rPr>
          <w:rStyle w:val="FootnoteReference"/>
        </w:rPr>
        <w:footnoteRef/>
      </w:r>
      <w:r>
        <w:t xml:space="preserve"> </w:t>
      </w:r>
      <w:r w:rsidR="00026617">
        <w:tab/>
      </w:r>
      <w:r w:rsidRPr="005C449F">
        <w:t>VISA</w:t>
      </w:r>
      <w:r w:rsidR="00A10CB4">
        <w:t xml:space="preserve">, </w:t>
      </w:r>
      <w:r w:rsidR="006824EA">
        <w:t>submission to the Essential Services Commission consultation paper ‘Taxi reviews 2024: unbooked taxi fares and non-cash payment surcharge’,</w:t>
      </w:r>
      <w:r w:rsidR="00A10CB4">
        <w:t xml:space="preserve"> </w:t>
      </w:r>
      <w:r w:rsidR="00205566">
        <w:t>15 December 2023</w:t>
      </w:r>
      <w:r w:rsidR="00EE6B26">
        <w:t>;</w:t>
      </w:r>
      <w:r w:rsidRPr="005C449F">
        <w:t xml:space="preserve"> </w:t>
      </w:r>
      <w:r w:rsidR="001754F1">
        <w:t>A</w:t>
      </w:r>
      <w:r w:rsidRPr="005C449F">
        <w:t>nonymous</w:t>
      </w:r>
      <w:r w:rsidR="00205566">
        <w:t xml:space="preserve">, </w:t>
      </w:r>
      <w:r w:rsidR="00EE6B26">
        <w:t>submission to the Essential Services Commission consultation paper</w:t>
      </w:r>
      <w:r w:rsidR="00EE6B26" w:rsidRPr="00C928FA">
        <w:t xml:space="preserve"> </w:t>
      </w:r>
      <w:r w:rsidR="00EE6B26">
        <w:t>‘Taxi reviews 2024: unbooked taxi fares and non-cash payment surcharge’,</w:t>
      </w:r>
      <w:r w:rsidR="00205566">
        <w:t xml:space="preserve"> </w:t>
      </w:r>
      <w:r w:rsidR="00342A0C">
        <w:t>30</w:t>
      </w:r>
      <w:r w:rsidR="00FA4CD0">
        <w:t> </w:t>
      </w:r>
      <w:r w:rsidR="00342A0C">
        <w:t xml:space="preserve">October </w:t>
      </w:r>
      <w:r w:rsidR="00BA53D0">
        <w:t>2023.</w:t>
      </w:r>
    </w:p>
  </w:footnote>
  <w:footnote w:id="62">
    <w:p w14:paraId="5E75539F" w14:textId="19A736A6" w:rsidR="00FD5FD8" w:rsidRDefault="00FD5FD8" w:rsidP="0046575E">
      <w:pPr>
        <w:pStyle w:val="FootnoteText"/>
        <w:ind w:left="284" w:hanging="284"/>
      </w:pPr>
      <w:r>
        <w:rPr>
          <w:rStyle w:val="FootnoteReference"/>
        </w:rPr>
        <w:footnoteRef/>
      </w:r>
      <w:r>
        <w:t xml:space="preserve"> </w:t>
      </w:r>
      <w:r w:rsidR="00026617">
        <w:tab/>
      </w:r>
      <w:r w:rsidRPr="00FD5FD8">
        <w:t>A2B</w:t>
      </w:r>
      <w:r w:rsidR="00765C83">
        <w:t xml:space="preserve">, </w:t>
      </w:r>
      <w:r w:rsidR="006824EA">
        <w:t>submission to the Essential Services Commission consultation paper ‘Taxi reviews 2024: unbooked taxi fares and non-cash payment surcharge’,</w:t>
      </w:r>
      <w:r w:rsidR="00765C83">
        <w:t xml:space="preserve"> </w:t>
      </w:r>
      <w:r w:rsidR="00C41708">
        <w:t>2</w:t>
      </w:r>
      <w:r w:rsidR="005D36A2">
        <w:t>0</w:t>
      </w:r>
      <w:r w:rsidR="00C41708">
        <w:t xml:space="preserve"> December 2023</w:t>
      </w:r>
      <w:r w:rsidR="00EE6B26">
        <w:t>;</w:t>
      </w:r>
      <w:r w:rsidRPr="00FD5FD8">
        <w:t xml:space="preserve"> GM cabs</w:t>
      </w:r>
      <w:r w:rsidR="005D36A2">
        <w:t xml:space="preserve">, </w:t>
      </w:r>
      <w:r w:rsidR="006824EA">
        <w:t>submission to the Essential Services Commission consultation paper ‘Taxi reviews 2024: unbooked taxi fares and non-cash payment surcharge’,</w:t>
      </w:r>
      <w:r w:rsidR="005D36A2">
        <w:t xml:space="preserve"> 22 December</w:t>
      </w:r>
      <w:r w:rsidR="00EE6B26">
        <w:t>;</w:t>
      </w:r>
      <w:r w:rsidRPr="00FD5FD8">
        <w:t xml:space="preserve"> anonymous</w:t>
      </w:r>
      <w:r w:rsidR="005D36A2">
        <w:t xml:space="preserve">, </w:t>
      </w:r>
      <w:r w:rsidR="00EE6B26">
        <w:t>submission to the Essential Services Commission consultation paper</w:t>
      </w:r>
      <w:r w:rsidR="00EE6B26" w:rsidRPr="00C928FA">
        <w:t xml:space="preserve"> </w:t>
      </w:r>
      <w:r w:rsidR="00EE6B26">
        <w:t>‘Taxi reviews 2024: unbooked taxi fares and non-cash payment surcharge’,</w:t>
      </w:r>
      <w:r w:rsidR="005D36A2">
        <w:t xml:space="preserve"> </w:t>
      </w:r>
      <w:r w:rsidR="00E82D8F">
        <w:t>12 December 2023</w:t>
      </w:r>
      <w:r>
        <w:t>.</w:t>
      </w:r>
    </w:p>
  </w:footnote>
  <w:footnote w:id="63">
    <w:p w14:paraId="61492C6C" w14:textId="0C7E6CA2" w:rsidR="00772B55" w:rsidRDefault="00772B55" w:rsidP="00941C22">
      <w:pPr>
        <w:pStyle w:val="FootnoteText"/>
        <w:ind w:left="284" w:hanging="284"/>
      </w:pPr>
      <w:r>
        <w:rPr>
          <w:rStyle w:val="FootnoteReference"/>
        </w:rPr>
        <w:footnoteRef/>
      </w:r>
      <w:r>
        <w:t xml:space="preserve"> </w:t>
      </w:r>
      <w:r w:rsidR="000A5F9F">
        <w:tab/>
        <w:t xml:space="preserve">Essential Services Commission 2024, </w:t>
      </w:r>
      <w:r w:rsidR="000A5F9F" w:rsidRPr="009D0003">
        <w:rPr>
          <w:i/>
          <w:iCs/>
        </w:rPr>
        <w:t>Review of the maximum unbooked taxi fares and non-cash payment surcharges: Draft decision,</w:t>
      </w:r>
      <w:r w:rsidR="000A5F9F">
        <w:t xml:space="preserve"> 5 June, p</w:t>
      </w:r>
      <w:r w:rsidR="00ED7AEA">
        <w:t>p. 28</w:t>
      </w:r>
      <w:r w:rsidR="000237EB">
        <w:t>-29</w:t>
      </w:r>
      <w:r w:rsidR="00FD2348">
        <w:t>.</w:t>
      </w:r>
    </w:p>
  </w:footnote>
  <w:footnote w:id="64">
    <w:p w14:paraId="7A86AA3D" w14:textId="52447B1F" w:rsidR="00772B55" w:rsidRDefault="00772B55" w:rsidP="00941C22">
      <w:pPr>
        <w:pStyle w:val="FootnoteText"/>
        <w:ind w:left="284" w:hanging="284"/>
      </w:pPr>
      <w:r>
        <w:rPr>
          <w:rStyle w:val="FootnoteReference"/>
        </w:rPr>
        <w:footnoteRef/>
      </w:r>
      <w:r>
        <w:t xml:space="preserve"> </w:t>
      </w:r>
      <w:r w:rsidR="000237EB">
        <w:tab/>
      </w:r>
      <w:r w:rsidR="00284499" w:rsidRPr="009D0003">
        <w:t>i</w:t>
      </w:r>
      <w:r w:rsidR="000237EB" w:rsidRPr="009D0003">
        <w:t>bid</w:t>
      </w:r>
      <w:r w:rsidR="000237EB">
        <w:t xml:space="preserve"> </w:t>
      </w:r>
      <w:r w:rsidR="00A81A72">
        <w:t>p</w:t>
      </w:r>
      <w:r w:rsidR="00284499">
        <w:t>p</w:t>
      </w:r>
      <w:r w:rsidR="00654672">
        <w:t>. 29-30</w:t>
      </w:r>
      <w:r w:rsidR="00FD2348">
        <w:t>.</w:t>
      </w:r>
    </w:p>
  </w:footnote>
  <w:footnote w:id="65">
    <w:p w14:paraId="40F24980" w14:textId="2F24E126" w:rsidR="00772B55" w:rsidRDefault="00772B55" w:rsidP="00941C22">
      <w:pPr>
        <w:pStyle w:val="FootnoteText"/>
        <w:ind w:left="284" w:hanging="284"/>
      </w:pPr>
      <w:r>
        <w:rPr>
          <w:rStyle w:val="FootnoteReference"/>
        </w:rPr>
        <w:footnoteRef/>
      </w:r>
      <w:r>
        <w:t xml:space="preserve"> </w:t>
      </w:r>
      <w:r w:rsidR="00654672">
        <w:tab/>
      </w:r>
      <w:r w:rsidR="00284499" w:rsidRPr="00284499">
        <w:t>i</w:t>
      </w:r>
      <w:r w:rsidR="00654672" w:rsidRPr="009D0003">
        <w:t>bid</w:t>
      </w:r>
      <w:r w:rsidR="00654672">
        <w:t xml:space="preserve"> p</w:t>
      </w:r>
      <w:r w:rsidR="00284499">
        <w:t>p</w:t>
      </w:r>
      <w:r w:rsidR="00654672">
        <w:t>. 30-31</w:t>
      </w:r>
      <w:r w:rsidR="00FD2348">
        <w:t>.</w:t>
      </w:r>
    </w:p>
  </w:footnote>
  <w:footnote w:id="66">
    <w:p w14:paraId="03320938" w14:textId="49AB045C" w:rsidR="00772B55" w:rsidRDefault="00772B55" w:rsidP="00941C22">
      <w:pPr>
        <w:pStyle w:val="FootnoteText"/>
        <w:ind w:left="284" w:hanging="284"/>
      </w:pPr>
      <w:r>
        <w:rPr>
          <w:rStyle w:val="FootnoteReference"/>
        </w:rPr>
        <w:footnoteRef/>
      </w:r>
      <w:r>
        <w:t xml:space="preserve"> </w:t>
      </w:r>
      <w:r w:rsidR="00654672">
        <w:tab/>
      </w:r>
      <w:r w:rsidR="00284499" w:rsidRPr="00284499">
        <w:t>i</w:t>
      </w:r>
      <w:r w:rsidR="00654672" w:rsidRPr="009D0003">
        <w:t>bid</w:t>
      </w:r>
      <w:r w:rsidR="00654672">
        <w:t xml:space="preserve"> p</w:t>
      </w:r>
      <w:r w:rsidR="00284499">
        <w:t>p</w:t>
      </w:r>
      <w:r w:rsidR="00654672">
        <w:t>. 30-31</w:t>
      </w:r>
      <w:r w:rsidR="00FD2348">
        <w:t>.</w:t>
      </w:r>
    </w:p>
  </w:footnote>
  <w:footnote w:id="67">
    <w:p w14:paraId="0143FA95" w14:textId="2E672093" w:rsidR="00392AB9" w:rsidRDefault="00392AB9" w:rsidP="00941C22">
      <w:pPr>
        <w:pStyle w:val="FootnoteText"/>
        <w:ind w:left="284" w:hanging="284"/>
      </w:pPr>
      <w:r>
        <w:rPr>
          <w:rStyle w:val="FootnoteReference"/>
        </w:rPr>
        <w:footnoteRef/>
      </w:r>
      <w:r>
        <w:t xml:space="preserve"> </w:t>
      </w:r>
      <w:r w:rsidR="004A13FE">
        <w:tab/>
      </w:r>
      <w:r w:rsidR="004A13FE" w:rsidRPr="005C449F">
        <w:t>VISA</w:t>
      </w:r>
      <w:r w:rsidR="004A13FE">
        <w:t>, submission to the Essential Services Commission draft decision paper ‘Taxi reviews 2024: unbooked taxi fares and non-cash payment surcharge’, 12 July 2024</w:t>
      </w:r>
      <w:r>
        <w:t>, Name withheld 3</w:t>
      </w:r>
      <w:r w:rsidR="005C0966">
        <w:t xml:space="preserve">, submission to the Essential Services Commission draft decision paper ‘Taxi review 2024: unbooked taxi fares and non-cash payment surcharge’, </w:t>
      </w:r>
      <w:r w:rsidR="00AB0352">
        <w:t>17 June 2024</w:t>
      </w:r>
      <w:r w:rsidR="00FD2348">
        <w:t>.</w:t>
      </w:r>
    </w:p>
  </w:footnote>
  <w:footnote w:id="68">
    <w:p w14:paraId="43998D89" w14:textId="101C6D51" w:rsidR="00022BC4" w:rsidRDefault="00022BC4" w:rsidP="00941C22">
      <w:pPr>
        <w:pStyle w:val="FootnoteText"/>
        <w:ind w:left="284" w:hanging="284"/>
      </w:pPr>
      <w:r>
        <w:rPr>
          <w:rStyle w:val="FootnoteReference"/>
        </w:rPr>
        <w:footnoteRef/>
      </w:r>
      <w:r>
        <w:t xml:space="preserve"> </w:t>
      </w:r>
      <w:r w:rsidR="004A13FE">
        <w:tab/>
      </w:r>
      <w:r w:rsidR="004A13FE" w:rsidRPr="005C449F">
        <w:t>VISA</w:t>
      </w:r>
      <w:r w:rsidR="004A13FE">
        <w:t>, submission to the Essential Services Commission draft decision paper ‘Taxi reviews 2024: unbooked taxi fares and non-cash payment surcharge’, 12 July 2024</w:t>
      </w:r>
      <w:r w:rsidR="00FD2348">
        <w:t>.</w:t>
      </w:r>
    </w:p>
  </w:footnote>
  <w:footnote w:id="69">
    <w:p w14:paraId="5F9A2BC2" w14:textId="3848F187" w:rsidR="006B57BC" w:rsidRDefault="006B57BC" w:rsidP="006B57BC">
      <w:pPr>
        <w:pStyle w:val="FootnoteText"/>
        <w:ind w:left="284" w:hanging="284"/>
      </w:pPr>
      <w:r>
        <w:rPr>
          <w:rStyle w:val="FootnoteReference"/>
        </w:rPr>
        <w:footnoteRef/>
      </w:r>
      <w:r>
        <w:t xml:space="preserve"> </w:t>
      </w:r>
      <w:r>
        <w:tab/>
      </w:r>
      <w:r w:rsidRPr="00B34665">
        <w:t>Visa</w:t>
      </w:r>
      <w:r>
        <w:t>, submission to the Essential Services Commission consultation paper ‘Taxi reviews 2024: unbooked taxi fares and non-cash payment surcharge’, 15 December 2023, Visa</w:t>
      </w:r>
      <w:r w:rsidR="00ED6F63">
        <w:t xml:space="preserve">, submission to the Essential Services Commission draft decision </w:t>
      </w:r>
      <w:r w:rsidR="009E6459">
        <w:t>paper</w:t>
      </w:r>
      <w:r w:rsidR="00ED6F63">
        <w:t xml:space="preserve"> ‘Taxi reviews 2024: unbooked taxi fares an</w:t>
      </w:r>
      <w:r w:rsidR="009938B3">
        <w:t>d</w:t>
      </w:r>
      <w:r w:rsidR="00ED6F63">
        <w:t xml:space="preserve"> non-cash payment surcharge’, </w:t>
      </w:r>
      <w:r w:rsidR="005C419E">
        <w:t>12 July 2024</w:t>
      </w:r>
      <w:r w:rsidR="007B0598">
        <w:t>.</w:t>
      </w:r>
    </w:p>
  </w:footnote>
  <w:footnote w:id="70">
    <w:p w14:paraId="4D731296" w14:textId="5AA18B3F" w:rsidR="00B62BC7" w:rsidRDefault="00B62BC7" w:rsidP="00565117">
      <w:pPr>
        <w:pStyle w:val="FootnoteText"/>
        <w:ind w:left="284" w:hanging="284"/>
      </w:pPr>
      <w:r>
        <w:rPr>
          <w:rStyle w:val="FootnoteReference"/>
        </w:rPr>
        <w:footnoteRef/>
      </w:r>
      <w:r>
        <w:t xml:space="preserve"> </w:t>
      </w:r>
      <w:r w:rsidR="00154AD8">
        <w:tab/>
      </w:r>
      <w:r w:rsidRPr="00B62BC7">
        <w:t>https://www.rba.gov.au/speeches/2024/sp-so-2024-06-18.html</w:t>
      </w:r>
      <w:r w:rsidR="00154AD8">
        <w:t>.</w:t>
      </w:r>
    </w:p>
  </w:footnote>
  <w:footnote w:id="71">
    <w:p w14:paraId="281527A8" w14:textId="3576BD89" w:rsidR="009B12F3" w:rsidRDefault="009B12F3" w:rsidP="0046575E">
      <w:pPr>
        <w:pStyle w:val="FootnoteText"/>
        <w:ind w:left="284" w:hanging="284"/>
      </w:pPr>
      <w:r>
        <w:rPr>
          <w:rStyle w:val="FootnoteReference"/>
        </w:rPr>
        <w:footnoteRef/>
      </w:r>
      <w:r>
        <w:t xml:space="preserve"> </w:t>
      </w:r>
      <w:r w:rsidR="0046575E">
        <w:tab/>
      </w:r>
      <w:r w:rsidRPr="009B12F3">
        <w:t xml:space="preserve">See </w:t>
      </w:r>
      <w:r w:rsidRPr="002F27EC">
        <w:t xml:space="preserve">Appendix </w:t>
      </w:r>
      <w:r w:rsidR="008B742B" w:rsidRPr="002F27EC">
        <w:t>C</w:t>
      </w:r>
      <w:r w:rsidRPr="002F27EC">
        <w:t xml:space="preserve"> for</w:t>
      </w:r>
      <w:r w:rsidRPr="009B12F3">
        <w:t xml:space="preserve"> an explanation of the differences between different payment schemes.</w:t>
      </w:r>
    </w:p>
  </w:footnote>
  <w:footnote w:id="72">
    <w:p w14:paraId="6F3619F2" w14:textId="23AE4380" w:rsidR="00645870" w:rsidRDefault="00645870" w:rsidP="00645870">
      <w:pPr>
        <w:pStyle w:val="FootnoteText"/>
        <w:ind w:left="284" w:hanging="284"/>
      </w:pPr>
      <w:r>
        <w:rPr>
          <w:rStyle w:val="FootnoteReference"/>
        </w:rPr>
        <w:footnoteRef/>
      </w:r>
      <w:r>
        <w:t xml:space="preserve"> </w:t>
      </w:r>
      <w:r>
        <w:tab/>
      </w:r>
      <w:r w:rsidRPr="00CC212E">
        <w:t>GM Cabs</w:t>
      </w:r>
      <w:r>
        <w:t>, submission to the Essential Services Commission consultation paper ‘Taxi reviews 2024: unbooked taxi fares and non-cash payment surcharge’, 22 December 2023;</w:t>
      </w:r>
      <w:r w:rsidRPr="00CC212E">
        <w:t xml:space="preserve"> </w:t>
      </w:r>
      <w:r>
        <w:t>A</w:t>
      </w:r>
      <w:r w:rsidRPr="00CC212E">
        <w:t>nonymous</w:t>
      </w:r>
      <w:r>
        <w:t>, submission to the Essential Services Commission consultation paper</w:t>
      </w:r>
      <w:r w:rsidRPr="00C928FA">
        <w:t xml:space="preserve"> </w:t>
      </w:r>
      <w:r>
        <w:t>‘Taxi reviews 2024: unbooked taxi fares and non-cash payment surcharge’, 12</w:t>
      </w:r>
      <w:r w:rsidR="00ED378C">
        <w:t> </w:t>
      </w:r>
      <w:r>
        <w:t xml:space="preserve">December 2023, </w:t>
      </w:r>
      <w:r w:rsidR="00BC3FED" w:rsidRPr="00BC3FED">
        <w:t>Name withheld 3, submission to the Essential Services Commission draft decision paper ‘Taxi reviews 2024: unbooked taxi fares and non-cash payment surcharge’, 17 June 2024</w:t>
      </w:r>
      <w:r>
        <w:t>.</w:t>
      </w:r>
      <w:r w:rsidR="001E7952">
        <w:t xml:space="preserve"> </w:t>
      </w:r>
    </w:p>
  </w:footnote>
  <w:footnote w:id="73">
    <w:p w14:paraId="098E5406" w14:textId="77777777" w:rsidR="00645870" w:rsidRDefault="00645870" w:rsidP="00645870">
      <w:pPr>
        <w:pStyle w:val="FootnoteText"/>
        <w:ind w:left="284" w:hanging="284"/>
      </w:pPr>
      <w:r>
        <w:rPr>
          <w:rStyle w:val="FootnoteReference"/>
        </w:rPr>
        <w:footnoteRef/>
      </w:r>
      <w:r>
        <w:t xml:space="preserve"> </w:t>
      </w:r>
      <w:r>
        <w:tab/>
        <w:t xml:space="preserve">A2B currently provides the only commercial passenger vehicle specific payment instrument – Cabcharge. </w:t>
      </w:r>
    </w:p>
  </w:footnote>
  <w:footnote w:id="74">
    <w:p w14:paraId="0A56F59E" w14:textId="7E78AF10" w:rsidR="1264CFBF" w:rsidRDefault="1264CFBF" w:rsidP="00B807D6">
      <w:pPr>
        <w:pStyle w:val="FootnoteText"/>
        <w:ind w:left="284" w:hanging="284"/>
      </w:pPr>
      <w:r w:rsidRPr="1264CFBF">
        <w:rPr>
          <w:rStyle w:val="FootnoteReference"/>
        </w:rPr>
        <w:footnoteRef/>
      </w:r>
      <w:r>
        <w:t xml:space="preserve"> </w:t>
      </w:r>
      <w:r>
        <w:tab/>
      </w:r>
      <w:r w:rsidR="00805AF6">
        <w:t xml:space="preserve">For the </w:t>
      </w:r>
      <w:r w:rsidR="00A60E9E">
        <w:t xml:space="preserve">Cabcharge </w:t>
      </w:r>
      <w:r w:rsidR="005D792E">
        <w:t>payment system, A2B</w:t>
      </w:r>
      <w:r w:rsidR="00A60E9E">
        <w:t xml:space="preserve"> </w:t>
      </w:r>
      <w:r w:rsidR="009F34DC">
        <w:t xml:space="preserve">acts as both the merchant’s bank (the taxi driver or operator) and </w:t>
      </w:r>
      <w:r w:rsidR="00632A52">
        <w:t xml:space="preserve">the </w:t>
      </w:r>
      <w:r w:rsidR="009F34DC">
        <w:t>cardholder’s bank and therefore</w:t>
      </w:r>
      <w:r w:rsidR="00A60E9E">
        <w:t xml:space="preserve"> faces different costs </w:t>
      </w:r>
      <w:r w:rsidR="00CA746F">
        <w:t>in relation to this spe</w:t>
      </w:r>
      <w:r w:rsidR="00954716">
        <w:t>cific</w:t>
      </w:r>
      <w:r w:rsidR="00A60E9E">
        <w:t xml:space="preserve"> payment </w:t>
      </w:r>
      <w:r w:rsidR="00954716">
        <w:t xml:space="preserve">instrument compared </w:t>
      </w:r>
      <w:r w:rsidR="00A60E9E">
        <w:t>to other taxi payment processors</w:t>
      </w:r>
      <w:r w:rsidR="00AA7FAD">
        <w:t xml:space="preserve">. Other </w:t>
      </w:r>
      <w:r w:rsidR="00413586">
        <w:t xml:space="preserve">taxi payment processors only provide ‘merchant’ services </w:t>
      </w:r>
      <w:r w:rsidR="00CF62BB">
        <w:t>and do not face costs related to cardholders (which we call</w:t>
      </w:r>
      <w:r w:rsidR="0057400B">
        <w:t xml:space="preserve"> </w:t>
      </w:r>
      <w:r w:rsidR="00CF62BB">
        <w:t>‘</w:t>
      </w:r>
      <w:r w:rsidR="0057400B">
        <w:t>issuing costs</w:t>
      </w:r>
      <w:r w:rsidR="00CF62BB">
        <w:t>’)</w:t>
      </w:r>
      <w:r w:rsidR="0057400B">
        <w:t xml:space="preserve">. </w:t>
      </w:r>
      <w:r>
        <w:t>These costs primarily relate to issuing cards to customers, such as card printing, account management and working capital to fund account holder credit.</w:t>
      </w:r>
      <w:r w:rsidR="00145CD8">
        <w:t xml:space="preserve"> </w:t>
      </w:r>
      <w:r w:rsidR="00642CB1">
        <w:t xml:space="preserve">As outlined in our previous reviews, </w:t>
      </w:r>
      <w:r w:rsidR="00F07764">
        <w:t>overall,</w:t>
      </w:r>
      <w:r w:rsidR="0052220E">
        <w:t xml:space="preserve"> the</w:t>
      </w:r>
      <w:r w:rsidR="00DA63A0">
        <w:t xml:space="preserve"> reasonable costs of processing the</w:t>
      </w:r>
      <w:r w:rsidR="00B16788">
        <w:t xml:space="preserve"> </w:t>
      </w:r>
      <w:r w:rsidR="005501A2">
        <w:t>C</w:t>
      </w:r>
      <w:r w:rsidR="00B16788">
        <w:t>abc</w:t>
      </w:r>
      <w:r w:rsidR="005501A2">
        <w:t>h</w:t>
      </w:r>
      <w:r w:rsidR="00B16788">
        <w:t xml:space="preserve">arge </w:t>
      </w:r>
      <w:r w:rsidR="00DA63A0">
        <w:t xml:space="preserve">payment </w:t>
      </w:r>
      <w:r w:rsidR="00B16788">
        <w:t xml:space="preserve">instrument </w:t>
      </w:r>
      <w:r w:rsidR="00DA63A0">
        <w:t xml:space="preserve">are </w:t>
      </w:r>
      <w:r w:rsidR="009A2121">
        <w:t>higher</w:t>
      </w:r>
      <w:r w:rsidR="00642CB1">
        <w:t xml:space="preserve"> </w:t>
      </w:r>
      <w:r w:rsidR="00DA63A0">
        <w:t xml:space="preserve">than the </w:t>
      </w:r>
      <w:r w:rsidR="00290F8B">
        <w:t xml:space="preserve">reasonable </w:t>
      </w:r>
      <w:r w:rsidR="00DA63A0">
        <w:t>costs of</w:t>
      </w:r>
      <w:r w:rsidR="009A2121">
        <w:t xml:space="preserve"> </w:t>
      </w:r>
      <w:r w:rsidR="008E412F">
        <w:t>processing other payment methods</w:t>
      </w:r>
      <w:r w:rsidR="00642CB1">
        <w:t xml:space="preserve">. See our </w:t>
      </w:r>
      <w:r w:rsidR="0033648C">
        <w:t>2019 decision</w:t>
      </w:r>
      <w:r w:rsidR="002F27EC">
        <w:t>:</w:t>
      </w:r>
      <w:r w:rsidR="0033648C">
        <w:t xml:space="preserve"> </w:t>
      </w:r>
      <w:r w:rsidR="002F27EC" w:rsidRPr="002F27EC">
        <w:t xml:space="preserve">Essential Services Commission, </w:t>
      </w:r>
      <w:r w:rsidR="002F27EC" w:rsidRPr="002F27EC">
        <w:rPr>
          <w:i/>
          <w:iCs/>
        </w:rPr>
        <w:t>Taxi Non-Cash Payment Surcharge Review 2019, Final Decision</w:t>
      </w:r>
      <w:r w:rsidR="002F27EC" w:rsidRPr="002F27EC">
        <w:t>, March 2020</w:t>
      </w:r>
      <w:r w:rsidR="00FD2348">
        <w:t>.</w:t>
      </w:r>
    </w:p>
  </w:footnote>
  <w:footnote w:id="75">
    <w:p w14:paraId="0E065227" w14:textId="62D4E5A7" w:rsidR="00653BB6" w:rsidRDefault="00653BB6" w:rsidP="00040EA4">
      <w:pPr>
        <w:pStyle w:val="FootnoteText"/>
        <w:ind w:left="284" w:hanging="284"/>
      </w:pPr>
      <w:r>
        <w:rPr>
          <w:rStyle w:val="FootnoteReference"/>
        </w:rPr>
        <w:footnoteRef/>
      </w:r>
      <w:r>
        <w:t xml:space="preserve"> </w:t>
      </w:r>
      <w:r w:rsidR="00942BB0">
        <w:tab/>
      </w:r>
      <w:hyperlink r:id="rId12" w:history="1">
        <w:r>
          <w:rPr>
            <w:rStyle w:val="Hyperlink"/>
          </w:rPr>
          <w:t>Cabcharge Fees | Cabcharge Help Center</w:t>
        </w:r>
      </w:hyperlink>
      <w:r w:rsidR="00557564">
        <w:t>, accessed 23 May 2024</w:t>
      </w:r>
      <w:r w:rsidR="00B359C2">
        <w:t>.</w:t>
      </w:r>
    </w:p>
  </w:footnote>
  <w:footnote w:id="76">
    <w:p w14:paraId="12098C02" w14:textId="7D4ED7F3" w:rsidR="001F4405" w:rsidRDefault="001F4405" w:rsidP="001F4405">
      <w:pPr>
        <w:pStyle w:val="FootnoteText"/>
        <w:ind w:left="284" w:hanging="284"/>
      </w:pPr>
      <w:r>
        <w:rPr>
          <w:rStyle w:val="FootnoteReference"/>
        </w:rPr>
        <w:footnoteRef/>
      </w:r>
      <w:r>
        <w:t xml:space="preserve"> </w:t>
      </w:r>
      <w:r>
        <w:tab/>
      </w:r>
      <w:r w:rsidRPr="001F4405">
        <w:t>Commercial Passenger Vehicle Industry Regulations 2018, r. 12.</w:t>
      </w:r>
    </w:p>
  </w:footnote>
  <w:footnote w:id="77">
    <w:p w14:paraId="73E7D932" w14:textId="4030647A" w:rsidR="004024FF" w:rsidRDefault="004024FF" w:rsidP="004024FF">
      <w:pPr>
        <w:pStyle w:val="FootnoteText"/>
        <w:ind w:left="284" w:hanging="284"/>
      </w:pPr>
      <w:r>
        <w:rPr>
          <w:rStyle w:val="FootnoteReference"/>
        </w:rPr>
        <w:footnoteRef/>
      </w:r>
      <w:r>
        <w:t xml:space="preserve"> </w:t>
      </w:r>
      <w:r>
        <w:tab/>
      </w:r>
      <w:r w:rsidRPr="004024FF">
        <w:t>Commercial Passenger Vehicle Industry Regulations 2018, r. 14.</w:t>
      </w:r>
    </w:p>
  </w:footnote>
  <w:footnote w:id="78">
    <w:p w14:paraId="302E23CC" w14:textId="05508C99" w:rsidR="00525229" w:rsidRDefault="00525229" w:rsidP="00040EA4">
      <w:pPr>
        <w:pStyle w:val="FootnoteText"/>
        <w:ind w:left="284" w:hanging="284"/>
      </w:pPr>
      <w:r>
        <w:rPr>
          <w:rStyle w:val="FootnoteReference"/>
        </w:rPr>
        <w:footnoteRef/>
      </w:r>
      <w:r>
        <w:t xml:space="preserve">  </w:t>
      </w:r>
      <w:r w:rsidR="00540134">
        <w:tab/>
      </w:r>
      <w:hyperlink r:id="rId13" w:history="1">
        <w:r w:rsidR="00FF4CEB" w:rsidRPr="00FF4CEB">
          <w:rPr>
            <w:rStyle w:val="Hyperlink"/>
          </w:rPr>
          <w:t>https://www.uber.com/au/en/r/cities/taxi/melbourne-vic-au/</w:t>
        </w:r>
      </w:hyperlink>
      <w:r>
        <w:t xml:space="preserve">, accessed </w:t>
      </w:r>
      <w:r w:rsidR="0019640C">
        <w:t>23 July</w:t>
      </w:r>
      <w:r>
        <w:t xml:space="preserve"> 2024</w:t>
      </w:r>
      <w:r w:rsidR="00FD2348">
        <w:t>.</w:t>
      </w:r>
    </w:p>
  </w:footnote>
  <w:footnote w:id="79">
    <w:p w14:paraId="36B95EA0" w14:textId="0B30D504" w:rsidR="003B0DD2" w:rsidRDefault="003B0DD2" w:rsidP="00503A99">
      <w:pPr>
        <w:pStyle w:val="FootnoteText"/>
        <w:ind w:left="284" w:hanging="284"/>
      </w:pPr>
      <w:r>
        <w:rPr>
          <w:rStyle w:val="FootnoteReference"/>
        </w:rPr>
        <w:footnoteRef/>
      </w:r>
      <w:r>
        <w:t xml:space="preserve"> </w:t>
      </w:r>
      <w:r w:rsidR="002630A8">
        <w:tab/>
      </w:r>
      <w:r w:rsidR="00611E2F" w:rsidRPr="00611E2F">
        <w:t>These zones are defined in the 2014 Determination of Taxi Zone Boundaries, issued by the Taxi Services Commission (now Safe Transport Victoria) (Victorian Government Gazette No. S 184 Thursday 12 June 2014).</w:t>
      </w:r>
    </w:p>
  </w:footnote>
  <w:footnote w:id="80">
    <w:p w14:paraId="02868B1C" w14:textId="047D9B53" w:rsidR="00473A3B" w:rsidRDefault="00473A3B" w:rsidP="00503A99">
      <w:pPr>
        <w:pStyle w:val="FootnoteText"/>
        <w:ind w:left="284" w:hanging="284"/>
      </w:pPr>
      <w:r>
        <w:rPr>
          <w:rStyle w:val="FootnoteReference"/>
        </w:rPr>
        <w:footnoteRef/>
      </w:r>
      <w:r>
        <w:t xml:space="preserve"> </w:t>
      </w:r>
      <w:r w:rsidR="002630A8">
        <w:tab/>
      </w:r>
      <w:r w:rsidRPr="00473A3B">
        <w:t xml:space="preserve">Section 110A of the </w:t>
      </w:r>
      <w:r w:rsidR="00315A27" w:rsidRPr="00503A99">
        <w:rPr>
          <w:i/>
          <w:iCs/>
        </w:rPr>
        <w:t>Commercial Passenger Vehicle Industry Act 2017</w:t>
      </w:r>
      <w:r w:rsidRPr="00473A3B">
        <w:t xml:space="preserve">. </w:t>
      </w:r>
    </w:p>
  </w:footnote>
  <w:footnote w:id="81">
    <w:p w14:paraId="64D009DD" w14:textId="61A99DAB" w:rsidR="005438DF" w:rsidRDefault="005438DF" w:rsidP="00C9128F">
      <w:pPr>
        <w:pStyle w:val="FootnoteText"/>
        <w:ind w:left="284" w:hanging="284"/>
      </w:pPr>
      <w:r>
        <w:rPr>
          <w:rStyle w:val="FootnoteReference"/>
        </w:rPr>
        <w:footnoteRef/>
      </w:r>
      <w:r>
        <w:t xml:space="preserve"> </w:t>
      </w:r>
      <w:r w:rsidR="00303152">
        <w:tab/>
      </w:r>
      <w:r w:rsidR="008F04B6">
        <w:t xml:space="preserve">GM Cabs, submission to the Essential Services Commission draft decision </w:t>
      </w:r>
      <w:r w:rsidR="00136ACE">
        <w:t>paper</w:t>
      </w:r>
      <w:r w:rsidR="008F04B6">
        <w:t xml:space="preserve"> ‘Taxi reviews 2024: unbooked taxi fares and non-cash payment surcharge’, 12 July 2024</w:t>
      </w:r>
      <w:r w:rsidR="0074676F">
        <w:t>.</w:t>
      </w:r>
    </w:p>
  </w:footnote>
  <w:footnote w:id="82">
    <w:p w14:paraId="38B3A0D6" w14:textId="77777777" w:rsidR="00A82DFA" w:rsidRDefault="00A82DFA" w:rsidP="00A82DFA">
      <w:pPr>
        <w:pStyle w:val="FootnoteText"/>
        <w:ind w:left="284" w:hanging="284"/>
      </w:pPr>
      <w:r>
        <w:rPr>
          <w:rStyle w:val="FootnoteReference"/>
        </w:rPr>
        <w:footnoteRef/>
      </w:r>
      <w:r>
        <w:t xml:space="preserve"> </w:t>
      </w:r>
      <w:r>
        <w:tab/>
      </w:r>
      <w:r w:rsidRPr="00963E22">
        <w:t>This survey data included responses from 355 out of 6,419 taxi operators. The respondents comprised small and medium sized operators in the Melbourne Metropolitan and Urban and Large Regional Zones.</w:t>
      </w:r>
    </w:p>
  </w:footnote>
  <w:footnote w:id="83">
    <w:p w14:paraId="09B4E086" w14:textId="77878FBF" w:rsidR="00E308F0" w:rsidRDefault="00E308F0" w:rsidP="00E308F0">
      <w:pPr>
        <w:pStyle w:val="FootnoteText"/>
      </w:pPr>
      <w:r>
        <w:rPr>
          <w:rStyle w:val="FootnoteReference"/>
        </w:rPr>
        <w:footnoteRef/>
      </w:r>
      <w:r>
        <w:t xml:space="preserve"> </w:t>
      </w:r>
      <w:r w:rsidR="00217A02">
        <w:t>Anonymous, submission to the Essential Services Commission consultation paper ‘Taxi reviews 2024, unbooked taxi fares and non-cash payment surcharge’, 24 November 2023</w:t>
      </w:r>
      <w:r w:rsidR="001E041F">
        <w:t>; Anonymous, submission to the Essential Services Commission consultation paper ‘Taxi reviews 2024, unbooked taxi fares and non-cash payment surcharge’, 12</w:t>
      </w:r>
      <w:r w:rsidR="007C747A">
        <w:t> </w:t>
      </w:r>
      <w:r w:rsidR="001E041F">
        <w:t>December 2023;</w:t>
      </w:r>
      <w:r w:rsidR="00CB7497">
        <w:t xml:space="preserve"> A2B, submission to the Essential Services Commission consultation paper ‘Taxi reviews 2024, unbooked taxi fares and non-cash payment surcharge’, 2</w:t>
      </w:r>
      <w:r w:rsidR="00724B87">
        <w:t>0 December</w:t>
      </w:r>
      <w:r w:rsidR="00CB7497">
        <w:t xml:space="preserve"> 2023</w:t>
      </w:r>
      <w:r w:rsidR="0050000F">
        <w:t>.</w:t>
      </w:r>
    </w:p>
  </w:footnote>
  <w:footnote w:id="84">
    <w:p w14:paraId="25DF0DC3" w14:textId="77777777" w:rsidR="00850C96" w:rsidRDefault="00850C96" w:rsidP="00850C96">
      <w:pPr>
        <w:pStyle w:val="FootnoteText"/>
        <w:ind w:left="284" w:hanging="284"/>
      </w:pPr>
      <w:r>
        <w:rPr>
          <w:rStyle w:val="FootnoteReference"/>
        </w:rPr>
        <w:footnoteRef/>
      </w:r>
      <w:r>
        <w:t xml:space="preserve"> </w:t>
      </w:r>
      <w:r>
        <w:tab/>
      </w:r>
      <w:r w:rsidRPr="00DE6D5D">
        <w:t xml:space="preserve">IBIS World (2024), Recent Trends </w:t>
      </w:r>
      <w:r>
        <w:t>–</w:t>
      </w:r>
      <w:r w:rsidRPr="00DE6D5D">
        <w:t xml:space="preserve"> Motor Vehicle Price Index, February 21, 2024, Accessed 24 April 2024 (</w:t>
      </w:r>
      <w:hyperlink r:id="rId14" w:history="1">
        <w:r w:rsidRPr="0043700F">
          <w:rPr>
            <w:rStyle w:val="Hyperlink"/>
          </w:rPr>
          <w:t>https://www.ibisworld.com/au/bed/motor-vehicle-price-index/1708/</w:t>
        </w:r>
      </w:hyperlink>
      <w:r w:rsidRPr="00DE6D5D">
        <w:t>)</w:t>
      </w:r>
      <w:r>
        <w:t>.</w:t>
      </w:r>
    </w:p>
  </w:footnote>
  <w:footnote w:id="85">
    <w:p w14:paraId="377C7E66" w14:textId="67BFF009" w:rsidR="00BF4885" w:rsidRDefault="00BF4885" w:rsidP="000B211F">
      <w:pPr>
        <w:pStyle w:val="FootnoteText"/>
        <w:ind w:left="284" w:hanging="284"/>
      </w:pPr>
      <w:r>
        <w:rPr>
          <w:rStyle w:val="FootnoteReference"/>
        </w:rPr>
        <w:footnoteRef/>
      </w:r>
      <w:r>
        <w:t xml:space="preserve"> </w:t>
      </w:r>
      <w:r w:rsidR="000B211F">
        <w:tab/>
      </w:r>
      <w:r w:rsidRPr="00BF4885">
        <w:t>While mPOS terminals are not directly comparable to the service currently used in Australia, we note that mPOS terminals are widely used by taxis in other jurisdictions such as the United States.</w:t>
      </w:r>
    </w:p>
  </w:footnote>
  <w:footnote w:id="86">
    <w:p w14:paraId="49E327D6" w14:textId="6384BC25" w:rsidR="00B116C1" w:rsidRDefault="00B116C1" w:rsidP="00C9128F">
      <w:pPr>
        <w:pStyle w:val="FootnoteText"/>
        <w:ind w:left="284" w:hanging="284"/>
      </w:pPr>
      <w:r>
        <w:rPr>
          <w:rStyle w:val="FootnoteReference"/>
        </w:rPr>
        <w:footnoteRef/>
      </w:r>
      <w:r>
        <w:t xml:space="preserve"> </w:t>
      </w:r>
      <w:r w:rsidR="00DB5D76">
        <w:tab/>
      </w:r>
      <w:r w:rsidR="00667532">
        <w:t>Another provider</w:t>
      </w:r>
      <w:r w:rsidR="00AC6CE0">
        <w:t>, Oiii</w:t>
      </w:r>
      <w:r w:rsidR="006E772C">
        <w:t xml:space="preserve">, has also been approved </w:t>
      </w:r>
      <w:r w:rsidR="00575266">
        <w:t>to process MPTP subsidies</w:t>
      </w:r>
      <w:r w:rsidR="00E40FE2">
        <w:t xml:space="preserve"> using its integrated </w:t>
      </w:r>
      <w:r w:rsidR="00691062">
        <w:t>taxi meter and payment platform</w:t>
      </w:r>
      <w:r w:rsidR="009D4E66">
        <w:t xml:space="preserve">. </w:t>
      </w:r>
      <w:r w:rsidR="002F3144">
        <w:t>However,</w:t>
      </w:r>
      <w:r w:rsidR="00C66BA6">
        <w:t xml:space="preserve"> only a small </w:t>
      </w:r>
      <w:r w:rsidR="00792E94">
        <w:t>proportion</w:t>
      </w:r>
      <w:r w:rsidR="00C66BA6">
        <w:t xml:space="preserve"> of taxis use the Oiii p</w:t>
      </w:r>
      <w:r w:rsidR="001874C7">
        <w:t>latform</w:t>
      </w:r>
      <w:r w:rsidR="00792E94">
        <w:t>.</w:t>
      </w:r>
    </w:p>
  </w:footnote>
  <w:footnote w:id="87">
    <w:p w14:paraId="4913B529" w14:textId="06592862" w:rsidR="00F01466" w:rsidRDefault="00F01466" w:rsidP="001B2EB5">
      <w:pPr>
        <w:pStyle w:val="FootnoteText"/>
        <w:ind w:left="284" w:hanging="284"/>
      </w:pPr>
      <w:r>
        <w:rPr>
          <w:rStyle w:val="FootnoteReference"/>
        </w:rPr>
        <w:footnoteRef/>
      </w:r>
      <w:r>
        <w:t xml:space="preserve"> </w:t>
      </w:r>
      <w:r w:rsidR="003E060D">
        <w:tab/>
      </w:r>
      <w:r w:rsidR="00E664C3">
        <w:t xml:space="preserve">The data we collected for our 2022 </w:t>
      </w:r>
      <w:r w:rsidR="00611EC9">
        <w:t>review</w:t>
      </w:r>
      <w:r w:rsidR="00E664C3">
        <w:t xml:space="preserve"> was affected by the coronavirus pandemic and is therefore not an appropriate starting point for our analysis. </w:t>
      </w:r>
    </w:p>
  </w:footnote>
  <w:footnote w:id="88">
    <w:p w14:paraId="769A015B" w14:textId="58E23BD9" w:rsidR="00890C01" w:rsidRDefault="00890C01" w:rsidP="001B2EB5">
      <w:pPr>
        <w:pStyle w:val="FootnoteText"/>
        <w:ind w:left="284" w:hanging="284"/>
      </w:pPr>
      <w:r>
        <w:rPr>
          <w:rStyle w:val="FootnoteReference"/>
        </w:rPr>
        <w:footnoteRef/>
      </w:r>
      <w:r w:rsidR="001B2EB5">
        <w:t xml:space="preserve"> </w:t>
      </w:r>
      <w:r w:rsidR="009A64EF">
        <w:tab/>
      </w:r>
      <w:r w:rsidRPr="003E060D">
        <w:t xml:space="preserve">A2B, </w:t>
      </w:r>
      <w:r w:rsidR="006824EA">
        <w:t>submission to the Essential Services Commission consultation paper</w:t>
      </w:r>
      <w:r w:rsidR="006824EA" w:rsidRPr="00C928FA">
        <w:t xml:space="preserve"> </w:t>
      </w:r>
      <w:r w:rsidR="006824EA">
        <w:t>‘Taxi reviews 2024: unbooked taxi fares and non-cash payment surcharge’,</w:t>
      </w:r>
      <w:r w:rsidR="00B31958">
        <w:t xml:space="preserve"> </w:t>
      </w:r>
      <w:r w:rsidRPr="003E060D">
        <w:t>20 December 2023</w:t>
      </w:r>
      <w:r>
        <w:t>.</w:t>
      </w:r>
    </w:p>
  </w:footnote>
  <w:footnote w:id="89">
    <w:p w14:paraId="1E1505AE" w14:textId="3627E017" w:rsidR="00105446" w:rsidRDefault="00105446" w:rsidP="00105446">
      <w:pPr>
        <w:pStyle w:val="FootnoteText"/>
        <w:ind w:left="284" w:hanging="284"/>
      </w:pPr>
      <w:r>
        <w:rPr>
          <w:rStyle w:val="FootnoteReference"/>
        </w:rPr>
        <w:footnoteRef/>
      </w:r>
      <w:r>
        <w:t xml:space="preserve"> </w:t>
      </w:r>
      <w:r w:rsidR="00756324">
        <w:tab/>
      </w:r>
      <w:r w:rsidRPr="00105446">
        <w:t>There is one exception. We received information on fees and charges over the phone for ANZ. We are aware that ANZ provides payment terminals to some taxi providers.</w:t>
      </w:r>
    </w:p>
  </w:footnote>
  <w:footnote w:id="90">
    <w:p w14:paraId="4A157BFA" w14:textId="1F216486" w:rsidR="00FE54E8" w:rsidRDefault="00FE54E8" w:rsidP="00F62CAE">
      <w:pPr>
        <w:pStyle w:val="FootnoteText"/>
        <w:ind w:left="284" w:hanging="284"/>
      </w:pPr>
      <w:r>
        <w:rPr>
          <w:rStyle w:val="FootnoteReference"/>
        </w:rPr>
        <w:footnoteRef/>
      </w:r>
      <w:r>
        <w:t xml:space="preserve"> </w:t>
      </w:r>
      <w:r w:rsidR="00F62CAE">
        <w:tab/>
      </w:r>
      <w:r w:rsidRPr="00FE54E8">
        <w:t>There are some exceptions. For example, Commonwealth Bank includes a 1.10</w:t>
      </w:r>
      <w:r w:rsidR="00F721F2">
        <w:t> per </w:t>
      </w:r>
      <w:r w:rsidRPr="00FE54E8">
        <w:t>cent fee for American Express transactions in its market offer.</w:t>
      </w:r>
    </w:p>
  </w:footnote>
  <w:footnote w:id="91">
    <w:p w14:paraId="7010303C" w14:textId="25A683A3" w:rsidR="0051742E" w:rsidRDefault="0051742E" w:rsidP="00040EA4">
      <w:pPr>
        <w:pStyle w:val="FootnoteText"/>
        <w:ind w:left="284" w:hanging="284"/>
      </w:pPr>
      <w:r>
        <w:rPr>
          <w:rStyle w:val="FootnoteReference"/>
        </w:rPr>
        <w:footnoteRef/>
      </w:r>
      <w:r>
        <w:t xml:space="preserve"> </w:t>
      </w:r>
      <w:r w:rsidR="00F06CC2">
        <w:tab/>
      </w:r>
      <w:r>
        <w:t xml:space="preserve">This is based on information collected </w:t>
      </w:r>
      <w:r w:rsidR="000A09E7">
        <w:t xml:space="preserve">from taxi payment processors </w:t>
      </w:r>
      <w:r>
        <w:t>in our 2022 review</w:t>
      </w:r>
      <w:r w:rsidR="007D1A0C">
        <w:t>.</w:t>
      </w:r>
    </w:p>
  </w:footnote>
  <w:footnote w:id="92">
    <w:p w14:paraId="1E3B68FB" w14:textId="45925FD1" w:rsidR="00F6637E" w:rsidRDefault="00F6637E" w:rsidP="00F62CAE">
      <w:pPr>
        <w:pStyle w:val="FootnoteText"/>
        <w:ind w:left="284" w:hanging="284"/>
      </w:pPr>
      <w:r>
        <w:rPr>
          <w:rStyle w:val="FootnoteReference"/>
        </w:rPr>
        <w:footnoteRef/>
      </w:r>
      <w:r>
        <w:t xml:space="preserve"> </w:t>
      </w:r>
      <w:r w:rsidR="00F62CAE">
        <w:tab/>
      </w:r>
      <w:r w:rsidRPr="00F6637E">
        <w:t xml:space="preserve">We note that some payment processors do not offer default acceptance of American Express cards. If the merchant wishes to accept American </w:t>
      </w:r>
      <w:r w:rsidR="007F650A" w:rsidRPr="00F6637E">
        <w:t>Express cards</w:t>
      </w:r>
      <w:r w:rsidRPr="00F6637E">
        <w:t>, the merchant must enter into an agreement with American Express. Our calculations reflect what the merchant service fees would be if the merchant does accept American Express cards.</w:t>
      </w:r>
    </w:p>
  </w:footnote>
  <w:footnote w:id="93">
    <w:p w14:paraId="6F8880C8" w14:textId="4B094D38" w:rsidR="002622DC" w:rsidDel="0033352C" w:rsidRDefault="002622DC" w:rsidP="00F62CAE">
      <w:pPr>
        <w:pStyle w:val="FootnoteText"/>
        <w:ind w:left="284" w:hanging="284"/>
      </w:pPr>
      <w:r w:rsidDel="0033352C">
        <w:rPr>
          <w:rStyle w:val="FootnoteReference"/>
        </w:rPr>
        <w:footnoteRef/>
      </w:r>
      <w:r w:rsidDel="0033352C">
        <w:t xml:space="preserve"> </w:t>
      </w:r>
      <w:r w:rsidR="00F62CAE" w:rsidDel="0033352C">
        <w:tab/>
      </w:r>
      <w:r w:rsidR="00640F3E" w:rsidRPr="00640F3E" w:rsidDel="0033352C">
        <w:t xml:space="preserve">GM Cabs, </w:t>
      </w:r>
      <w:r w:rsidR="006824EA" w:rsidDel="0033352C">
        <w:t>submission to the Essential Services Commission consultation paper ‘Taxi reviews 2024: unbooked taxi fares and non-cash payment surcharge’,</w:t>
      </w:r>
      <w:r w:rsidR="00640F3E" w:rsidRPr="00640F3E" w:rsidDel="0033352C">
        <w:t xml:space="preserve"> 22 December 2023</w:t>
      </w:r>
      <w:r w:rsidR="00BC523D">
        <w:t>;</w:t>
      </w:r>
      <w:r w:rsidR="003F1214">
        <w:t xml:space="preserve"> </w:t>
      </w:r>
      <w:r w:rsidR="003F1214" w:rsidRPr="00BC523D">
        <w:t>GM Cabs</w:t>
      </w:r>
      <w:r w:rsidR="00BC523D" w:rsidRPr="00BC523D">
        <w:t>, submission to the Essential Services Commission draft decision paper ‘Taxi reviews 2024: unbooked taxi fares and non-cash payment surcharge’, 12 July 2024</w:t>
      </w:r>
      <w:r w:rsidR="00392301">
        <w:t>.</w:t>
      </w:r>
    </w:p>
  </w:footnote>
  <w:footnote w:id="94">
    <w:p w14:paraId="2FE89BE9" w14:textId="25F6689C" w:rsidR="00243A17" w:rsidRDefault="00243A17" w:rsidP="00F62CAE">
      <w:pPr>
        <w:pStyle w:val="FootnoteText"/>
        <w:ind w:left="284" w:hanging="284"/>
      </w:pPr>
      <w:r>
        <w:rPr>
          <w:rStyle w:val="FootnoteReference"/>
        </w:rPr>
        <w:footnoteRef/>
      </w:r>
      <w:r>
        <w:t xml:space="preserve"> </w:t>
      </w:r>
      <w:r w:rsidR="00F62CAE">
        <w:tab/>
      </w:r>
      <w:r w:rsidRPr="00243A17">
        <w:t xml:space="preserve">CabFare, </w:t>
      </w:r>
      <w:r w:rsidR="00804A2B" w:rsidRPr="00804A2B">
        <w:t>submission to the Essential Services Commission consultation paper ‘</w:t>
      </w:r>
      <w:r w:rsidR="00E30A4A">
        <w:t>Taxi n</w:t>
      </w:r>
      <w:r w:rsidR="00804A2B" w:rsidRPr="00804A2B">
        <w:t>on-cash payment surcharge</w:t>
      </w:r>
      <w:r w:rsidR="00E30A4A">
        <w:t xml:space="preserve"> review 2019</w:t>
      </w:r>
      <w:r w:rsidR="00804A2B" w:rsidRPr="00804A2B">
        <w:t>’</w:t>
      </w:r>
      <w:r w:rsidR="005611A9">
        <w:t>,</w:t>
      </w:r>
      <w:r w:rsidR="00016595">
        <w:t xml:space="preserve"> </w:t>
      </w:r>
      <w:r w:rsidRPr="00243A17">
        <w:t>1 February 2019, p. 13.</w:t>
      </w:r>
    </w:p>
  </w:footnote>
  <w:footnote w:id="95">
    <w:p w14:paraId="1E80F1DD" w14:textId="05926473" w:rsidR="0030719C" w:rsidRDefault="0030719C" w:rsidP="00F62CAE">
      <w:pPr>
        <w:pStyle w:val="FootnoteText"/>
        <w:ind w:left="284" w:hanging="284"/>
      </w:pPr>
      <w:r>
        <w:rPr>
          <w:rStyle w:val="FootnoteReference"/>
        </w:rPr>
        <w:footnoteRef/>
      </w:r>
      <w:r>
        <w:t xml:space="preserve"> </w:t>
      </w:r>
      <w:r w:rsidR="00F62CAE">
        <w:tab/>
      </w:r>
      <w:r w:rsidR="00F70872">
        <w:t>ibid.</w:t>
      </w:r>
    </w:p>
  </w:footnote>
  <w:footnote w:id="96">
    <w:p w14:paraId="1FB428FE" w14:textId="113E0CE5" w:rsidR="004B521A" w:rsidRDefault="004B521A" w:rsidP="00F62CAE">
      <w:pPr>
        <w:pStyle w:val="FootnoteText"/>
        <w:ind w:left="284" w:hanging="284"/>
      </w:pPr>
      <w:r>
        <w:rPr>
          <w:rStyle w:val="FootnoteReference"/>
        </w:rPr>
        <w:footnoteRef/>
      </w:r>
      <w:r>
        <w:t xml:space="preserve"> </w:t>
      </w:r>
      <w:r w:rsidR="00F62CAE">
        <w:tab/>
      </w:r>
      <w:r w:rsidRPr="004B521A">
        <w:t>Commercial Passenger Vehicle Association of Australia</w:t>
      </w:r>
      <w:r w:rsidR="005611A9" w:rsidRPr="00243A17">
        <w:t xml:space="preserve">, </w:t>
      </w:r>
      <w:r w:rsidR="005611A9" w:rsidRPr="00804A2B">
        <w:t>submission to the Essential Services Commission consultation paper ‘</w:t>
      </w:r>
      <w:r w:rsidR="005611A9">
        <w:t>Taxi n</w:t>
      </w:r>
      <w:r w:rsidR="005611A9" w:rsidRPr="00804A2B">
        <w:t>on-cash payment surcharge</w:t>
      </w:r>
      <w:r w:rsidR="005611A9">
        <w:t xml:space="preserve"> review 2019</w:t>
      </w:r>
      <w:r w:rsidR="005611A9" w:rsidRPr="00804A2B">
        <w:t>’</w:t>
      </w:r>
      <w:r w:rsidR="005611A9">
        <w:t>,</w:t>
      </w:r>
      <w:r w:rsidRPr="004B521A">
        <w:t xml:space="preserve"> 4 February 2019</w:t>
      </w:r>
      <w:r w:rsidR="008E0807">
        <w:t>.</w:t>
      </w:r>
    </w:p>
  </w:footnote>
  <w:footnote w:id="97">
    <w:p w14:paraId="14F9BB65" w14:textId="3DE9522F" w:rsidR="002D3C2D" w:rsidRDefault="002D3C2D" w:rsidP="00F62CAE">
      <w:pPr>
        <w:pStyle w:val="FootnoteText"/>
        <w:ind w:left="284" w:hanging="284"/>
      </w:pPr>
      <w:r>
        <w:rPr>
          <w:rStyle w:val="FootnoteReference"/>
        </w:rPr>
        <w:footnoteRef/>
      </w:r>
      <w:r>
        <w:t xml:space="preserve"> </w:t>
      </w:r>
      <w:r w:rsidR="00F62CAE">
        <w:tab/>
      </w:r>
      <w:r w:rsidRPr="002D3C2D">
        <w:t xml:space="preserve">A2B Australia, </w:t>
      </w:r>
      <w:r w:rsidR="001731D6" w:rsidRPr="00804A2B">
        <w:t>submission to the Essential Services Commission consultation paper ‘</w:t>
      </w:r>
      <w:r w:rsidR="001731D6">
        <w:t>Taxi n</w:t>
      </w:r>
      <w:r w:rsidR="001731D6" w:rsidRPr="00804A2B">
        <w:t>on-cash payment surcharge</w:t>
      </w:r>
      <w:r w:rsidR="001731D6">
        <w:t xml:space="preserve"> review 2019</w:t>
      </w:r>
      <w:r w:rsidR="001731D6" w:rsidRPr="00804A2B">
        <w:t>’</w:t>
      </w:r>
      <w:r w:rsidR="005611A9">
        <w:t>,</w:t>
      </w:r>
      <w:r w:rsidRPr="002D3C2D">
        <w:t xml:space="preserve"> 1 March 2019, p. 16.</w:t>
      </w:r>
    </w:p>
  </w:footnote>
  <w:footnote w:id="98">
    <w:p w14:paraId="2B2F3070" w14:textId="5ABAA10C" w:rsidR="00A65CBE" w:rsidRDefault="00A65CBE" w:rsidP="00F62CAE">
      <w:pPr>
        <w:pStyle w:val="FootnoteText"/>
        <w:ind w:left="284" w:hanging="284"/>
      </w:pPr>
      <w:r>
        <w:rPr>
          <w:rStyle w:val="FootnoteReference"/>
        </w:rPr>
        <w:footnoteRef/>
      </w:r>
      <w:r>
        <w:t xml:space="preserve"> </w:t>
      </w:r>
      <w:r w:rsidR="00F62CAE">
        <w:tab/>
      </w:r>
      <w:r w:rsidRPr="00A65CBE">
        <w:t>CabFare</w:t>
      </w:r>
      <w:r w:rsidR="001731D6" w:rsidRPr="00243A17">
        <w:t xml:space="preserve">, </w:t>
      </w:r>
      <w:r w:rsidR="001731D6" w:rsidRPr="00804A2B">
        <w:t>submission to the Essential Services Commission consultation paper ‘</w:t>
      </w:r>
      <w:r w:rsidR="001731D6">
        <w:t>Taxi n</w:t>
      </w:r>
      <w:r w:rsidR="001731D6" w:rsidRPr="00804A2B">
        <w:t>on-cash payment surcharge</w:t>
      </w:r>
      <w:r w:rsidR="001731D6">
        <w:t xml:space="preserve"> review 2019</w:t>
      </w:r>
      <w:r w:rsidR="001731D6" w:rsidRPr="00804A2B">
        <w:t>’</w:t>
      </w:r>
      <w:r w:rsidR="001731D6">
        <w:t>,</w:t>
      </w:r>
      <w:r w:rsidRPr="00A65CBE">
        <w:t xml:space="preserve"> 1 February 2019.</w:t>
      </w:r>
    </w:p>
  </w:footnote>
  <w:footnote w:id="99">
    <w:p w14:paraId="24908CE5" w14:textId="6F765D63" w:rsidR="003433BB" w:rsidRDefault="003433BB" w:rsidP="00F62CAE">
      <w:pPr>
        <w:pStyle w:val="FootnoteText"/>
        <w:ind w:left="284" w:hanging="284"/>
      </w:pPr>
      <w:r>
        <w:rPr>
          <w:rStyle w:val="FootnoteReference"/>
        </w:rPr>
        <w:footnoteRef/>
      </w:r>
      <w:r>
        <w:t xml:space="preserve"> </w:t>
      </w:r>
      <w:r w:rsidR="00F62CAE">
        <w:tab/>
      </w:r>
      <w:r w:rsidRPr="003433BB">
        <w:t>A2B Australia</w:t>
      </w:r>
      <w:r w:rsidR="001731D6" w:rsidRPr="00243A17">
        <w:t xml:space="preserve">, </w:t>
      </w:r>
      <w:r w:rsidR="001731D6" w:rsidRPr="00804A2B">
        <w:t>submission to the Essential Services Commission consultation paper ‘</w:t>
      </w:r>
      <w:r w:rsidR="001731D6">
        <w:t>Taxi n</w:t>
      </w:r>
      <w:r w:rsidR="001731D6" w:rsidRPr="00804A2B">
        <w:t>on-cash payment surcharge</w:t>
      </w:r>
      <w:r w:rsidR="001731D6">
        <w:t xml:space="preserve"> review 2019</w:t>
      </w:r>
      <w:r w:rsidR="001731D6" w:rsidRPr="00804A2B">
        <w:t>’</w:t>
      </w:r>
      <w:r w:rsidR="001731D6">
        <w:t>,</w:t>
      </w:r>
      <w:r w:rsidRPr="003433BB">
        <w:t xml:space="preserve"> 1 March 2019, p. 5.</w:t>
      </w:r>
    </w:p>
  </w:footnote>
  <w:footnote w:id="100">
    <w:p w14:paraId="1508DFCC" w14:textId="3D759489" w:rsidR="00F62CAE" w:rsidRDefault="00F62CAE" w:rsidP="00F62CAE">
      <w:pPr>
        <w:pStyle w:val="FootnoteText"/>
        <w:ind w:left="284" w:hanging="284"/>
      </w:pPr>
      <w:r>
        <w:rPr>
          <w:rStyle w:val="FootnoteReference"/>
        </w:rPr>
        <w:footnoteRef/>
      </w:r>
      <w:r>
        <w:t xml:space="preserve"> </w:t>
      </w:r>
      <w:r>
        <w:tab/>
      </w:r>
      <w:r w:rsidRPr="00F62CAE">
        <w:t>Essential Services Commission, Taxi Non-Cash Payment Surcharge Review 2019, Final Decision, March 2020, pp.</w:t>
      </w:r>
      <w:r w:rsidR="008E0807">
        <w:t> </w:t>
      </w:r>
      <w:r w:rsidRPr="00F62CAE">
        <w:t>70-77</w:t>
      </w:r>
      <w:r w:rsidR="008E0807">
        <w:t>.</w:t>
      </w:r>
    </w:p>
  </w:footnote>
  <w:footnote w:id="101">
    <w:p w14:paraId="5C43B534" w14:textId="4E5811F9" w:rsidR="0046634C" w:rsidRDefault="0046634C" w:rsidP="000F1443">
      <w:pPr>
        <w:pStyle w:val="FootnoteText"/>
        <w:ind w:left="284" w:hanging="284"/>
      </w:pPr>
      <w:r>
        <w:rPr>
          <w:rStyle w:val="FootnoteReference"/>
        </w:rPr>
        <w:footnoteRef/>
      </w:r>
      <w:r w:rsidR="0049762A">
        <w:t xml:space="preserve"> </w:t>
      </w:r>
      <w:r w:rsidR="00050F02">
        <w:tab/>
      </w:r>
      <w:r w:rsidR="0049762A">
        <w:t>For tap to phone offers, there is usually no monthly fee, but there is a single percentage fee per dollar value for eftpos, Visa and Mastercard transactions.</w:t>
      </w:r>
    </w:p>
  </w:footnote>
  <w:footnote w:id="102">
    <w:p w14:paraId="2EFBCD44" w14:textId="31ADC500" w:rsidR="00283026" w:rsidRDefault="00283026" w:rsidP="000F1443">
      <w:pPr>
        <w:pStyle w:val="FootnoteText"/>
        <w:ind w:left="284" w:hanging="284"/>
      </w:pPr>
      <w:r>
        <w:rPr>
          <w:rStyle w:val="FootnoteReference"/>
        </w:rPr>
        <w:footnoteRef/>
      </w:r>
      <w:r>
        <w:t xml:space="preserve"> </w:t>
      </w:r>
      <w:r w:rsidR="00050F02">
        <w:tab/>
      </w:r>
      <w:r w:rsidR="000F1443" w:rsidRPr="000F1443">
        <w:t>GM Cabs, submission to the Essential Services Commission consultation paper ‘Taxi reviews 2024: unbooked taxi fares and non-cash payment surcharge’, 22 December 2023.</w:t>
      </w:r>
    </w:p>
  </w:footnote>
  <w:footnote w:id="103">
    <w:p w14:paraId="7CFAAFE1" w14:textId="43B96FCB" w:rsidR="00E8237B" w:rsidRDefault="00E8237B" w:rsidP="008F0F98">
      <w:pPr>
        <w:pStyle w:val="FootnoteText"/>
        <w:ind w:left="284" w:hanging="284"/>
      </w:pPr>
      <w:r>
        <w:rPr>
          <w:rStyle w:val="FootnoteReference"/>
        </w:rPr>
        <w:footnoteRef/>
      </w:r>
      <w:r w:rsidR="00FF3F2B">
        <w:tab/>
      </w:r>
      <w:r>
        <w:t>Sections 110B(1) and 121(1) of the CPVI Act.</w:t>
      </w:r>
    </w:p>
  </w:footnote>
  <w:footnote w:id="104">
    <w:p w14:paraId="383A4CAA" w14:textId="17E2F977" w:rsidR="00E8237B" w:rsidRDefault="00E8237B" w:rsidP="008F0F98">
      <w:pPr>
        <w:pStyle w:val="FootnoteText"/>
        <w:ind w:left="284" w:hanging="284"/>
      </w:pPr>
      <w:r>
        <w:rPr>
          <w:rStyle w:val="FootnoteReference"/>
        </w:rPr>
        <w:footnoteRef/>
      </w:r>
      <w:r w:rsidR="00FF3F2B">
        <w:tab/>
      </w:r>
      <w:r>
        <w:t>Section 35(7) of the ESC Act.</w:t>
      </w:r>
    </w:p>
  </w:footnote>
  <w:footnote w:id="105">
    <w:p w14:paraId="2F9BEE66" w14:textId="07741A52" w:rsidR="00E8237B" w:rsidRDefault="00E8237B" w:rsidP="008F0F98">
      <w:pPr>
        <w:pStyle w:val="FootnoteText"/>
        <w:ind w:left="284" w:hanging="284"/>
      </w:pPr>
      <w:r>
        <w:rPr>
          <w:rStyle w:val="FootnoteReference"/>
        </w:rPr>
        <w:footnoteRef/>
      </w:r>
      <w:r w:rsidR="00FF3F2B">
        <w:tab/>
      </w:r>
      <w:r>
        <w:t>Sections 110F(2) and 124(4) of the CPVI Act.</w:t>
      </w:r>
    </w:p>
  </w:footnote>
  <w:footnote w:id="106">
    <w:p w14:paraId="0C159454" w14:textId="325C26E8" w:rsidR="00E8237B" w:rsidRDefault="00E8237B" w:rsidP="008F0F98">
      <w:pPr>
        <w:pStyle w:val="FootnoteText"/>
        <w:ind w:left="284" w:hanging="284"/>
      </w:pPr>
      <w:r>
        <w:rPr>
          <w:rStyle w:val="FootnoteReference"/>
        </w:rPr>
        <w:footnoteRef/>
      </w:r>
      <w:r w:rsidR="00FF3F2B">
        <w:tab/>
      </w:r>
      <w:r>
        <w:t>Section 110A of the CPVI Act. These zones are defined in the 2014 Determination of Taxi Zone Boundaries, issued by the Taxi Services Commission (now Safe Transport Victoria) (Victorian Government Gazette No. S 184 Thursday 12 June 2014).</w:t>
      </w:r>
    </w:p>
  </w:footnote>
  <w:footnote w:id="107">
    <w:p w14:paraId="32E802C1" w14:textId="3A6130B0" w:rsidR="00E8237B" w:rsidRDefault="00E8237B" w:rsidP="008F0F98">
      <w:pPr>
        <w:pStyle w:val="FootnoteText"/>
        <w:ind w:left="284" w:hanging="284"/>
      </w:pPr>
      <w:r>
        <w:rPr>
          <w:rStyle w:val="FootnoteReference"/>
        </w:rPr>
        <w:footnoteRef/>
      </w:r>
      <w:r w:rsidR="002B3C53">
        <w:tab/>
      </w:r>
      <w:r>
        <w:t xml:space="preserve">Section 3 of the CPVI Act. A ‘commercial passenger vehicle service’ is ‘the </w:t>
      </w:r>
      <w:r w:rsidRPr="00261379">
        <w:t>carriage, for a fare or other consideration, of one or more passengers in a motor vehicle on a journey that begins in Victoria and ends at one or more destinations (whether in or outside Victoria)</w:t>
      </w:r>
      <w:r>
        <w:t>’</w:t>
      </w:r>
      <w:r w:rsidRPr="00214414">
        <w:t xml:space="preserve"> </w:t>
      </w:r>
      <w:r>
        <w:t>(s. 4 CPVI Act)</w:t>
      </w:r>
      <w:r w:rsidRPr="00261379">
        <w:t>.</w:t>
      </w:r>
      <w:r>
        <w:t xml:space="preserve"> A person provides a ‘booking service’ if the person carries on the business of receiving requests for persons to be provided with commercial passenger vehicle services; and arranging or facilitating the acceptance of those requests by or on behalf of drivers of commercial passenger vehicles (s. 7 CPVI Act). Booked commercial passenger vehicle services are typically reserved prior to travel through an app, online, or over the phone.</w:t>
      </w:r>
    </w:p>
  </w:footnote>
  <w:footnote w:id="108">
    <w:p w14:paraId="09BE6E59" w14:textId="2B2B8139" w:rsidR="00E8237B" w:rsidRDefault="00E8237B" w:rsidP="008F0F98">
      <w:pPr>
        <w:pStyle w:val="FootnoteText"/>
        <w:ind w:left="284" w:hanging="284"/>
      </w:pPr>
      <w:r>
        <w:rPr>
          <w:rStyle w:val="FootnoteReference"/>
        </w:rPr>
        <w:footnoteRef/>
      </w:r>
      <w:r w:rsidR="002B3C53">
        <w:tab/>
      </w:r>
      <w:r>
        <w:t>These include requirements around fitting vehicles with fare calculation devices (meters) and security cameras. (reg. 12 and reg. 14)</w:t>
      </w:r>
    </w:p>
  </w:footnote>
  <w:footnote w:id="109">
    <w:p w14:paraId="699C03B4" w14:textId="5D5542FD" w:rsidR="00E8237B" w:rsidRDefault="00E8237B" w:rsidP="008F0F98">
      <w:pPr>
        <w:pStyle w:val="FootnoteText"/>
        <w:ind w:left="284" w:hanging="284"/>
      </w:pPr>
      <w:r>
        <w:rPr>
          <w:rStyle w:val="FootnoteReference"/>
        </w:rPr>
        <w:footnoteRef/>
      </w:r>
      <w:r w:rsidR="002B3C53">
        <w:tab/>
      </w:r>
      <w:r>
        <w:t>Section 112(2) provides that ‘A “non-cash payment surcharge” does not include a fee or charge that is imposed in respect of the use of a credit card, charge card or debit card – (a) by a participant in a designated payment system within the meaning of the Payment Systems (Regulation) Act 1998 (Cth) and is of a kind covered by a standard in force under section 18 of that Act; or</w:t>
      </w:r>
      <w:r w:rsidR="00B34B16">
        <w:t xml:space="preserve"> </w:t>
      </w:r>
      <w:r>
        <w:t>(b) by a person consistently with a voluntary undertaking given by the person to, and accepted by, the Reserve Bank of Australia.</w:t>
      </w:r>
    </w:p>
  </w:footnote>
  <w:footnote w:id="110">
    <w:p w14:paraId="2146F326" w14:textId="360D42EC" w:rsidR="00E8237B" w:rsidRPr="00EE47BB" w:rsidRDefault="00E8237B" w:rsidP="008F0F98">
      <w:pPr>
        <w:pStyle w:val="FootnoteText"/>
        <w:ind w:left="284" w:hanging="284"/>
      </w:pPr>
      <w:r>
        <w:rPr>
          <w:rStyle w:val="FootnoteReference"/>
        </w:rPr>
        <w:footnoteRef/>
      </w:r>
      <w:r w:rsidR="00212277">
        <w:tab/>
      </w:r>
      <w:r>
        <w:t xml:space="preserve">Reserve Bank of Australia 2016, </w:t>
      </w:r>
      <w:r>
        <w:rPr>
          <w:i/>
          <w:iCs/>
        </w:rPr>
        <w:t>Standard No. 3 of 2016; Scheme Rules Relating to Merchant Pricing for Credit, Debit and Prepaid Card Transactions</w:t>
      </w:r>
      <w:r>
        <w:t>, section 2.7, 1 September 2016 varied with effect from 1 January 2022.</w:t>
      </w:r>
    </w:p>
  </w:footnote>
  <w:footnote w:id="111">
    <w:p w14:paraId="39EABBB7" w14:textId="51167D10" w:rsidR="00E8237B" w:rsidRPr="00C81A07" w:rsidRDefault="00E8237B" w:rsidP="008F0F98">
      <w:pPr>
        <w:pStyle w:val="FootnoteText"/>
        <w:ind w:left="284" w:hanging="284"/>
      </w:pPr>
      <w:r>
        <w:rPr>
          <w:rStyle w:val="FootnoteReference"/>
        </w:rPr>
        <w:footnoteRef/>
      </w:r>
      <w:r w:rsidR="00212277">
        <w:tab/>
      </w:r>
      <w:r>
        <w:t xml:space="preserve">Reserve Bank of Australia, </w:t>
      </w:r>
      <w:hyperlink r:id="rId15" w:anchor="surcharging-consumers-q7" w:history="1">
        <w:r w:rsidRPr="00796D7C">
          <w:rPr>
            <w:rStyle w:val="Hyperlink"/>
            <w:i/>
            <w:iCs/>
          </w:rPr>
          <w:t>Questions and Answers: Card Payments Regulation</w:t>
        </w:r>
      </w:hyperlink>
      <w:r>
        <w:t>, ‘Do the rules affect the taxi industry’, accessed 27 March 2024.</w:t>
      </w:r>
    </w:p>
  </w:footnote>
  <w:footnote w:id="112">
    <w:p w14:paraId="7D303D2F" w14:textId="258F1C95" w:rsidR="00E8237B" w:rsidRDefault="00E8237B" w:rsidP="008F0F98">
      <w:pPr>
        <w:pStyle w:val="FootnoteText"/>
        <w:ind w:left="284" w:hanging="284"/>
      </w:pPr>
      <w:r>
        <w:rPr>
          <w:rStyle w:val="FootnoteReference"/>
        </w:rPr>
        <w:footnoteRef/>
      </w:r>
      <w:r w:rsidR="00212277">
        <w:tab/>
      </w:r>
      <w:r>
        <w:t>Section 33(2) of the ESC Act.</w:t>
      </w:r>
    </w:p>
  </w:footnote>
  <w:footnote w:id="113">
    <w:p w14:paraId="3EA82EE2" w14:textId="55B3BA50" w:rsidR="00E8237B" w:rsidRDefault="00E8237B" w:rsidP="008F0F98">
      <w:pPr>
        <w:pStyle w:val="FootnoteText"/>
        <w:ind w:left="284" w:hanging="284"/>
      </w:pPr>
      <w:r>
        <w:rPr>
          <w:rStyle w:val="FootnoteReference"/>
        </w:rPr>
        <w:footnoteRef/>
      </w:r>
      <w:r w:rsidR="00212277">
        <w:tab/>
      </w:r>
      <w:r>
        <w:t>Section 8(1) of the ESC Act.</w:t>
      </w:r>
    </w:p>
  </w:footnote>
  <w:footnote w:id="114">
    <w:p w14:paraId="551B62DA" w14:textId="45CFB31C" w:rsidR="00E8237B" w:rsidRDefault="00E8237B" w:rsidP="008F0F98">
      <w:pPr>
        <w:pStyle w:val="FootnoteText"/>
        <w:ind w:left="284" w:hanging="284"/>
      </w:pPr>
      <w:r>
        <w:rPr>
          <w:rStyle w:val="FootnoteReference"/>
        </w:rPr>
        <w:footnoteRef/>
      </w:r>
      <w:r w:rsidR="00212277">
        <w:tab/>
      </w:r>
      <w:r>
        <w:t>Section 8(2) of the ESC Act.</w:t>
      </w:r>
    </w:p>
  </w:footnote>
  <w:footnote w:id="115">
    <w:p w14:paraId="16AC1B5E" w14:textId="7DB175D9" w:rsidR="00E8237B" w:rsidRDefault="00E8237B" w:rsidP="008F0F98">
      <w:pPr>
        <w:pStyle w:val="FootnoteText"/>
        <w:ind w:left="284" w:hanging="284"/>
      </w:pPr>
      <w:r>
        <w:rPr>
          <w:rStyle w:val="FootnoteReference"/>
        </w:rPr>
        <w:footnoteRef/>
      </w:r>
      <w:r w:rsidR="00212277">
        <w:tab/>
      </w:r>
      <w:r>
        <w:t>Section 8A(2) of the ESC Act.</w:t>
      </w:r>
    </w:p>
  </w:footnote>
  <w:footnote w:id="116">
    <w:p w14:paraId="63A29447" w14:textId="002529A0" w:rsidR="00E8237B" w:rsidRDefault="00E8237B" w:rsidP="008F0F98">
      <w:pPr>
        <w:pStyle w:val="FootnoteText"/>
        <w:ind w:left="284" w:hanging="284"/>
      </w:pPr>
      <w:r>
        <w:rPr>
          <w:rStyle w:val="FootnoteReference"/>
        </w:rPr>
        <w:footnoteRef/>
      </w:r>
      <w:r w:rsidR="00212277">
        <w:tab/>
      </w:r>
      <w:r>
        <w:t>Section 110C of the CPVI Act.</w:t>
      </w:r>
    </w:p>
  </w:footnote>
  <w:footnote w:id="117">
    <w:p w14:paraId="6F1F4B4C" w14:textId="3866366E" w:rsidR="00E8237B" w:rsidRDefault="00E8237B" w:rsidP="008F0F98">
      <w:pPr>
        <w:pStyle w:val="FootnoteText"/>
        <w:ind w:left="284" w:hanging="284"/>
      </w:pPr>
      <w:r>
        <w:rPr>
          <w:rStyle w:val="FootnoteReference"/>
        </w:rPr>
        <w:footnoteRef/>
      </w:r>
      <w:r w:rsidR="00212277">
        <w:tab/>
      </w:r>
      <w:r>
        <w:t>Section 122(1) of the CPVI Act.</w:t>
      </w:r>
    </w:p>
  </w:footnote>
  <w:footnote w:id="118">
    <w:p w14:paraId="1E9884D8" w14:textId="42E9D2AA" w:rsidR="00E8237B" w:rsidRDefault="00E8237B" w:rsidP="008F0F98">
      <w:pPr>
        <w:pStyle w:val="FootnoteText"/>
        <w:ind w:left="284" w:hanging="284"/>
      </w:pPr>
      <w:r>
        <w:rPr>
          <w:rStyle w:val="FootnoteReference"/>
        </w:rPr>
        <w:footnoteRef/>
      </w:r>
      <w:r>
        <w:t xml:space="preserve"> </w:t>
      </w:r>
      <w:r w:rsidR="007119CE">
        <w:tab/>
      </w:r>
      <w:r>
        <w:t>Section 122(2) and 122(3) of the CPVI Act.</w:t>
      </w:r>
    </w:p>
  </w:footnote>
  <w:footnote w:id="119">
    <w:p w14:paraId="5C2D0B0A" w14:textId="271E2DF9" w:rsidR="00E8237B" w:rsidRDefault="00E8237B" w:rsidP="008F0F98">
      <w:pPr>
        <w:pStyle w:val="FootnoteText"/>
        <w:ind w:left="284" w:hanging="284"/>
      </w:pPr>
      <w:r>
        <w:rPr>
          <w:rStyle w:val="FootnoteReference"/>
        </w:rPr>
        <w:footnoteRef/>
      </w:r>
      <w:r w:rsidR="00212277">
        <w:tab/>
      </w:r>
      <w:r>
        <w:t>Section 8A of the ESC Act.</w:t>
      </w:r>
    </w:p>
  </w:footnote>
  <w:footnote w:id="120">
    <w:p w14:paraId="470D5DCB" w14:textId="2D817A2A" w:rsidR="00E8237B" w:rsidRDefault="00E8237B" w:rsidP="008F0F98">
      <w:pPr>
        <w:pStyle w:val="FootnoteText"/>
        <w:ind w:left="284" w:hanging="284"/>
      </w:pPr>
      <w:r>
        <w:rPr>
          <w:rStyle w:val="FootnoteReference"/>
        </w:rPr>
        <w:footnoteRef/>
      </w:r>
      <w:r w:rsidR="00212277">
        <w:tab/>
      </w:r>
      <w:r>
        <w:t>Section 33(3) of the ESC Act.</w:t>
      </w:r>
    </w:p>
  </w:footnote>
  <w:footnote w:id="121">
    <w:p w14:paraId="66D40272" w14:textId="34FCC2F7" w:rsidR="00E8237B" w:rsidRDefault="00E8237B" w:rsidP="008F0F98">
      <w:pPr>
        <w:pStyle w:val="FootnoteText"/>
        <w:ind w:left="284" w:hanging="284"/>
      </w:pPr>
      <w:r>
        <w:rPr>
          <w:rStyle w:val="FootnoteReference"/>
        </w:rPr>
        <w:footnoteRef/>
      </w:r>
      <w:r w:rsidR="00212277">
        <w:tab/>
      </w:r>
      <w:r>
        <w:t>S</w:t>
      </w:r>
      <w:r w:rsidRPr="007E00EF">
        <w:t xml:space="preserve">ection 33(4) of the </w:t>
      </w:r>
      <w:r>
        <w:t xml:space="preserve">ESC </w:t>
      </w:r>
      <w:r w:rsidRPr="007E00EF">
        <w:t>Act</w:t>
      </w:r>
      <w:r>
        <w:t>.</w:t>
      </w:r>
    </w:p>
  </w:footnote>
  <w:footnote w:id="122">
    <w:p w14:paraId="6E6EB71D" w14:textId="01A5B374" w:rsidR="00E8237B" w:rsidRDefault="00E8237B" w:rsidP="008F0F98">
      <w:pPr>
        <w:pStyle w:val="FootnoteText"/>
        <w:ind w:left="284" w:hanging="284"/>
      </w:pPr>
      <w:r>
        <w:rPr>
          <w:rStyle w:val="FootnoteReference"/>
        </w:rPr>
        <w:footnoteRef/>
      </w:r>
      <w:r w:rsidR="00212277">
        <w:tab/>
      </w:r>
      <w:r>
        <w:t>Part 2, Division 2 of the Transport Integration Act.</w:t>
      </w:r>
    </w:p>
  </w:footnote>
  <w:footnote w:id="123">
    <w:p w14:paraId="2873BC5D" w14:textId="549DAF1F" w:rsidR="00E8237B" w:rsidRDefault="00E8237B" w:rsidP="008F0F98">
      <w:pPr>
        <w:pStyle w:val="FootnoteText"/>
        <w:ind w:left="284" w:hanging="284"/>
      </w:pPr>
      <w:r>
        <w:rPr>
          <w:rStyle w:val="FootnoteReference"/>
        </w:rPr>
        <w:footnoteRef/>
      </w:r>
      <w:r w:rsidR="00212277">
        <w:tab/>
      </w:r>
      <w:r>
        <w:t>Part 2, Division 3 of the Transport Integration Act.</w:t>
      </w:r>
    </w:p>
  </w:footnote>
  <w:footnote w:id="124">
    <w:p w14:paraId="7B0DF3C1" w14:textId="6C75D4A7" w:rsidR="00E8237B" w:rsidRDefault="00E8237B" w:rsidP="008F0F98">
      <w:pPr>
        <w:pStyle w:val="FootnoteText"/>
        <w:ind w:left="284" w:hanging="284"/>
      </w:pPr>
      <w:r>
        <w:rPr>
          <w:rStyle w:val="FootnoteReference"/>
        </w:rPr>
        <w:footnoteRef/>
      </w:r>
      <w:r w:rsidR="00212277">
        <w:tab/>
      </w:r>
      <w:r>
        <w:t>Sections 26 and 27 of the Transport Integration Act.</w:t>
      </w:r>
    </w:p>
  </w:footnote>
  <w:footnote w:id="125">
    <w:p w14:paraId="614D2740" w14:textId="5F7A873B" w:rsidR="00E8237B" w:rsidRDefault="00E8237B" w:rsidP="008F0F98">
      <w:pPr>
        <w:pStyle w:val="FootnoteText"/>
        <w:ind w:left="284" w:hanging="284"/>
      </w:pPr>
      <w:r>
        <w:rPr>
          <w:rStyle w:val="FootnoteReference"/>
        </w:rPr>
        <w:footnoteRef/>
      </w:r>
      <w:r w:rsidR="00212277">
        <w:tab/>
      </w:r>
      <w:r>
        <w:t xml:space="preserve">Section 38(1) of the Charter of Human Rights and Responsibilities Act </w:t>
      </w:r>
    </w:p>
  </w:footnote>
  <w:footnote w:id="126">
    <w:p w14:paraId="67E7B111" w14:textId="1E46E0CD" w:rsidR="00E8237B" w:rsidRDefault="00E8237B" w:rsidP="008F0F98">
      <w:pPr>
        <w:pStyle w:val="FootnoteText"/>
        <w:ind w:left="284" w:hanging="284"/>
      </w:pPr>
      <w:r>
        <w:rPr>
          <w:rStyle w:val="FootnoteReference"/>
        </w:rPr>
        <w:footnoteRef/>
      </w:r>
      <w:r w:rsidR="00212277">
        <w:tab/>
      </w:r>
      <w:r>
        <w:t>Section 33(5) of the ESC Act.</w:t>
      </w:r>
    </w:p>
  </w:footnote>
  <w:footnote w:id="127">
    <w:p w14:paraId="3E80CBD1" w14:textId="6717D576" w:rsidR="00E8237B" w:rsidRDefault="00E8237B" w:rsidP="008F0F98">
      <w:pPr>
        <w:pStyle w:val="FootnoteText"/>
        <w:ind w:left="284" w:hanging="284"/>
      </w:pPr>
      <w:r>
        <w:rPr>
          <w:rStyle w:val="FootnoteReference"/>
        </w:rPr>
        <w:footnoteRef/>
      </w:r>
      <w:r w:rsidR="00E579C7">
        <w:tab/>
      </w:r>
      <w:r>
        <w:t>Section 110E of the CPVI Act.</w:t>
      </w:r>
    </w:p>
  </w:footnote>
  <w:footnote w:id="128">
    <w:p w14:paraId="6E17E751" w14:textId="6D569FFC" w:rsidR="00E8237B" w:rsidRDefault="00E8237B" w:rsidP="008F0F98">
      <w:pPr>
        <w:pStyle w:val="FootnoteText"/>
        <w:ind w:left="284" w:hanging="284"/>
      </w:pPr>
      <w:r>
        <w:rPr>
          <w:rStyle w:val="FootnoteReference"/>
        </w:rPr>
        <w:footnoteRef/>
      </w:r>
      <w:r w:rsidR="00E579C7">
        <w:tab/>
      </w:r>
      <w:r>
        <w:t>For the purposes of section 110E of the CPVI Act, ‘</w:t>
      </w:r>
      <w:r w:rsidRPr="000059AF">
        <w:t>taxi service</w:t>
      </w:r>
      <w:r>
        <w:t>’</w:t>
      </w:r>
      <w:r w:rsidRPr="000059AF">
        <w:t xml:space="preserve"> means </w:t>
      </w:r>
      <w:r>
        <w:t>‘</w:t>
      </w:r>
      <w:r w:rsidRPr="000059AF">
        <w:t>an unbooked commercial passenger vehicle service where the fare is calculated based on time and distance travelled as measured by a fare calculation device</w:t>
      </w:r>
      <w:r>
        <w:t>’ and ‘</w:t>
      </w:r>
      <w:r w:rsidRPr="00867179">
        <w:t>fare calculation device</w:t>
      </w:r>
      <w:r>
        <w:t>’</w:t>
      </w:r>
      <w:r w:rsidRPr="00867179">
        <w:t xml:space="preserve"> means </w:t>
      </w:r>
      <w:r>
        <w:t>‘</w:t>
      </w:r>
      <w:r w:rsidRPr="00867179">
        <w:t>a mechanical, electrical or electronic device that calculates, records or displays information about fares and charges for the provision of unbooked commercial passenger vehicle services</w:t>
      </w:r>
      <w:r>
        <w:t>’. (s. 110E CPVI Act)</w:t>
      </w:r>
    </w:p>
  </w:footnote>
  <w:footnote w:id="129">
    <w:p w14:paraId="2611F8D3" w14:textId="0900B215" w:rsidR="00E8237B" w:rsidRDefault="00E8237B" w:rsidP="008F0F98">
      <w:pPr>
        <w:pStyle w:val="FootnoteText"/>
        <w:ind w:left="284" w:hanging="284"/>
      </w:pPr>
      <w:r>
        <w:rPr>
          <w:rStyle w:val="FootnoteReference"/>
        </w:rPr>
        <w:footnoteRef/>
      </w:r>
      <w:r w:rsidR="00E579C7">
        <w:tab/>
      </w:r>
      <w:r>
        <w:t>Section 124(1) of the CPVI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1B3D" w14:textId="3D841BE0" w:rsidR="003A30F3" w:rsidRPr="00CC3499" w:rsidRDefault="007E1738" w:rsidP="00CC3499">
    <w:pPr>
      <w:pStyle w:val="Header"/>
      <w:tabs>
        <w:tab w:val="clear" w:pos="4680"/>
        <w:tab w:val="clear" w:pos="9360"/>
        <w:tab w:val="left" w:pos="2236"/>
      </w:tabs>
      <w:jc w:val="center"/>
      <w:rPr>
        <w:b/>
        <w:bCs/>
      </w:rPr>
    </w:pPr>
    <w:r w:rsidRPr="00CC3499">
      <w:rPr>
        <w:b/>
        <w:bCs/>
        <w:noProof/>
        <w:color w:val="FF0000"/>
        <w:lang w:eastAsia="en-AU"/>
      </w:rPr>
      <mc:AlternateContent>
        <mc:Choice Requires="wpg">
          <w:drawing>
            <wp:anchor distT="0" distB="0" distL="114300" distR="114300" simplePos="0" relativeHeight="251658243" behindDoc="0" locked="1" layoutInCell="1" allowOverlap="1" wp14:anchorId="05E0C314" wp14:editId="1AA899DB">
              <wp:simplePos x="0" y="0"/>
              <wp:positionH relativeFrom="page">
                <wp:posOffset>179705</wp:posOffset>
              </wp:positionH>
              <wp:positionV relativeFrom="page">
                <wp:posOffset>187960</wp:posOffset>
              </wp:positionV>
              <wp:extent cx="7199630" cy="10309860"/>
              <wp:effectExtent l="0" t="0" r="1270" b="0"/>
              <wp:wrapNone/>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685CECF" id="Group 4" o:spid="_x0000_s1026" style="position:absolute;margin-left:14.15pt;margin-top:14.8pt;width:566.9pt;height:811.8pt;z-index:251658243;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CC3499">
      <w:rPr>
        <w:b/>
        <w:bCs/>
        <w:noProof/>
        <w:color w:val="FF0000"/>
        <w:lang w:eastAsia="en-AU"/>
      </w:rPr>
      <w:drawing>
        <wp:anchor distT="0" distB="431800" distL="114300" distR="114300" simplePos="0" relativeHeight="251658242" behindDoc="1" locked="1" layoutInCell="1" allowOverlap="1" wp14:anchorId="512313E4" wp14:editId="49BEE78C">
          <wp:simplePos x="0" y="0"/>
          <wp:positionH relativeFrom="page">
            <wp:posOffset>720090</wp:posOffset>
          </wp:positionH>
          <wp:positionV relativeFrom="page">
            <wp:posOffset>720090</wp:posOffset>
          </wp:positionV>
          <wp:extent cx="2656800" cy="828000"/>
          <wp:effectExtent l="0" t="0" r="0" b="0"/>
          <wp:wrapTopAndBottom/>
          <wp:docPr id="989731694" name="Picture 98973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808F" w14:textId="3E92C9A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3BC5B7E8" wp14:editId="2B2D1527">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B2868E"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7B9132C9" wp14:editId="0C563D03">
          <wp:simplePos x="0" y="0"/>
          <wp:positionH relativeFrom="page">
            <wp:posOffset>720090</wp:posOffset>
          </wp:positionH>
          <wp:positionV relativeFrom="page">
            <wp:posOffset>720090</wp:posOffset>
          </wp:positionV>
          <wp:extent cx="2656800" cy="828000"/>
          <wp:effectExtent l="0" t="0" r="0" b="0"/>
          <wp:wrapTopAndBottom/>
          <wp:docPr id="1969881071" name="Picture 196988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7CAF" w14:textId="141BF2C3" w:rsidR="003A30F3" w:rsidRPr="00633068" w:rsidRDefault="003A30F3" w:rsidP="00B30ADA">
    <w:pPr>
      <w:pStyle w:val="Header"/>
      <w:tabs>
        <w:tab w:val="clear" w:pos="4680"/>
        <w:tab w:val="clear" w:pos="9360"/>
        <w:tab w:val="left" w:pos="2236"/>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E44C" w14:textId="6B79331E" w:rsidR="003A30F3" w:rsidRPr="002C5A4D" w:rsidRDefault="003A30F3" w:rsidP="002C5A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A596" w14:textId="50943102" w:rsidR="00A60EF6" w:rsidRDefault="00A60EF6" w:rsidP="0078433B">
    <w:pPr>
      <w:pStyle w:val="Header"/>
      <w:tabs>
        <w:tab w:val="clear" w:pos="4680"/>
        <w:tab w:val="clear" w:pos="9360"/>
        <w:tab w:val="left" w:pos="2236"/>
      </w:tabs>
      <w:jc w:val="center"/>
    </w:pPr>
  </w:p>
</w:hdr>
</file>

<file path=word/intelligence2.xml><?xml version="1.0" encoding="utf-8"?>
<int2:intelligence xmlns:int2="http://schemas.microsoft.com/office/intelligence/2020/intelligence" xmlns:oel="http://schemas.microsoft.com/office/2019/extlst">
  <int2:observations>
    <int2:bookmark int2:bookmarkName="_Int_CNTG0r0D" int2:invalidationBookmarkName="" int2:hashCode="jvaD1KNZnW6Sxu" int2:id="3fQDdeJ6">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70A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A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5CB5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74F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0124E"/>
    <w:multiLevelType w:val="hybridMultilevel"/>
    <w:tmpl w:val="D6C4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1171CD"/>
    <w:multiLevelType w:val="hybridMultilevel"/>
    <w:tmpl w:val="CE505E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510C0B"/>
    <w:multiLevelType w:val="multilevel"/>
    <w:tmpl w:val="3D66CBA2"/>
    <w:numStyleLink w:val="CustomNumberlist"/>
  </w:abstractNum>
  <w:abstractNum w:abstractNumId="16" w15:restartNumberingAfterBreak="0">
    <w:nsid w:val="1B3C049B"/>
    <w:multiLevelType w:val="multilevel"/>
    <w:tmpl w:val="6D9A2BC2"/>
    <w:numStyleLink w:val="NumberedHeadings"/>
  </w:abstractNum>
  <w:abstractNum w:abstractNumId="17" w15:restartNumberingAfterBreak="0">
    <w:nsid w:val="1B827F0E"/>
    <w:multiLevelType w:val="hybridMultilevel"/>
    <w:tmpl w:val="36420F68"/>
    <w:lvl w:ilvl="0" w:tplc="A7FE365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6C1D2C"/>
    <w:multiLevelType w:val="hybridMultilevel"/>
    <w:tmpl w:val="17E04A80"/>
    <w:lvl w:ilvl="0" w:tplc="1B6208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8052EF"/>
    <w:multiLevelType w:val="multilevel"/>
    <w:tmpl w:val="DF4A9966"/>
    <w:numStyleLink w:val="TableBullets"/>
  </w:abstractNum>
  <w:abstractNum w:abstractNumId="20"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391238"/>
    <w:multiLevelType w:val="multilevel"/>
    <w:tmpl w:val="6D9A2BC2"/>
    <w:numStyleLink w:val="NumberedHeadings"/>
  </w:abstractNum>
  <w:abstractNum w:abstractNumId="22" w15:restartNumberingAfterBreak="0">
    <w:nsid w:val="2F731993"/>
    <w:multiLevelType w:val="hybridMultilevel"/>
    <w:tmpl w:val="127EEAE8"/>
    <w:lvl w:ilvl="0" w:tplc="61CA13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1C4571"/>
    <w:multiLevelType w:val="hybridMultilevel"/>
    <w:tmpl w:val="623E4A38"/>
    <w:lvl w:ilvl="0" w:tplc="5E7296E0">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8A6EA2"/>
    <w:multiLevelType w:val="hybridMultilevel"/>
    <w:tmpl w:val="FE92CC74"/>
    <w:lvl w:ilvl="0" w:tplc="8A78B5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A454D7"/>
    <w:multiLevelType w:val="multilevel"/>
    <w:tmpl w:val="6D9A2BC2"/>
    <w:numStyleLink w:val="NumberedHeadings"/>
  </w:abstractNum>
  <w:abstractNum w:abstractNumId="2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E30DE6"/>
    <w:multiLevelType w:val="hybridMultilevel"/>
    <w:tmpl w:val="CE505E40"/>
    <w:lvl w:ilvl="0" w:tplc="D37480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8B0109"/>
    <w:multiLevelType w:val="multilevel"/>
    <w:tmpl w:val="3D66CBA2"/>
    <w:numStyleLink w:val="CustomNumberlist"/>
  </w:abstractNum>
  <w:abstractNum w:abstractNumId="32" w15:restartNumberingAfterBreak="0">
    <w:nsid w:val="4C813EF1"/>
    <w:multiLevelType w:val="hybridMultilevel"/>
    <w:tmpl w:val="6AF0167C"/>
    <w:lvl w:ilvl="0" w:tplc="80FEED34">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514E5934"/>
    <w:multiLevelType w:val="hybridMultilevel"/>
    <w:tmpl w:val="B19C5B42"/>
    <w:lvl w:ilvl="0" w:tplc="846CBDE0">
      <w:start w:val="1"/>
      <w:numFmt w:val="bullet"/>
      <w:lvlText w:val="•"/>
      <w:lvlJc w:val="left"/>
      <w:pPr>
        <w:tabs>
          <w:tab w:val="num" w:pos="720"/>
        </w:tabs>
        <w:ind w:left="720" w:hanging="360"/>
      </w:pPr>
      <w:rPr>
        <w:rFonts w:ascii="Times New Roman" w:hAnsi="Times New Roman" w:hint="default"/>
      </w:rPr>
    </w:lvl>
    <w:lvl w:ilvl="1" w:tplc="D16E1012" w:tentative="1">
      <w:start w:val="1"/>
      <w:numFmt w:val="bullet"/>
      <w:lvlText w:val="•"/>
      <w:lvlJc w:val="left"/>
      <w:pPr>
        <w:tabs>
          <w:tab w:val="num" w:pos="1440"/>
        </w:tabs>
        <w:ind w:left="1440" w:hanging="360"/>
      </w:pPr>
      <w:rPr>
        <w:rFonts w:ascii="Times New Roman" w:hAnsi="Times New Roman" w:hint="default"/>
      </w:rPr>
    </w:lvl>
    <w:lvl w:ilvl="2" w:tplc="DC9A7B98" w:tentative="1">
      <w:start w:val="1"/>
      <w:numFmt w:val="bullet"/>
      <w:lvlText w:val="•"/>
      <w:lvlJc w:val="left"/>
      <w:pPr>
        <w:tabs>
          <w:tab w:val="num" w:pos="2160"/>
        </w:tabs>
        <w:ind w:left="2160" w:hanging="360"/>
      </w:pPr>
      <w:rPr>
        <w:rFonts w:ascii="Times New Roman" w:hAnsi="Times New Roman" w:hint="default"/>
      </w:rPr>
    </w:lvl>
    <w:lvl w:ilvl="3" w:tplc="FC3E7676" w:tentative="1">
      <w:start w:val="1"/>
      <w:numFmt w:val="bullet"/>
      <w:lvlText w:val="•"/>
      <w:lvlJc w:val="left"/>
      <w:pPr>
        <w:tabs>
          <w:tab w:val="num" w:pos="2880"/>
        </w:tabs>
        <w:ind w:left="2880" w:hanging="360"/>
      </w:pPr>
      <w:rPr>
        <w:rFonts w:ascii="Times New Roman" w:hAnsi="Times New Roman" w:hint="default"/>
      </w:rPr>
    </w:lvl>
    <w:lvl w:ilvl="4" w:tplc="00563050" w:tentative="1">
      <w:start w:val="1"/>
      <w:numFmt w:val="bullet"/>
      <w:lvlText w:val="•"/>
      <w:lvlJc w:val="left"/>
      <w:pPr>
        <w:tabs>
          <w:tab w:val="num" w:pos="3600"/>
        </w:tabs>
        <w:ind w:left="3600" w:hanging="360"/>
      </w:pPr>
      <w:rPr>
        <w:rFonts w:ascii="Times New Roman" w:hAnsi="Times New Roman" w:hint="default"/>
      </w:rPr>
    </w:lvl>
    <w:lvl w:ilvl="5" w:tplc="C212B846" w:tentative="1">
      <w:start w:val="1"/>
      <w:numFmt w:val="bullet"/>
      <w:lvlText w:val="•"/>
      <w:lvlJc w:val="left"/>
      <w:pPr>
        <w:tabs>
          <w:tab w:val="num" w:pos="4320"/>
        </w:tabs>
        <w:ind w:left="4320" w:hanging="360"/>
      </w:pPr>
      <w:rPr>
        <w:rFonts w:ascii="Times New Roman" w:hAnsi="Times New Roman" w:hint="default"/>
      </w:rPr>
    </w:lvl>
    <w:lvl w:ilvl="6" w:tplc="FB28B9D0" w:tentative="1">
      <w:start w:val="1"/>
      <w:numFmt w:val="bullet"/>
      <w:lvlText w:val="•"/>
      <w:lvlJc w:val="left"/>
      <w:pPr>
        <w:tabs>
          <w:tab w:val="num" w:pos="5040"/>
        </w:tabs>
        <w:ind w:left="5040" w:hanging="360"/>
      </w:pPr>
      <w:rPr>
        <w:rFonts w:ascii="Times New Roman" w:hAnsi="Times New Roman" w:hint="default"/>
      </w:rPr>
    </w:lvl>
    <w:lvl w:ilvl="7" w:tplc="E5860C60" w:tentative="1">
      <w:start w:val="1"/>
      <w:numFmt w:val="bullet"/>
      <w:lvlText w:val="•"/>
      <w:lvlJc w:val="left"/>
      <w:pPr>
        <w:tabs>
          <w:tab w:val="num" w:pos="5760"/>
        </w:tabs>
        <w:ind w:left="5760" w:hanging="360"/>
      </w:pPr>
      <w:rPr>
        <w:rFonts w:ascii="Times New Roman" w:hAnsi="Times New Roman" w:hint="default"/>
      </w:rPr>
    </w:lvl>
    <w:lvl w:ilvl="8" w:tplc="01846D1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A69309E"/>
    <w:multiLevelType w:val="hybridMultilevel"/>
    <w:tmpl w:val="A3EE65C6"/>
    <w:lvl w:ilvl="0" w:tplc="1BEC7A6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505317"/>
    <w:multiLevelType w:val="multilevel"/>
    <w:tmpl w:val="3D66CBA2"/>
    <w:numStyleLink w:val="CustomNumberlist"/>
  </w:abstractNum>
  <w:abstractNum w:abstractNumId="3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7761702">
    <w:abstractNumId w:val="9"/>
  </w:num>
  <w:num w:numId="2" w16cid:durableId="1344433312">
    <w:abstractNumId w:val="7"/>
  </w:num>
  <w:num w:numId="3" w16cid:durableId="950087547">
    <w:abstractNumId w:val="6"/>
  </w:num>
  <w:num w:numId="4" w16cid:durableId="2039115995">
    <w:abstractNumId w:val="5"/>
  </w:num>
  <w:num w:numId="5" w16cid:durableId="1712607341">
    <w:abstractNumId w:val="4"/>
  </w:num>
  <w:num w:numId="6" w16cid:durableId="1740592893">
    <w:abstractNumId w:val="8"/>
  </w:num>
  <w:num w:numId="7" w16cid:durableId="1457529708">
    <w:abstractNumId w:val="3"/>
  </w:num>
  <w:num w:numId="8" w16cid:durableId="566962311">
    <w:abstractNumId w:val="2"/>
  </w:num>
  <w:num w:numId="9" w16cid:durableId="1230849289">
    <w:abstractNumId w:val="1"/>
  </w:num>
  <w:num w:numId="10" w16cid:durableId="372585939">
    <w:abstractNumId w:val="28"/>
  </w:num>
  <w:num w:numId="11" w16cid:durableId="711804848">
    <w:abstractNumId w:val="20"/>
  </w:num>
  <w:num w:numId="12" w16cid:durableId="944970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990333">
    <w:abstractNumId w:val="0"/>
  </w:num>
  <w:num w:numId="14" w16cid:durableId="1551846005">
    <w:abstractNumId w:val="20"/>
  </w:num>
  <w:num w:numId="15" w16cid:durableId="1815946754">
    <w:abstractNumId w:val="21"/>
  </w:num>
  <w:num w:numId="16" w16cid:durableId="1848791480">
    <w:abstractNumId w:val="12"/>
  </w:num>
  <w:num w:numId="17" w16cid:durableId="1514102916">
    <w:abstractNumId w:val="30"/>
  </w:num>
  <w:num w:numId="18" w16cid:durableId="1240555416">
    <w:abstractNumId w:val="30"/>
  </w:num>
  <w:num w:numId="19" w16cid:durableId="941113518">
    <w:abstractNumId w:val="24"/>
  </w:num>
  <w:num w:numId="20" w16cid:durableId="1425028574">
    <w:abstractNumId w:val="15"/>
  </w:num>
  <w:num w:numId="21" w16cid:durableId="1072581196">
    <w:abstractNumId w:val="34"/>
  </w:num>
  <w:num w:numId="22" w16cid:durableId="1474448902">
    <w:abstractNumId w:val="37"/>
  </w:num>
  <w:num w:numId="23" w16cid:durableId="154146759">
    <w:abstractNumId w:val="13"/>
  </w:num>
  <w:num w:numId="24" w16cid:durableId="1831169626">
    <w:abstractNumId w:val="40"/>
  </w:num>
  <w:num w:numId="25" w16cid:durableId="1143427896">
    <w:abstractNumId w:val="36"/>
  </w:num>
  <w:num w:numId="26" w16cid:durableId="495270193">
    <w:abstractNumId w:val="38"/>
  </w:num>
  <w:num w:numId="27" w16cid:durableId="560530436">
    <w:abstractNumId w:val="19"/>
  </w:num>
  <w:num w:numId="28" w16cid:durableId="838429866">
    <w:abstractNumId w:val="27"/>
  </w:num>
  <w:num w:numId="29" w16cid:durableId="275186698">
    <w:abstractNumId w:val="25"/>
  </w:num>
  <w:num w:numId="30" w16cid:durableId="869995055">
    <w:abstractNumId w:val="16"/>
  </w:num>
  <w:num w:numId="31" w16cid:durableId="1503740093">
    <w:abstractNumId w:val="31"/>
  </w:num>
  <w:num w:numId="32" w16cid:durableId="1781491648">
    <w:abstractNumId w:val="11"/>
  </w:num>
  <w:num w:numId="33" w16cid:durableId="28994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6099854">
    <w:abstractNumId w:val="39"/>
  </w:num>
  <w:num w:numId="35" w16cid:durableId="1040086041">
    <w:abstractNumId w:val="32"/>
  </w:num>
  <w:num w:numId="36" w16cid:durableId="325204367">
    <w:abstractNumId w:val="29"/>
  </w:num>
  <w:num w:numId="37" w16cid:durableId="70543528">
    <w:abstractNumId w:val="26"/>
  </w:num>
  <w:num w:numId="38" w16cid:durableId="1295674202">
    <w:abstractNumId w:val="22"/>
  </w:num>
  <w:num w:numId="39" w16cid:durableId="60445501">
    <w:abstractNumId w:val="18"/>
  </w:num>
  <w:num w:numId="40" w16cid:durableId="2131707538">
    <w:abstractNumId w:val="28"/>
  </w:num>
  <w:num w:numId="41" w16cid:durableId="1776056562">
    <w:abstractNumId w:val="28"/>
  </w:num>
  <w:num w:numId="42" w16cid:durableId="174460539">
    <w:abstractNumId w:val="14"/>
  </w:num>
  <w:num w:numId="43" w16cid:durableId="1810852701">
    <w:abstractNumId w:val="28"/>
  </w:num>
  <w:num w:numId="44" w16cid:durableId="876620900">
    <w:abstractNumId w:val="28"/>
  </w:num>
  <w:num w:numId="45" w16cid:durableId="539241419">
    <w:abstractNumId w:val="33"/>
  </w:num>
  <w:num w:numId="46" w16cid:durableId="1541555415">
    <w:abstractNumId w:val="23"/>
  </w:num>
  <w:num w:numId="47" w16cid:durableId="1120028152">
    <w:abstractNumId w:val="10"/>
  </w:num>
  <w:num w:numId="48" w16cid:durableId="951666567">
    <w:abstractNumId w:val="17"/>
  </w:num>
  <w:num w:numId="49" w16cid:durableId="8148827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370"/>
    <w:rsid w:val="000003A8"/>
    <w:rsid w:val="00000588"/>
    <w:rsid w:val="00000641"/>
    <w:rsid w:val="0000078E"/>
    <w:rsid w:val="00000866"/>
    <w:rsid w:val="00000950"/>
    <w:rsid w:val="000009BE"/>
    <w:rsid w:val="000009EE"/>
    <w:rsid w:val="00000C81"/>
    <w:rsid w:val="00000D95"/>
    <w:rsid w:val="00000E14"/>
    <w:rsid w:val="00000E79"/>
    <w:rsid w:val="0000110D"/>
    <w:rsid w:val="0000117E"/>
    <w:rsid w:val="00001405"/>
    <w:rsid w:val="00001474"/>
    <w:rsid w:val="000014D8"/>
    <w:rsid w:val="0000154C"/>
    <w:rsid w:val="00001A9E"/>
    <w:rsid w:val="00001BBB"/>
    <w:rsid w:val="00001BF0"/>
    <w:rsid w:val="00001E30"/>
    <w:rsid w:val="00001F16"/>
    <w:rsid w:val="00002304"/>
    <w:rsid w:val="00002405"/>
    <w:rsid w:val="00002556"/>
    <w:rsid w:val="00002570"/>
    <w:rsid w:val="0000264A"/>
    <w:rsid w:val="000027DE"/>
    <w:rsid w:val="00002805"/>
    <w:rsid w:val="0000286F"/>
    <w:rsid w:val="000029F7"/>
    <w:rsid w:val="00002A28"/>
    <w:rsid w:val="00002B14"/>
    <w:rsid w:val="00002B70"/>
    <w:rsid w:val="00002BB5"/>
    <w:rsid w:val="000032DA"/>
    <w:rsid w:val="00003339"/>
    <w:rsid w:val="00003461"/>
    <w:rsid w:val="000034F6"/>
    <w:rsid w:val="00003A02"/>
    <w:rsid w:val="00003B9A"/>
    <w:rsid w:val="00003BC4"/>
    <w:rsid w:val="00003E8F"/>
    <w:rsid w:val="00003EE1"/>
    <w:rsid w:val="00003FE8"/>
    <w:rsid w:val="000040DB"/>
    <w:rsid w:val="00004414"/>
    <w:rsid w:val="000045D6"/>
    <w:rsid w:val="000046BD"/>
    <w:rsid w:val="000050F0"/>
    <w:rsid w:val="00005139"/>
    <w:rsid w:val="00005403"/>
    <w:rsid w:val="00005415"/>
    <w:rsid w:val="00005434"/>
    <w:rsid w:val="00005513"/>
    <w:rsid w:val="00005634"/>
    <w:rsid w:val="0000590C"/>
    <w:rsid w:val="000059D6"/>
    <w:rsid w:val="00005B71"/>
    <w:rsid w:val="00005B93"/>
    <w:rsid w:val="00005CF2"/>
    <w:rsid w:val="00005EA9"/>
    <w:rsid w:val="00005FF5"/>
    <w:rsid w:val="00006132"/>
    <w:rsid w:val="0000630B"/>
    <w:rsid w:val="00006502"/>
    <w:rsid w:val="000066A4"/>
    <w:rsid w:val="0000680E"/>
    <w:rsid w:val="00006876"/>
    <w:rsid w:val="000068BE"/>
    <w:rsid w:val="000068DD"/>
    <w:rsid w:val="00006B99"/>
    <w:rsid w:val="00006BE1"/>
    <w:rsid w:val="00006E3D"/>
    <w:rsid w:val="000074E2"/>
    <w:rsid w:val="000075E9"/>
    <w:rsid w:val="0000794B"/>
    <w:rsid w:val="00007A18"/>
    <w:rsid w:val="00007CB6"/>
    <w:rsid w:val="0001001E"/>
    <w:rsid w:val="0001018D"/>
    <w:rsid w:val="000101CD"/>
    <w:rsid w:val="0001020D"/>
    <w:rsid w:val="00010290"/>
    <w:rsid w:val="00010385"/>
    <w:rsid w:val="000106FB"/>
    <w:rsid w:val="0001092A"/>
    <w:rsid w:val="000109B7"/>
    <w:rsid w:val="00010A3A"/>
    <w:rsid w:val="00010DD9"/>
    <w:rsid w:val="00010E67"/>
    <w:rsid w:val="000113B4"/>
    <w:rsid w:val="0001141D"/>
    <w:rsid w:val="0001144A"/>
    <w:rsid w:val="000114BD"/>
    <w:rsid w:val="00011658"/>
    <w:rsid w:val="00011B12"/>
    <w:rsid w:val="00011B76"/>
    <w:rsid w:val="00011D67"/>
    <w:rsid w:val="00011ECB"/>
    <w:rsid w:val="0001202E"/>
    <w:rsid w:val="0001207F"/>
    <w:rsid w:val="000120B2"/>
    <w:rsid w:val="0001210E"/>
    <w:rsid w:val="0001211B"/>
    <w:rsid w:val="000129F7"/>
    <w:rsid w:val="00012CC8"/>
    <w:rsid w:val="00012E4F"/>
    <w:rsid w:val="00012EEF"/>
    <w:rsid w:val="00012F49"/>
    <w:rsid w:val="0001335D"/>
    <w:rsid w:val="00013860"/>
    <w:rsid w:val="00014303"/>
    <w:rsid w:val="0001449B"/>
    <w:rsid w:val="000146DD"/>
    <w:rsid w:val="00014814"/>
    <w:rsid w:val="00014B32"/>
    <w:rsid w:val="00014B9B"/>
    <w:rsid w:val="00015175"/>
    <w:rsid w:val="00015588"/>
    <w:rsid w:val="00015742"/>
    <w:rsid w:val="00015749"/>
    <w:rsid w:val="00015B32"/>
    <w:rsid w:val="00015E57"/>
    <w:rsid w:val="00015EF3"/>
    <w:rsid w:val="00016110"/>
    <w:rsid w:val="0001619F"/>
    <w:rsid w:val="00016595"/>
    <w:rsid w:val="0001670E"/>
    <w:rsid w:val="0001686F"/>
    <w:rsid w:val="000168AC"/>
    <w:rsid w:val="00016ED2"/>
    <w:rsid w:val="00016FB6"/>
    <w:rsid w:val="00017073"/>
    <w:rsid w:val="00017208"/>
    <w:rsid w:val="0001729D"/>
    <w:rsid w:val="0001740F"/>
    <w:rsid w:val="000174E9"/>
    <w:rsid w:val="000175A5"/>
    <w:rsid w:val="00017680"/>
    <w:rsid w:val="00017816"/>
    <w:rsid w:val="000178C9"/>
    <w:rsid w:val="00017CD9"/>
    <w:rsid w:val="00017E50"/>
    <w:rsid w:val="0002012F"/>
    <w:rsid w:val="0002015F"/>
    <w:rsid w:val="00020AC2"/>
    <w:rsid w:val="00020B53"/>
    <w:rsid w:val="0002132D"/>
    <w:rsid w:val="0002171D"/>
    <w:rsid w:val="00021ACF"/>
    <w:rsid w:val="00021B9F"/>
    <w:rsid w:val="00021FBD"/>
    <w:rsid w:val="0002201E"/>
    <w:rsid w:val="000222FD"/>
    <w:rsid w:val="00022811"/>
    <w:rsid w:val="00022827"/>
    <w:rsid w:val="00022BC4"/>
    <w:rsid w:val="00022CBD"/>
    <w:rsid w:val="00022F45"/>
    <w:rsid w:val="0002322A"/>
    <w:rsid w:val="000232C4"/>
    <w:rsid w:val="000232C7"/>
    <w:rsid w:val="000233C4"/>
    <w:rsid w:val="00023436"/>
    <w:rsid w:val="000236D0"/>
    <w:rsid w:val="000236D5"/>
    <w:rsid w:val="000237EB"/>
    <w:rsid w:val="00023834"/>
    <w:rsid w:val="000239D3"/>
    <w:rsid w:val="00023BB3"/>
    <w:rsid w:val="00023F1A"/>
    <w:rsid w:val="000240E3"/>
    <w:rsid w:val="00024181"/>
    <w:rsid w:val="000243EF"/>
    <w:rsid w:val="00024436"/>
    <w:rsid w:val="0002474C"/>
    <w:rsid w:val="00024791"/>
    <w:rsid w:val="00024839"/>
    <w:rsid w:val="0002496E"/>
    <w:rsid w:val="00024AD1"/>
    <w:rsid w:val="00024BE8"/>
    <w:rsid w:val="00024C9A"/>
    <w:rsid w:val="00024E64"/>
    <w:rsid w:val="00024E76"/>
    <w:rsid w:val="00025124"/>
    <w:rsid w:val="00025229"/>
    <w:rsid w:val="00025260"/>
    <w:rsid w:val="000257C8"/>
    <w:rsid w:val="000257DA"/>
    <w:rsid w:val="0002583D"/>
    <w:rsid w:val="000258C8"/>
    <w:rsid w:val="00025AA2"/>
    <w:rsid w:val="00025AE0"/>
    <w:rsid w:val="00025BCB"/>
    <w:rsid w:val="00025E75"/>
    <w:rsid w:val="00025EEB"/>
    <w:rsid w:val="00026278"/>
    <w:rsid w:val="0002633D"/>
    <w:rsid w:val="00026617"/>
    <w:rsid w:val="000266D0"/>
    <w:rsid w:val="00026981"/>
    <w:rsid w:val="00026985"/>
    <w:rsid w:val="0002702E"/>
    <w:rsid w:val="00027171"/>
    <w:rsid w:val="00027213"/>
    <w:rsid w:val="00027392"/>
    <w:rsid w:val="000273DC"/>
    <w:rsid w:val="000276A7"/>
    <w:rsid w:val="000276BA"/>
    <w:rsid w:val="00027A22"/>
    <w:rsid w:val="00030013"/>
    <w:rsid w:val="0003004C"/>
    <w:rsid w:val="0003013B"/>
    <w:rsid w:val="00030156"/>
    <w:rsid w:val="00030239"/>
    <w:rsid w:val="000303B0"/>
    <w:rsid w:val="00030661"/>
    <w:rsid w:val="0003086B"/>
    <w:rsid w:val="00030ECB"/>
    <w:rsid w:val="00030F04"/>
    <w:rsid w:val="00030FFF"/>
    <w:rsid w:val="00031056"/>
    <w:rsid w:val="000310BB"/>
    <w:rsid w:val="00031115"/>
    <w:rsid w:val="0003118C"/>
    <w:rsid w:val="000311D2"/>
    <w:rsid w:val="00031482"/>
    <w:rsid w:val="00031483"/>
    <w:rsid w:val="00031512"/>
    <w:rsid w:val="00031725"/>
    <w:rsid w:val="000319AB"/>
    <w:rsid w:val="00031A70"/>
    <w:rsid w:val="00031AA5"/>
    <w:rsid w:val="00031DEB"/>
    <w:rsid w:val="00031E0E"/>
    <w:rsid w:val="00031E6A"/>
    <w:rsid w:val="000327FA"/>
    <w:rsid w:val="000329F8"/>
    <w:rsid w:val="00032D42"/>
    <w:rsid w:val="00032E11"/>
    <w:rsid w:val="00032E24"/>
    <w:rsid w:val="00032E4D"/>
    <w:rsid w:val="00032F3E"/>
    <w:rsid w:val="00032F63"/>
    <w:rsid w:val="000333F6"/>
    <w:rsid w:val="00033675"/>
    <w:rsid w:val="00033A03"/>
    <w:rsid w:val="00033A4D"/>
    <w:rsid w:val="00033A7B"/>
    <w:rsid w:val="00033DDE"/>
    <w:rsid w:val="000344FB"/>
    <w:rsid w:val="00034619"/>
    <w:rsid w:val="00034666"/>
    <w:rsid w:val="00034837"/>
    <w:rsid w:val="000348B8"/>
    <w:rsid w:val="000348F2"/>
    <w:rsid w:val="00034954"/>
    <w:rsid w:val="00034CA8"/>
    <w:rsid w:val="00034D85"/>
    <w:rsid w:val="00034DCB"/>
    <w:rsid w:val="00034DF5"/>
    <w:rsid w:val="00035316"/>
    <w:rsid w:val="00035417"/>
    <w:rsid w:val="000354A1"/>
    <w:rsid w:val="00035584"/>
    <w:rsid w:val="0003568A"/>
    <w:rsid w:val="0003573B"/>
    <w:rsid w:val="00035930"/>
    <w:rsid w:val="00035B1D"/>
    <w:rsid w:val="00036071"/>
    <w:rsid w:val="00036157"/>
    <w:rsid w:val="000364BA"/>
    <w:rsid w:val="00036603"/>
    <w:rsid w:val="00036A1C"/>
    <w:rsid w:val="00036C38"/>
    <w:rsid w:val="00036D46"/>
    <w:rsid w:val="00036D7F"/>
    <w:rsid w:val="000372B5"/>
    <w:rsid w:val="000372D7"/>
    <w:rsid w:val="00037C34"/>
    <w:rsid w:val="00037C42"/>
    <w:rsid w:val="00037CF6"/>
    <w:rsid w:val="00040033"/>
    <w:rsid w:val="000401F6"/>
    <w:rsid w:val="0004046B"/>
    <w:rsid w:val="00040563"/>
    <w:rsid w:val="00040E77"/>
    <w:rsid w:val="00040EA4"/>
    <w:rsid w:val="00041011"/>
    <w:rsid w:val="00041016"/>
    <w:rsid w:val="0004101E"/>
    <w:rsid w:val="00041492"/>
    <w:rsid w:val="00041806"/>
    <w:rsid w:val="00041CA2"/>
    <w:rsid w:val="00041DDF"/>
    <w:rsid w:val="000420A3"/>
    <w:rsid w:val="000422EF"/>
    <w:rsid w:val="000423B4"/>
    <w:rsid w:val="000427F9"/>
    <w:rsid w:val="000428A7"/>
    <w:rsid w:val="0004290D"/>
    <w:rsid w:val="00042A98"/>
    <w:rsid w:val="00042B59"/>
    <w:rsid w:val="00042C0E"/>
    <w:rsid w:val="00042E38"/>
    <w:rsid w:val="00042E82"/>
    <w:rsid w:val="00042E94"/>
    <w:rsid w:val="00043134"/>
    <w:rsid w:val="0004327D"/>
    <w:rsid w:val="000432BD"/>
    <w:rsid w:val="00043397"/>
    <w:rsid w:val="00043788"/>
    <w:rsid w:val="00043887"/>
    <w:rsid w:val="00043BA5"/>
    <w:rsid w:val="00043BBD"/>
    <w:rsid w:val="00043D12"/>
    <w:rsid w:val="0004409B"/>
    <w:rsid w:val="00044446"/>
    <w:rsid w:val="0004449D"/>
    <w:rsid w:val="00044BE1"/>
    <w:rsid w:val="00044C32"/>
    <w:rsid w:val="00044CC7"/>
    <w:rsid w:val="00044D0C"/>
    <w:rsid w:val="00044DC6"/>
    <w:rsid w:val="00045003"/>
    <w:rsid w:val="00045353"/>
    <w:rsid w:val="00045588"/>
    <w:rsid w:val="00045EB1"/>
    <w:rsid w:val="00046031"/>
    <w:rsid w:val="000462C0"/>
    <w:rsid w:val="00046417"/>
    <w:rsid w:val="0004675D"/>
    <w:rsid w:val="000467E2"/>
    <w:rsid w:val="00046A4A"/>
    <w:rsid w:val="00046B9B"/>
    <w:rsid w:val="00046E1D"/>
    <w:rsid w:val="000473E1"/>
    <w:rsid w:val="000474E2"/>
    <w:rsid w:val="000474EC"/>
    <w:rsid w:val="00047583"/>
    <w:rsid w:val="0004770B"/>
    <w:rsid w:val="00047B4E"/>
    <w:rsid w:val="00047C51"/>
    <w:rsid w:val="00047FB8"/>
    <w:rsid w:val="000500D5"/>
    <w:rsid w:val="00050395"/>
    <w:rsid w:val="0005039E"/>
    <w:rsid w:val="00050438"/>
    <w:rsid w:val="000504E6"/>
    <w:rsid w:val="00050509"/>
    <w:rsid w:val="0005067D"/>
    <w:rsid w:val="00050869"/>
    <w:rsid w:val="00050C51"/>
    <w:rsid w:val="00050E70"/>
    <w:rsid w:val="00050F02"/>
    <w:rsid w:val="00050F95"/>
    <w:rsid w:val="00051226"/>
    <w:rsid w:val="00051858"/>
    <w:rsid w:val="00051896"/>
    <w:rsid w:val="000518F3"/>
    <w:rsid w:val="00051B11"/>
    <w:rsid w:val="00051CB2"/>
    <w:rsid w:val="00051CD0"/>
    <w:rsid w:val="00051CD7"/>
    <w:rsid w:val="00051D52"/>
    <w:rsid w:val="00051E31"/>
    <w:rsid w:val="00051FC1"/>
    <w:rsid w:val="0005217B"/>
    <w:rsid w:val="00052278"/>
    <w:rsid w:val="000523F5"/>
    <w:rsid w:val="0005291A"/>
    <w:rsid w:val="00052CDE"/>
    <w:rsid w:val="00052EA9"/>
    <w:rsid w:val="00052EF5"/>
    <w:rsid w:val="00053127"/>
    <w:rsid w:val="000532D1"/>
    <w:rsid w:val="0005335D"/>
    <w:rsid w:val="000533A2"/>
    <w:rsid w:val="0005356C"/>
    <w:rsid w:val="00053619"/>
    <w:rsid w:val="000536C0"/>
    <w:rsid w:val="000536D2"/>
    <w:rsid w:val="000539AE"/>
    <w:rsid w:val="00053BBF"/>
    <w:rsid w:val="00053FC3"/>
    <w:rsid w:val="0005405C"/>
    <w:rsid w:val="000540C2"/>
    <w:rsid w:val="000543E8"/>
    <w:rsid w:val="0005442B"/>
    <w:rsid w:val="00054436"/>
    <w:rsid w:val="0005451F"/>
    <w:rsid w:val="0005459B"/>
    <w:rsid w:val="00054897"/>
    <w:rsid w:val="000548E6"/>
    <w:rsid w:val="00054BC1"/>
    <w:rsid w:val="00054BCB"/>
    <w:rsid w:val="000555B7"/>
    <w:rsid w:val="00055634"/>
    <w:rsid w:val="0005589F"/>
    <w:rsid w:val="00055B4A"/>
    <w:rsid w:val="00055E0D"/>
    <w:rsid w:val="00055E8F"/>
    <w:rsid w:val="00055FF5"/>
    <w:rsid w:val="00056620"/>
    <w:rsid w:val="000566D0"/>
    <w:rsid w:val="000566E0"/>
    <w:rsid w:val="000567AD"/>
    <w:rsid w:val="0005682D"/>
    <w:rsid w:val="000568B1"/>
    <w:rsid w:val="00056A2B"/>
    <w:rsid w:val="00056BE6"/>
    <w:rsid w:val="00056F73"/>
    <w:rsid w:val="00056FA3"/>
    <w:rsid w:val="00057109"/>
    <w:rsid w:val="000571C7"/>
    <w:rsid w:val="0005765C"/>
    <w:rsid w:val="00057708"/>
    <w:rsid w:val="00057973"/>
    <w:rsid w:val="00057A2A"/>
    <w:rsid w:val="00057A95"/>
    <w:rsid w:val="00057B30"/>
    <w:rsid w:val="00057D9F"/>
    <w:rsid w:val="00057EC7"/>
    <w:rsid w:val="0006006F"/>
    <w:rsid w:val="000602D2"/>
    <w:rsid w:val="0006030C"/>
    <w:rsid w:val="000603E9"/>
    <w:rsid w:val="00060446"/>
    <w:rsid w:val="00060745"/>
    <w:rsid w:val="000607B5"/>
    <w:rsid w:val="00060808"/>
    <w:rsid w:val="00060947"/>
    <w:rsid w:val="0006094A"/>
    <w:rsid w:val="000609B7"/>
    <w:rsid w:val="00060A54"/>
    <w:rsid w:val="00060B08"/>
    <w:rsid w:val="00060B9E"/>
    <w:rsid w:val="000611EE"/>
    <w:rsid w:val="000612CB"/>
    <w:rsid w:val="000613B7"/>
    <w:rsid w:val="000613FB"/>
    <w:rsid w:val="000616C2"/>
    <w:rsid w:val="00061A93"/>
    <w:rsid w:val="00061B2A"/>
    <w:rsid w:val="00061B64"/>
    <w:rsid w:val="00061CC1"/>
    <w:rsid w:val="00061D5F"/>
    <w:rsid w:val="00062008"/>
    <w:rsid w:val="00062277"/>
    <w:rsid w:val="0006230D"/>
    <w:rsid w:val="0006250B"/>
    <w:rsid w:val="00062587"/>
    <w:rsid w:val="000625CA"/>
    <w:rsid w:val="00062917"/>
    <w:rsid w:val="00062AE4"/>
    <w:rsid w:val="00063463"/>
    <w:rsid w:val="00063532"/>
    <w:rsid w:val="00063894"/>
    <w:rsid w:val="00063B7E"/>
    <w:rsid w:val="00063CAA"/>
    <w:rsid w:val="0006412C"/>
    <w:rsid w:val="000642F4"/>
    <w:rsid w:val="0006435B"/>
    <w:rsid w:val="00064584"/>
    <w:rsid w:val="000646C9"/>
    <w:rsid w:val="000647C7"/>
    <w:rsid w:val="00064802"/>
    <w:rsid w:val="00064831"/>
    <w:rsid w:val="00064849"/>
    <w:rsid w:val="00064AFA"/>
    <w:rsid w:val="00064B84"/>
    <w:rsid w:val="00064E0F"/>
    <w:rsid w:val="000650D2"/>
    <w:rsid w:val="000652A9"/>
    <w:rsid w:val="000652C5"/>
    <w:rsid w:val="000659A5"/>
    <w:rsid w:val="00065B77"/>
    <w:rsid w:val="00065CB1"/>
    <w:rsid w:val="00065D48"/>
    <w:rsid w:val="00065F4C"/>
    <w:rsid w:val="00065F53"/>
    <w:rsid w:val="00065FE6"/>
    <w:rsid w:val="0006612C"/>
    <w:rsid w:val="00066294"/>
    <w:rsid w:val="0006630D"/>
    <w:rsid w:val="0006644A"/>
    <w:rsid w:val="00066454"/>
    <w:rsid w:val="0006646F"/>
    <w:rsid w:val="000664BE"/>
    <w:rsid w:val="00066618"/>
    <w:rsid w:val="00066647"/>
    <w:rsid w:val="0006664B"/>
    <w:rsid w:val="0006672D"/>
    <w:rsid w:val="00066835"/>
    <w:rsid w:val="00066A1E"/>
    <w:rsid w:val="00066B74"/>
    <w:rsid w:val="00066BF5"/>
    <w:rsid w:val="00066D45"/>
    <w:rsid w:val="00067198"/>
    <w:rsid w:val="000671FA"/>
    <w:rsid w:val="00067748"/>
    <w:rsid w:val="000679DB"/>
    <w:rsid w:val="00067A14"/>
    <w:rsid w:val="00067C2D"/>
    <w:rsid w:val="00067C63"/>
    <w:rsid w:val="00067DD9"/>
    <w:rsid w:val="00067E92"/>
    <w:rsid w:val="00070026"/>
    <w:rsid w:val="00070090"/>
    <w:rsid w:val="000702F8"/>
    <w:rsid w:val="000703DB"/>
    <w:rsid w:val="0007042B"/>
    <w:rsid w:val="00070462"/>
    <w:rsid w:val="00070756"/>
    <w:rsid w:val="00070AC0"/>
    <w:rsid w:val="00070F25"/>
    <w:rsid w:val="00070FE4"/>
    <w:rsid w:val="00071115"/>
    <w:rsid w:val="000711EF"/>
    <w:rsid w:val="0007120A"/>
    <w:rsid w:val="000713EB"/>
    <w:rsid w:val="0007152B"/>
    <w:rsid w:val="00071948"/>
    <w:rsid w:val="000719B9"/>
    <w:rsid w:val="00071C55"/>
    <w:rsid w:val="00071FAC"/>
    <w:rsid w:val="00071FAD"/>
    <w:rsid w:val="0007223D"/>
    <w:rsid w:val="0007257C"/>
    <w:rsid w:val="000727F5"/>
    <w:rsid w:val="0007293A"/>
    <w:rsid w:val="00072A0B"/>
    <w:rsid w:val="00072A0D"/>
    <w:rsid w:val="00072A3B"/>
    <w:rsid w:val="00072AD9"/>
    <w:rsid w:val="00072BED"/>
    <w:rsid w:val="00072C74"/>
    <w:rsid w:val="00072D75"/>
    <w:rsid w:val="00072E2D"/>
    <w:rsid w:val="00072FF9"/>
    <w:rsid w:val="00073154"/>
    <w:rsid w:val="00073167"/>
    <w:rsid w:val="000731E5"/>
    <w:rsid w:val="000731F7"/>
    <w:rsid w:val="000732C2"/>
    <w:rsid w:val="000732DF"/>
    <w:rsid w:val="0007347E"/>
    <w:rsid w:val="00073642"/>
    <w:rsid w:val="0007367D"/>
    <w:rsid w:val="000736D6"/>
    <w:rsid w:val="00073953"/>
    <w:rsid w:val="0007397E"/>
    <w:rsid w:val="00073C4E"/>
    <w:rsid w:val="00073D23"/>
    <w:rsid w:val="00074169"/>
    <w:rsid w:val="0007422B"/>
    <w:rsid w:val="0007455B"/>
    <w:rsid w:val="000749B2"/>
    <w:rsid w:val="00074AF5"/>
    <w:rsid w:val="00074DCB"/>
    <w:rsid w:val="00074DD3"/>
    <w:rsid w:val="00074F78"/>
    <w:rsid w:val="00075243"/>
    <w:rsid w:val="000753FB"/>
    <w:rsid w:val="00075480"/>
    <w:rsid w:val="00075B7B"/>
    <w:rsid w:val="00075D6F"/>
    <w:rsid w:val="00075F2F"/>
    <w:rsid w:val="000762D1"/>
    <w:rsid w:val="00076545"/>
    <w:rsid w:val="000765C4"/>
    <w:rsid w:val="000766A2"/>
    <w:rsid w:val="0007686A"/>
    <w:rsid w:val="00076A9C"/>
    <w:rsid w:val="00076AE8"/>
    <w:rsid w:val="00076CDD"/>
    <w:rsid w:val="0007703C"/>
    <w:rsid w:val="00077238"/>
    <w:rsid w:val="00077820"/>
    <w:rsid w:val="00077ADB"/>
    <w:rsid w:val="00077C66"/>
    <w:rsid w:val="000800FE"/>
    <w:rsid w:val="00080467"/>
    <w:rsid w:val="00080474"/>
    <w:rsid w:val="000806E2"/>
    <w:rsid w:val="0008084B"/>
    <w:rsid w:val="00080AF2"/>
    <w:rsid w:val="000813B8"/>
    <w:rsid w:val="00081696"/>
    <w:rsid w:val="0008169A"/>
    <w:rsid w:val="00081E0E"/>
    <w:rsid w:val="00081EA9"/>
    <w:rsid w:val="00081FD8"/>
    <w:rsid w:val="000822AD"/>
    <w:rsid w:val="000824B8"/>
    <w:rsid w:val="00082577"/>
    <w:rsid w:val="0008258C"/>
    <w:rsid w:val="00082731"/>
    <w:rsid w:val="00082890"/>
    <w:rsid w:val="000829AF"/>
    <w:rsid w:val="00082AB4"/>
    <w:rsid w:val="000834A5"/>
    <w:rsid w:val="00083595"/>
    <w:rsid w:val="00083747"/>
    <w:rsid w:val="00083876"/>
    <w:rsid w:val="00083A98"/>
    <w:rsid w:val="00083E21"/>
    <w:rsid w:val="00083F3B"/>
    <w:rsid w:val="00084043"/>
    <w:rsid w:val="000841E8"/>
    <w:rsid w:val="0008421F"/>
    <w:rsid w:val="00084303"/>
    <w:rsid w:val="00084356"/>
    <w:rsid w:val="0008437D"/>
    <w:rsid w:val="0008481B"/>
    <w:rsid w:val="0008484E"/>
    <w:rsid w:val="000848B4"/>
    <w:rsid w:val="000848F3"/>
    <w:rsid w:val="00084943"/>
    <w:rsid w:val="00084DCA"/>
    <w:rsid w:val="00085294"/>
    <w:rsid w:val="0008529E"/>
    <w:rsid w:val="00085658"/>
    <w:rsid w:val="0008592B"/>
    <w:rsid w:val="00085C80"/>
    <w:rsid w:val="00085D5C"/>
    <w:rsid w:val="00085E06"/>
    <w:rsid w:val="00085F98"/>
    <w:rsid w:val="00085FFF"/>
    <w:rsid w:val="000864D4"/>
    <w:rsid w:val="000864E6"/>
    <w:rsid w:val="000869CD"/>
    <w:rsid w:val="00086A8A"/>
    <w:rsid w:val="00086B24"/>
    <w:rsid w:val="00086B81"/>
    <w:rsid w:val="00086D47"/>
    <w:rsid w:val="00087101"/>
    <w:rsid w:val="00087261"/>
    <w:rsid w:val="000872D6"/>
    <w:rsid w:val="0008732D"/>
    <w:rsid w:val="000875EA"/>
    <w:rsid w:val="000877F7"/>
    <w:rsid w:val="00087C04"/>
    <w:rsid w:val="00087F49"/>
    <w:rsid w:val="0009009C"/>
    <w:rsid w:val="0009026B"/>
    <w:rsid w:val="00090578"/>
    <w:rsid w:val="00090665"/>
    <w:rsid w:val="00090738"/>
    <w:rsid w:val="000909FA"/>
    <w:rsid w:val="00090EF5"/>
    <w:rsid w:val="00090FF2"/>
    <w:rsid w:val="000912E6"/>
    <w:rsid w:val="00091491"/>
    <w:rsid w:val="0009156D"/>
    <w:rsid w:val="000917A6"/>
    <w:rsid w:val="00091957"/>
    <w:rsid w:val="00091E6C"/>
    <w:rsid w:val="00091E71"/>
    <w:rsid w:val="00092180"/>
    <w:rsid w:val="000922A7"/>
    <w:rsid w:val="000922FD"/>
    <w:rsid w:val="000923A8"/>
    <w:rsid w:val="00092555"/>
    <w:rsid w:val="00092598"/>
    <w:rsid w:val="00092A34"/>
    <w:rsid w:val="00092BFF"/>
    <w:rsid w:val="000933E5"/>
    <w:rsid w:val="00093752"/>
    <w:rsid w:val="00093755"/>
    <w:rsid w:val="00093853"/>
    <w:rsid w:val="00093A23"/>
    <w:rsid w:val="00093A74"/>
    <w:rsid w:val="00093B6D"/>
    <w:rsid w:val="00093C8F"/>
    <w:rsid w:val="00093FA9"/>
    <w:rsid w:val="0009450C"/>
    <w:rsid w:val="0009460F"/>
    <w:rsid w:val="00094A8F"/>
    <w:rsid w:val="00094ADC"/>
    <w:rsid w:val="00094F55"/>
    <w:rsid w:val="0009501F"/>
    <w:rsid w:val="00095086"/>
    <w:rsid w:val="000955E6"/>
    <w:rsid w:val="00095879"/>
    <w:rsid w:val="00095C42"/>
    <w:rsid w:val="00095C73"/>
    <w:rsid w:val="00095EEE"/>
    <w:rsid w:val="000960A3"/>
    <w:rsid w:val="00096307"/>
    <w:rsid w:val="000963BD"/>
    <w:rsid w:val="000964C2"/>
    <w:rsid w:val="0009660E"/>
    <w:rsid w:val="00096656"/>
    <w:rsid w:val="000969B9"/>
    <w:rsid w:val="00096AC2"/>
    <w:rsid w:val="00096AE9"/>
    <w:rsid w:val="00096F9D"/>
    <w:rsid w:val="00097097"/>
    <w:rsid w:val="0009735D"/>
    <w:rsid w:val="0009746D"/>
    <w:rsid w:val="000976FB"/>
    <w:rsid w:val="00097BAB"/>
    <w:rsid w:val="00097C1B"/>
    <w:rsid w:val="00097C56"/>
    <w:rsid w:val="00097F0F"/>
    <w:rsid w:val="00097FAB"/>
    <w:rsid w:val="00097FDC"/>
    <w:rsid w:val="000A01A6"/>
    <w:rsid w:val="000A050E"/>
    <w:rsid w:val="000A0867"/>
    <w:rsid w:val="000A0878"/>
    <w:rsid w:val="000A09E7"/>
    <w:rsid w:val="000A0A12"/>
    <w:rsid w:val="000A0A27"/>
    <w:rsid w:val="000A11C5"/>
    <w:rsid w:val="000A1247"/>
    <w:rsid w:val="000A1292"/>
    <w:rsid w:val="000A1770"/>
    <w:rsid w:val="000A17B2"/>
    <w:rsid w:val="000A1A6C"/>
    <w:rsid w:val="000A1A7C"/>
    <w:rsid w:val="000A1BAA"/>
    <w:rsid w:val="000A1BD2"/>
    <w:rsid w:val="000A1F1F"/>
    <w:rsid w:val="000A1FD1"/>
    <w:rsid w:val="000A202F"/>
    <w:rsid w:val="000A20E5"/>
    <w:rsid w:val="000A25B7"/>
    <w:rsid w:val="000A2852"/>
    <w:rsid w:val="000A2A11"/>
    <w:rsid w:val="000A2B8D"/>
    <w:rsid w:val="000A2BDB"/>
    <w:rsid w:val="000A2F0D"/>
    <w:rsid w:val="000A3253"/>
    <w:rsid w:val="000A343B"/>
    <w:rsid w:val="000A34BB"/>
    <w:rsid w:val="000A3878"/>
    <w:rsid w:val="000A3894"/>
    <w:rsid w:val="000A3BFA"/>
    <w:rsid w:val="000A3BFB"/>
    <w:rsid w:val="000A3C00"/>
    <w:rsid w:val="000A3C94"/>
    <w:rsid w:val="000A3D6E"/>
    <w:rsid w:val="000A3EA5"/>
    <w:rsid w:val="000A3FBC"/>
    <w:rsid w:val="000A3FDA"/>
    <w:rsid w:val="000A3FDE"/>
    <w:rsid w:val="000A4006"/>
    <w:rsid w:val="000A41E7"/>
    <w:rsid w:val="000A437A"/>
    <w:rsid w:val="000A43F1"/>
    <w:rsid w:val="000A4420"/>
    <w:rsid w:val="000A49A6"/>
    <w:rsid w:val="000A4BDA"/>
    <w:rsid w:val="000A53BF"/>
    <w:rsid w:val="000A582D"/>
    <w:rsid w:val="000A5925"/>
    <w:rsid w:val="000A5BEB"/>
    <w:rsid w:val="000A5D60"/>
    <w:rsid w:val="000A5D92"/>
    <w:rsid w:val="000A5E7C"/>
    <w:rsid w:val="000A5F9F"/>
    <w:rsid w:val="000A64D7"/>
    <w:rsid w:val="000A66F3"/>
    <w:rsid w:val="000A674F"/>
    <w:rsid w:val="000A6780"/>
    <w:rsid w:val="000A6871"/>
    <w:rsid w:val="000A6B0D"/>
    <w:rsid w:val="000A6E42"/>
    <w:rsid w:val="000A6EC5"/>
    <w:rsid w:val="000A70ED"/>
    <w:rsid w:val="000A7365"/>
    <w:rsid w:val="000A74F0"/>
    <w:rsid w:val="000A759D"/>
    <w:rsid w:val="000A76D4"/>
    <w:rsid w:val="000A7CCF"/>
    <w:rsid w:val="000A7E5A"/>
    <w:rsid w:val="000A7F5C"/>
    <w:rsid w:val="000A7FD9"/>
    <w:rsid w:val="000B004F"/>
    <w:rsid w:val="000B0400"/>
    <w:rsid w:val="000B042E"/>
    <w:rsid w:val="000B0447"/>
    <w:rsid w:val="000B0475"/>
    <w:rsid w:val="000B08A5"/>
    <w:rsid w:val="000B0939"/>
    <w:rsid w:val="000B0B1F"/>
    <w:rsid w:val="000B0FC7"/>
    <w:rsid w:val="000B10AE"/>
    <w:rsid w:val="000B10F8"/>
    <w:rsid w:val="000B11E3"/>
    <w:rsid w:val="000B211F"/>
    <w:rsid w:val="000B2312"/>
    <w:rsid w:val="000B2320"/>
    <w:rsid w:val="000B25AC"/>
    <w:rsid w:val="000B27E2"/>
    <w:rsid w:val="000B2A5D"/>
    <w:rsid w:val="000B2B6C"/>
    <w:rsid w:val="000B2CC1"/>
    <w:rsid w:val="000B2DE3"/>
    <w:rsid w:val="000B2E56"/>
    <w:rsid w:val="000B2FF9"/>
    <w:rsid w:val="000B3123"/>
    <w:rsid w:val="000B313E"/>
    <w:rsid w:val="000B313F"/>
    <w:rsid w:val="000B3148"/>
    <w:rsid w:val="000B3720"/>
    <w:rsid w:val="000B3983"/>
    <w:rsid w:val="000B3987"/>
    <w:rsid w:val="000B3AB9"/>
    <w:rsid w:val="000B3D58"/>
    <w:rsid w:val="000B3F24"/>
    <w:rsid w:val="000B44B4"/>
    <w:rsid w:val="000B45C9"/>
    <w:rsid w:val="000B4673"/>
    <w:rsid w:val="000B4C93"/>
    <w:rsid w:val="000B4E61"/>
    <w:rsid w:val="000B518E"/>
    <w:rsid w:val="000B51BC"/>
    <w:rsid w:val="000B51F2"/>
    <w:rsid w:val="000B5866"/>
    <w:rsid w:val="000B5936"/>
    <w:rsid w:val="000B5961"/>
    <w:rsid w:val="000B5A3A"/>
    <w:rsid w:val="000B5A80"/>
    <w:rsid w:val="000B60C7"/>
    <w:rsid w:val="000B63CB"/>
    <w:rsid w:val="000B680C"/>
    <w:rsid w:val="000B6A3F"/>
    <w:rsid w:val="000B6AB2"/>
    <w:rsid w:val="000B6B54"/>
    <w:rsid w:val="000B6E2B"/>
    <w:rsid w:val="000B6EE2"/>
    <w:rsid w:val="000B713D"/>
    <w:rsid w:val="000B7192"/>
    <w:rsid w:val="000B7285"/>
    <w:rsid w:val="000B7394"/>
    <w:rsid w:val="000B73B8"/>
    <w:rsid w:val="000B74C4"/>
    <w:rsid w:val="000B7A2B"/>
    <w:rsid w:val="000B7A31"/>
    <w:rsid w:val="000B7AC8"/>
    <w:rsid w:val="000B7D1D"/>
    <w:rsid w:val="000C0212"/>
    <w:rsid w:val="000C05EB"/>
    <w:rsid w:val="000C066E"/>
    <w:rsid w:val="000C083F"/>
    <w:rsid w:val="000C0985"/>
    <w:rsid w:val="000C0AA6"/>
    <w:rsid w:val="000C0DE4"/>
    <w:rsid w:val="000C1260"/>
    <w:rsid w:val="000C1668"/>
    <w:rsid w:val="000C172B"/>
    <w:rsid w:val="000C17A9"/>
    <w:rsid w:val="000C1A01"/>
    <w:rsid w:val="000C1A2E"/>
    <w:rsid w:val="000C1AEC"/>
    <w:rsid w:val="000C1B06"/>
    <w:rsid w:val="000C2136"/>
    <w:rsid w:val="000C23AB"/>
    <w:rsid w:val="000C2593"/>
    <w:rsid w:val="000C25B7"/>
    <w:rsid w:val="000C2824"/>
    <w:rsid w:val="000C29EE"/>
    <w:rsid w:val="000C2D14"/>
    <w:rsid w:val="000C2D63"/>
    <w:rsid w:val="000C30AB"/>
    <w:rsid w:val="000C3160"/>
    <w:rsid w:val="000C32C6"/>
    <w:rsid w:val="000C32D3"/>
    <w:rsid w:val="000C32E9"/>
    <w:rsid w:val="000C32F1"/>
    <w:rsid w:val="000C34BC"/>
    <w:rsid w:val="000C34E0"/>
    <w:rsid w:val="000C3680"/>
    <w:rsid w:val="000C3A55"/>
    <w:rsid w:val="000C3B3E"/>
    <w:rsid w:val="000C3B5C"/>
    <w:rsid w:val="000C3C30"/>
    <w:rsid w:val="000C3E28"/>
    <w:rsid w:val="000C401C"/>
    <w:rsid w:val="000C4305"/>
    <w:rsid w:val="000C4394"/>
    <w:rsid w:val="000C4411"/>
    <w:rsid w:val="000C44AF"/>
    <w:rsid w:val="000C4617"/>
    <w:rsid w:val="000C4654"/>
    <w:rsid w:val="000C46E2"/>
    <w:rsid w:val="000C474A"/>
    <w:rsid w:val="000C4947"/>
    <w:rsid w:val="000C4BDA"/>
    <w:rsid w:val="000C511C"/>
    <w:rsid w:val="000C53C8"/>
    <w:rsid w:val="000C579A"/>
    <w:rsid w:val="000C579E"/>
    <w:rsid w:val="000C5A7C"/>
    <w:rsid w:val="000C5AC5"/>
    <w:rsid w:val="000C5B6B"/>
    <w:rsid w:val="000C5CF8"/>
    <w:rsid w:val="000C5E05"/>
    <w:rsid w:val="000C5EAF"/>
    <w:rsid w:val="000C6094"/>
    <w:rsid w:val="000C6266"/>
    <w:rsid w:val="000C62D2"/>
    <w:rsid w:val="000C6382"/>
    <w:rsid w:val="000C6B9A"/>
    <w:rsid w:val="000C6EEC"/>
    <w:rsid w:val="000C6F70"/>
    <w:rsid w:val="000C6FB3"/>
    <w:rsid w:val="000C70FE"/>
    <w:rsid w:val="000C7375"/>
    <w:rsid w:val="000C76DA"/>
    <w:rsid w:val="000C775F"/>
    <w:rsid w:val="000C7E26"/>
    <w:rsid w:val="000C7E9B"/>
    <w:rsid w:val="000C7FF2"/>
    <w:rsid w:val="000D0267"/>
    <w:rsid w:val="000D029D"/>
    <w:rsid w:val="000D02ED"/>
    <w:rsid w:val="000D0318"/>
    <w:rsid w:val="000D07CC"/>
    <w:rsid w:val="000D0EC5"/>
    <w:rsid w:val="000D1018"/>
    <w:rsid w:val="000D1142"/>
    <w:rsid w:val="000D1360"/>
    <w:rsid w:val="000D1766"/>
    <w:rsid w:val="000D19FB"/>
    <w:rsid w:val="000D1D2B"/>
    <w:rsid w:val="000D21FB"/>
    <w:rsid w:val="000D222A"/>
    <w:rsid w:val="000D2598"/>
    <w:rsid w:val="000D2625"/>
    <w:rsid w:val="000D2854"/>
    <w:rsid w:val="000D28C2"/>
    <w:rsid w:val="000D29E6"/>
    <w:rsid w:val="000D2BDD"/>
    <w:rsid w:val="000D2D73"/>
    <w:rsid w:val="000D2FFE"/>
    <w:rsid w:val="000D32BA"/>
    <w:rsid w:val="000D374F"/>
    <w:rsid w:val="000D3810"/>
    <w:rsid w:val="000D3B4A"/>
    <w:rsid w:val="000D3B5A"/>
    <w:rsid w:val="000D3C54"/>
    <w:rsid w:val="000D3E43"/>
    <w:rsid w:val="000D404C"/>
    <w:rsid w:val="000D4080"/>
    <w:rsid w:val="000D4132"/>
    <w:rsid w:val="000D4277"/>
    <w:rsid w:val="000D433D"/>
    <w:rsid w:val="000D43C7"/>
    <w:rsid w:val="000D4547"/>
    <w:rsid w:val="000D4810"/>
    <w:rsid w:val="000D4FD6"/>
    <w:rsid w:val="000D5081"/>
    <w:rsid w:val="000D51A2"/>
    <w:rsid w:val="000D5439"/>
    <w:rsid w:val="000D5761"/>
    <w:rsid w:val="000D5764"/>
    <w:rsid w:val="000D57A7"/>
    <w:rsid w:val="000D58F5"/>
    <w:rsid w:val="000D5C9D"/>
    <w:rsid w:val="000D5E50"/>
    <w:rsid w:val="000D6134"/>
    <w:rsid w:val="000D61D2"/>
    <w:rsid w:val="000D6318"/>
    <w:rsid w:val="000D6484"/>
    <w:rsid w:val="000D65C1"/>
    <w:rsid w:val="000D672A"/>
    <w:rsid w:val="000D6976"/>
    <w:rsid w:val="000D6A2A"/>
    <w:rsid w:val="000D6BD0"/>
    <w:rsid w:val="000D6CB8"/>
    <w:rsid w:val="000D6EF0"/>
    <w:rsid w:val="000D6F1D"/>
    <w:rsid w:val="000D7284"/>
    <w:rsid w:val="000D771E"/>
    <w:rsid w:val="000D77BC"/>
    <w:rsid w:val="000D7B37"/>
    <w:rsid w:val="000D7BCE"/>
    <w:rsid w:val="000D7FC7"/>
    <w:rsid w:val="000E0153"/>
    <w:rsid w:val="000E01D1"/>
    <w:rsid w:val="000E058B"/>
    <w:rsid w:val="000E079C"/>
    <w:rsid w:val="000E08F3"/>
    <w:rsid w:val="000E0A7F"/>
    <w:rsid w:val="000E0BA3"/>
    <w:rsid w:val="000E0BA5"/>
    <w:rsid w:val="000E0C27"/>
    <w:rsid w:val="000E0E91"/>
    <w:rsid w:val="000E1024"/>
    <w:rsid w:val="000E109C"/>
    <w:rsid w:val="000E1112"/>
    <w:rsid w:val="000E1438"/>
    <w:rsid w:val="000E16C8"/>
    <w:rsid w:val="000E1E61"/>
    <w:rsid w:val="000E1F54"/>
    <w:rsid w:val="000E204E"/>
    <w:rsid w:val="000E21CE"/>
    <w:rsid w:val="000E2364"/>
    <w:rsid w:val="000E23E6"/>
    <w:rsid w:val="000E2572"/>
    <w:rsid w:val="000E2CE7"/>
    <w:rsid w:val="000E2D32"/>
    <w:rsid w:val="000E2D68"/>
    <w:rsid w:val="000E2D86"/>
    <w:rsid w:val="000E320F"/>
    <w:rsid w:val="000E324F"/>
    <w:rsid w:val="000E334F"/>
    <w:rsid w:val="000E3882"/>
    <w:rsid w:val="000E3ACF"/>
    <w:rsid w:val="000E3B6D"/>
    <w:rsid w:val="000E4199"/>
    <w:rsid w:val="000E48BD"/>
    <w:rsid w:val="000E49C6"/>
    <w:rsid w:val="000E4A2E"/>
    <w:rsid w:val="000E4C86"/>
    <w:rsid w:val="000E4D8B"/>
    <w:rsid w:val="000E50D9"/>
    <w:rsid w:val="000E5195"/>
    <w:rsid w:val="000E519C"/>
    <w:rsid w:val="000E5293"/>
    <w:rsid w:val="000E52FF"/>
    <w:rsid w:val="000E537F"/>
    <w:rsid w:val="000E560D"/>
    <w:rsid w:val="000E57AD"/>
    <w:rsid w:val="000E5E72"/>
    <w:rsid w:val="000E5FCD"/>
    <w:rsid w:val="000E60C3"/>
    <w:rsid w:val="000E6156"/>
    <w:rsid w:val="000E624B"/>
    <w:rsid w:val="000E699D"/>
    <w:rsid w:val="000E6B65"/>
    <w:rsid w:val="000E6E40"/>
    <w:rsid w:val="000E6E81"/>
    <w:rsid w:val="000E6F83"/>
    <w:rsid w:val="000E6FA0"/>
    <w:rsid w:val="000E7351"/>
    <w:rsid w:val="000E7531"/>
    <w:rsid w:val="000E76F3"/>
    <w:rsid w:val="000E78FD"/>
    <w:rsid w:val="000E7918"/>
    <w:rsid w:val="000E7A76"/>
    <w:rsid w:val="000E7BFF"/>
    <w:rsid w:val="000E7C0D"/>
    <w:rsid w:val="000F0019"/>
    <w:rsid w:val="000F005A"/>
    <w:rsid w:val="000F005D"/>
    <w:rsid w:val="000F00B0"/>
    <w:rsid w:val="000F0341"/>
    <w:rsid w:val="000F0BC4"/>
    <w:rsid w:val="000F1027"/>
    <w:rsid w:val="000F10E0"/>
    <w:rsid w:val="000F1260"/>
    <w:rsid w:val="000F1443"/>
    <w:rsid w:val="000F1471"/>
    <w:rsid w:val="000F16A0"/>
    <w:rsid w:val="000F16E1"/>
    <w:rsid w:val="000F1999"/>
    <w:rsid w:val="000F1C2B"/>
    <w:rsid w:val="000F1F81"/>
    <w:rsid w:val="000F213F"/>
    <w:rsid w:val="000F21B3"/>
    <w:rsid w:val="000F2223"/>
    <w:rsid w:val="000F2264"/>
    <w:rsid w:val="000F2277"/>
    <w:rsid w:val="000F253B"/>
    <w:rsid w:val="000F2665"/>
    <w:rsid w:val="000F28C9"/>
    <w:rsid w:val="000F2DBA"/>
    <w:rsid w:val="000F352F"/>
    <w:rsid w:val="000F35EB"/>
    <w:rsid w:val="000F36D9"/>
    <w:rsid w:val="000F3AE5"/>
    <w:rsid w:val="000F3DD1"/>
    <w:rsid w:val="000F4027"/>
    <w:rsid w:val="000F4133"/>
    <w:rsid w:val="000F4208"/>
    <w:rsid w:val="000F422A"/>
    <w:rsid w:val="000F4448"/>
    <w:rsid w:val="000F4641"/>
    <w:rsid w:val="000F469F"/>
    <w:rsid w:val="000F46EF"/>
    <w:rsid w:val="000F4734"/>
    <w:rsid w:val="000F47AC"/>
    <w:rsid w:val="000F4969"/>
    <w:rsid w:val="000F4A66"/>
    <w:rsid w:val="000F4CBB"/>
    <w:rsid w:val="000F4DEF"/>
    <w:rsid w:val="000F4FA1"/>
    <w:rsid w:val="000F5235"/>
    <w:rsid w:val="000F52BF"/>
    <w:rsid w:val="000F52CE"/>
    <w:rsid w:val="000F54BB"/>
    <w:rsid w:val="000F55EA"/>
    <w:rsid w:val="000F573F"/>
    <w:rsid w:val="000F5AC6"/>
    <w:rsid w:val="000F5B3B"/>
    <w:rsid w:val="000F5C64"/>
    <w:rsid w:val="000F5F19"/>
    <w:rsid w:val="000F6007"/>
    <w:rsid w:val="000F6053"/>
    <w:rsid w:val="000F60DF"/>
    <w:rsid w:val="000F631B"/>
    <w:rsid w:val="000F658A"/>
    <w:rsid w:val="000F65F7"/>
    <w:rsid w:val="000F66F2"/>
    <w:rsid w:val="000F6743"/>
    <w:rsid w:val="000F697A"/>
    <w:rsid w:val="000F6C81"/>
    <w:rsid w:val="000F6CCA"/>
    <w:rsid w:val="000F6CE3"/>
    <w:rsid w:val="000F6E9B"/>
    <w:rsid w:val="000F6FD6"/>
    <w:rsid w:val="000F7071"/>
    <w:rsid w:val="000F710A"/>
    <w:rsid w:val="000F72B6"/>
    <w:rsid w:val="000F7353"/>
    <w:rsid w:val="000F74EA"/>
    <w:rsid w:val="000F7611"/>
    <w:rsid w:val="000F7621"/>
    <w:rsid w:val="000F76F4"/>
    <w:rsid w:val="000F7743"/>
    <w:rsid w:val="000F78EF"/>
    <w:rsid w:val="000F7963"/>
    <w:rsid w:val="000F7A17"/>
    <w:rsid w:val="000F7E30"/>
    <w:rsid w:val="000F7FFE"/>
    <w:rsid w:val="00100021"/>
    <w:rsid w:val="0010016D"/>
    <w:rsid w:val="00100301"/>
    <w:rsid w:val="001003DA"/>
    <w:rsid w:val="00100584"/>
    <w:rsid w:val="001006A0"/>
    <w:rsid w:val="00100E88"/>
    <w:rsid w:val="0010120C"/>
    <w:rsid w:val="001012A5"/>
    <w:rsid w:val="00101329"/>
    <w:rsid w:val="00101591"/>
    <w:rsid w:val="00101604"/>
    <w:rsid w:val="001016F9"/>
    <w:rsid w:val="001017AF"/>
    <w:rsid w:val="00101873"/>
    <w:rsid w:val="00101979"/>
    <w:rsid w:val="00101DB9"/>
    <w:rsid w:val="00101F5D"/>
    <w:rsid w:val="001021DF"/>
    <w:rsid w:val="001023B5"/>
    <w:rsid w:val="0010245A"/>
    <w:rsid w:val="00102693"/>
    <w:rsid w:val="001026E6"/>
    <w:rsid w:val="00102918"/>
    <w:rsid w:val="00102EBF"/>
    <w:rsid w:val="0010302B"/>
    <w:rsid w:val="00103141"/>
    <w:rsid w:val="00103DAD"/>
    <w:rsid w:val="00103F08"/>
    <w:rsid w:val="00103F62"/>
    <w:rsid w:val="00103F63"/>
    <w:rsid w:val="00104513"/>
    <w:rsid w:val="001045DF"/>
    <w:rsid w:val="0010474C"/>
    <w:rsid w:val="00104A36"/>
    <w:rsid w:val="00104AE5"/>
    <w:rsid w:val="00104C9A"/>
    <w:rsid w:val="0010500D"/>
    <w:rsid w:val="00105232"/>
    <w:rsid w:val="00105446"/>
    <w:rsid w:val="00105566"/>
    <w:rsid w:val="0010556D"/>
    <w:rsid w:val="00105750"/>
    <w:rsid w:val="001059CA"/>
    <w:rsid w:val="00105B69"/>
    <w:rsid w:val="00105EA9"/>
    <w:rsid w:val="00105F7E"/>
    <w:rsid w:val="0010603E"/>
    <w:rsid w:val="0010629B"/>
    <w:rsid w:val="001062DD"/>
    <w:rsid w:val="00106608"/>
    <w:rsid w:val="00106A48"/>
    <w:rsid w:val="00106BF3"/>
    <w:rsid w:val="00107193"/>
    <w:rsid w:val="001072C1"/>
    <w:rsid w:val="001079B2"/>
    <w:rsid w:val="00107B1C"/>
    <w:rsid w:val="00107B8A"/>
    <w:rsid w:val="00107C9C"/>
    <w:rsid w:val="00107EAC"/>
    <w:rsid w:val="00107F08"/>
    <w:rsid w:val="001101E1"/>
    <w:rsid w:val="0011026B"/>
    <w:rsid w:val="00110285"/>
    <w:rsid w:val="0011075A"/>
    <w:rsid w:val="00110884"/>
    <w:rsid w:val="00110954"/>
    <w:rsid w:val="00110C3D"/>
    <w:rsid w:val="00110DA0"/>
    <w:rsid w:val="0011115E"/>
    <w:rsid w:val="001113DF"/>
    <w:rsid w:val="0011146E"/>
    <w:rsid w:val="00111959"/>
    <w:rsid w:val="00111B26"/>
    <w:rsid w:val="00112139"/>
    <w:rsid w:val="00112230"/>
    <w:rsid w:val="00112312"/>
    <w:rsid w:val="001123C5"/>
    <w:rsid w:val="001127E6"/>
    <w:rsid w:val="001128A6"/>
    <w:rsid w:val="00112C03"/>
    <w:rsid w:val="00112E11"/>
    <w:rsid w:val="00112ED3"/>
    <w:rsid w:val="00112EE0"/>
    <w:rsid w:val="00113081"/>
    <w:rsid w:val="001132FC"/>
    <w:rsid w:val="001139F6"/>
    <w:rsid w:val="00114005"/>
    <w:rsid w:val="001140EB"/>
    <w:rsid w:val="00114120"/>
    <w:rsid w:val="0011436E"/>
    <w:rsid w:val="00114697"/>
    <w:rsid w:val="00114880"/>
    <w:rsid w:val="001149E2"/>
    <w:rsid w:val="00114D02"/>
    <w:rsid w:val="00114DD3"/>
    <w:rsid w:val="0011516F"/>
    <w:rsid w:val="00115586"/>
    <w:rsid w:val="0011594F"/>
    <w:rsid w:val="00115958"/>
    <w:rsid w:val="00115E89"/>
    <w:rsid w:val="00115E8A"/>
    <w:rsid w:val="0011618B"/>
    <w:rsid w:val="001162D6"/>
    <w:rsid w:val="0011645B"/>
    <w:rsid w:val="001166A3"/>
    <w:rsid w:val="001166D8"/>
    <w:rsid w:val="00116CF4"/>
    <w:rsid w:val="00116E58"/>
    <w:rsid w:val="00116EB2"/>
    <w:rsid w:val="0011705C"/>
    <w:rsid w:val="00117113"/>
    <w:rsid w:val="001172E2"/>
    <w:rsid w:val="001173A3"/>
    <w:rsid w:val="00117556"/>
    <w:rsid w:val="0011762F"/>
    <w:rsid w:val="00117762"/>
    <w:rsid w:val="00117848"/>
    <w:rsid w:val="001179C6"/>
    <w:rsid w:val="00117B16"/>
    <w:rsid w:val="00117CD9"/>
    <w:rsid w:val="00117E74"/>
    <w:rsid w:val="00117E90"/>
    <w:rsid w:val="00117EAE"/>
    <w:rsid w:val="00120179"/>
    <w:rsid w:val="0012063A"/>
    <w:rsid w:val="00120660"/>
    <w:rsid w:val="00120689"/>
    <w:rsid w:val="00120D87"/>
    <w:rsid w:val="00120FD0"/>
    <w:rsid w:val="0012107D"/>
    <w:rsid w:val="00121081"/>
    <w:rsid w:val="0012121E"/>
    <w:rsid w:val="00121361"/>
    <w:rsid w:val="001216C3"/>
    <w:rsid w:val="00121A3B"/>
    <w:rsid w:val="00121AD3"/>
    <w:rsid w:val="00121C7A"/>
    <w:rsid w:val="00122379"/>
    <w:rsid w:val="00122915"/>
    <w:rsid w:val="00122995"/>
    <w:rsid w:val="00123198"/>
    <w:rsid w:val="001231AE"/>
    <w:rsid w:val="0012324E"/>
    <w:rsid w:val="00123367"/>
    <w:rsid w:val="00123474"/>
    <w:rsid w:val="001234D6"/>
    <w:rsid w:val="0012363B"/>
    <w:rsid w:val="00123694"/>
    <w:rsid w:val="001237B1"/>
    <w:rsid w:val="00123A0A"/>
    <w:rsid w:val="001240DE"/>
    <w:rsid w:val="00124362"/>
    <w:rsid w:val="00124623"/>
    <w:rsid w:val="001247F5"/>
    <w:rsid w:val="00124BE4"/>
    <w:rsid w:val="00124CE5"/>
    <w:rsid w:val="00124F7F"/>
    <w:rsid w:val="00124FC2"/>
    <w:rsid w:val="0012525B"/>
    <w:rsid w:val="001253B8"/>
    <w:rsid w:val="001253E9"/>
    <w:rsid w:val="00125495"/>
    <w:rsid w:val="001257C6"/>
    <w:rsid w:val="0012589B"/>
    <w:rsid w:val="00125BF7"/>
    <w:rsid w:val="00125E27"/>
    <w:rsid w:val="0012604C"/>
    <w:rsid w:val="0012639A"/>
    <w:rsid w:val="0012648D"/>
    <w:rsid w:val="001265E4"/>
    <w:rsid w:val="00126A9B"/>
    <w:rsid w:val="00126B9C"/>
    <w:rsid w:val="00126D48"/>
    <w:rsid w:val="00126D63"/>
    <w:rsid w:val="00126FD0"/>
    <w:rsid w:val="00127080"/>
    <w:rsid w:val="001271B7"/>
    <w:rsid w:val="00127392"/>
    <w:rsid w:val="001273D9"/>
    <w:rsid w:val="001276E2"/>
    <w:rsid w:val="0012797F"/>
    <w:rsid w:val="0013015D"/>
    <w:rsid w:val="001301AC"/>
    <w:rsid w:val="0013024A"/>
    <w:rsid w:val="00130344"/>
    <w:rsid w:val="001304FB"/>
    <w:rsid w:val="00130DF1"/>
    <w:rsid w:val="00130E29"/>
    <w:rsid w:val="00131170"/>
    <w:rsid w:val="001313E9"/>
    <w:rsid w:val="00131428"/>
    <w:rsid w:val="00131572"/>
    <w:rsid w:val="00131802"/>
    <w:rsid w:val="001318A5"/>
    <w:rsid w:val="001318C7"/>
    <w:rsid w:val="001318F2"/>
    <w:rsid w:val="0013194E"/>
    <w:rsid w:val="00131962"/>
    <w:rsid w:val="00131966"/>
    <w:rsid w:val="00131A67"/>
    <w:rsid w:val="00131B2B"/>
    <w:rsid w:val="00131BD7"/>
    <w:rsid w:val="00131BDC"/>
    <w:rsid w:val="00131CE0"/>
    <w:rsid w:val="00131D6C"/>
    <w:rsid w:val="00132088"/>
    <w:rsid w:val="00132473"/>
    <w:rsid w:val="001330C2"/>
    <w:rsid w:val="001330FD"/>
    <w:rsid w:val="00133355"/>
    <w:rsid w:val="00133650"/>
    <w:rsid w:val="00133665"/>
    <w:rsid w:val="001336E8"/>
    <w:rsid w:val="00133A30"/>
    <w:rsid w:val="00133AAD"/>
    <w:rsid w:val="00133B01"/>
    <w:rsid w:val="00133C30"/>
    <w:rsid w:val="001340C5"/>
    <w:rsid w:val="001340DB"/>
    <w:rsid w:val="00134277"/>
    <w:rsid w:val="001345CE"/>
    <w:rsid w:val="00134602"/>
    <w:rsid w:val="00134712"/>
    <w:rsid w:val="001347A7"/>
    <w:rsid w:val="001347E5"/>
    <w:rsid w:val="001348CA"/>
    <w:rsid w:val="001348CF"/>
    <w:rsid w:val="00134930"/>
    <w:rsid w:val="00134A13"/>
    <w:rsid w:val="00134CAE"/>
    <w:rsid w:val="00134EB9"/>
    <w:rsid w:val="00135509"/>
    <w:rsid w:val="00135569"/>
    <w:rsid w:val="00135686"/>
    <w:rsid w:val="00135777"/>
    <w:rsid w:val="0013590D"/>
    <w:rsid w:val="00135DF7"/>
    <w:rsid w:val="00135F72"/>
    <w:rsid w:val="00136145"/>
    <w:rsid w:val="0013619A"/>
    <w:rsid w:val="001361EA"/>
    <w:rsid w:val="00136229"/>
    <w:rsid w:val="00136272"/>
    <w:rsid w:val="00136284"/>
    <w:rsid w:val="00136429"/>
    <w:rsid w:val="001365EA"/>
    <w:rsid w:val="0013690F"/>
    <w:rsid w:val="00136A9B"/>
    <w:rsid w:val="00136ACE"/>
    <w:rsid w:val="00136C04"/>
    <w:rsid w:val="00136C82"/>
    <w:rsid w:val="00136D96"/>
    <w:rsid w:val="001371C4"/>
    <w:rsid w:val="00137273"/>
    <w:rsid w:val="00137373"/>
    <w:rsid w:val="00137542"/>
    <w:rsid w:val="00137758"/>
    <w:rsid w:val="0013784B"/>
    <w:rsid w:val="00137BC5"/>
    <w:rsid w:val="00140136"/>
    <w:rsid w:val="001403E4"/>
    <w:rsid w:val="00140439"/>
    <w:rsid w:val="00140532"/>
    <w:rsid w:val="00140613"/>
    <w:rsid w:val="00140775"/>
    <w:rsid w:val="00140955"/>
    <w:rsid w:val="00140995"/>
    <w:rsid w:val="00140D03"/>
    <w:rsid w:val="00140E6A"/>
    <w:rsid w:val="00140FE9"/>
    <w:rsid w:val="00141241"/>
    <w:rsid w:val="0014166B"/>
    <w:rsid w:val="00141726"/>
    <w:rsid w:val="00141A6F"/>
    <w:rsid w:val="00141C3C"/>
    <w:rsid w:val="00141C72"/>
    <w:rsid w:val="00141C84"/>
    <w:rsid w:val="00141D2B"/>
    <w:rsid w:val="00141FA9"/>
    <w:rsid w:val="00141FDB"/>
    <w:rsid w:val="00142064"/>
    <w:rsid w:val="0014223C"/>
    <w:rsid w:val="00142268"/>
    <w:rsid w:val="00142279"/>
    <w:rsid w:val="00142691"/>
    <w:rsid w:val="00142919"/>
    <w:rsid w:val="00142BDD"/>
    <w:rsid w:val="0014303C"/>
    <w:rsid w:val="00143124"/>
    <w:rsid w:val="0014327C"/>
    <w:rsid w:val="001436C9"/>
    <w:rsid w:val="0014397F"/>
    <w:rsid w:val="00143AB1"/>
    <w:rsid w:val="00143AFA"/>
    <w:rsid w:val="0014413A"/>
    <w:rsid w:val="00144542"/>
    <w:rsid w:val="00144654"/>
    <w:rsid w:val="00144693"/>
    <w:rsid w:val="001449E2"/>
    <w:rsid w:val="00144AD8"/>
    <w:rsid w:val="0014523E"/>
    <w:rsid w:val="0014545C"/>
    <w:rsid w:val="001458D1"/>
    <w:rsid w:val="00145A09"/>
    <w:rsid w:val="00145C02"/>
    <w:rsid w:val="00145CD8"/>
    <w:rsid w:val="00145D10"/>
    <w:rsid w:val="00146004"/>
    <w:rsid w:val="00146199"/>
    <w:rsid w:val="001462AF"/>
    <w:rsid w:val="0014634C"/>
    <w:rsid w:val="00146555"/>
    <w:rsid w:val="00146595"/>
    <w:rsid w:val="001465E3"/>
    <w:rsid w:val="0014685C"/>
    <w:rsid w:val="00146877"/>
    <w:rsid w:val="00146A79"/>
    <w:rsid w:val="00146E63"/>
    <w:rsid w:val="00146E78"/>
    <w:rsid w:val="00147643"/>
    <w:rsid w:val="00147B27"/>
    <w:rsid w:val="00147DD1"/>
    <w:rsid w:val="00147F1B"/>
    <w:rsid w:val="00147F7C"/>
    <w:rsid w:val="0015005E"/>
    <w:rsid w:val="001500EE"/>
    <w:rsid w:val="001501E1"/>
    <w:rsid w:val="00150399"/>
    <w:rsid w:val="001505B1"/>
    <w:rsid w:val="00150642"/>
    <w:rsid w:val="001506E9"/>
    <w:rsid w:val="001507FB"/>
    <w:rsid w:val="00150868"/>
    <w:rsid w:val="00150956"/>
    <w:rsid w:val="001509B0"/>
    <w:rsid w:val="001509F4"/>
    <w:rsid w:val="00150CCB"/>
    <w:rsid w:val="00150D16"/>
    <w:rsid w:val="00150DFB"/>
    <w:rsid w:val="00150F04"/>
    <w:rsid w:val="0015109E"/>
    <w:rsid w:val="001511AC"/>
    <w:rsid w:val="001511C8"/>
    <w:rsid w:val="001513DB"/>
    <w:rsid w:val="001513DC"/>
    <w:rsid w:val="00151464"/>
    <w:rsid w:val="00151715"/>
    <w:rsid w:val="00151784"/>
    <w:rsid w:val="00151884"/>
    <w:rsid w:val="00151901"/>
    <w:rsid w:val="0015196D"/>
    <w:rsid w:val="00151AAA"/>
    <w:rsid w:val="00151DE9"/>
    <w:rsid w:val="00151E3B"/>
    <w:rsid w:val="0015210C"/>
    <w:rsid w:val="00152314"/>
    <w:rsid w:val="00152366"/>
    <w:rsid w:val="001523F5"/>
    <w:rsid w:val="0015247E"/>
    <w:rsid w:val="0015272B"/>
    <w:rsid w:val="00152C77"/>
    <w:rsid w:val="00152FFB"/>
    <w:rsid w:val="00153033"/>
    <w:rsid w:val="00153081"/>
    <w:rsid w:val="001531D6"/>
    <w:rsid w:val="0015334C"/>
    <w:rsid w:val="00153552"/>
    <w:rsid w:val="00153613"/>
    <w:rsid w:val="0015368B"/>
    <w:rsid w:val="00153819"/>
    <w:rsid w:val="001538EB"/>
    <w:rsid w:val="0015393D"/>
    <w:rsid w:val="00153D4B"/>
    <w:rsid w:val="00153ED5"/>
    <w:rsid w:val="00153F0E"/>
    <w:rsid w:val="00153F29"/>
    <w:rsid w:val="00153F72"/>
    <w:rsid w:val="0015412B"/>
    <w:rsid w:val="00154175"/>
    <w:rsid w:val="001543F4"/>
    <w:rsid w:val="00154922"/>
    <w:rsid w:val="00154AD8"/>
    <w:rsid w:val="00154C2B"/>
    <w:rsid w:val="00154D05"/>
    <w:rsid w:val="00154DAF"/>
    <w:rsid w:val="00154E1A"/>
    <w:rsid w:val="00154EEE"/>
    <w:rsid w:val="00155028"/>
    <w:rsid w:val="00155208"/>
    <w:rsid w:val="00155633"/>
    <w:rsid w:val="0015565C"/>
    <w:rsid w:val="001556D2"/>
    <w:rsid w:val="0015579A"/>
    <w:rsid w:val="001558B3"/>
    <w:rsid w:val="00155C38"/>
    <w:rsid w:val="00155FFB"/>
    <w:rsid w:val="00156369"/>
    <w:rsid w:val="0015639F"/>
    <w:rsid w:val="00156881"/>
    <w:rsid w:val="00156B7E"/>
    <w:rsid w:val="00156E97"/>
    <w:rsid w:val="001573B4"/>
    <w:rsid w:val="001576EB"/>
    <w:rsid w:val="001578DC"/>
    <w:rsid w:val="00157D0D"/>
    <w:rsid w:val="00160044"/>
    <w:rsid w:val="0016007A"/>
    <w:rsid w:val="00160119"/>
    <w:rsid w:val="00160D27"/>
    <w:rsid w:val="00160D62"/>
    <w:rsid w:val="00160D9B"/>
    <w:rsid w:val="00160EFB"/>
    <w:rsid w:val="00160F48"/>
    <w:rsid w:val="00161101"/>
    <w:rsid w:val="00161221"/>
    <w:rsid w:val="00161269"/>
    <w:rsid w:val="001613F3"/>
    <w:rsid w:val="0016148C"/>
    <w:rsid w:val="00161845"/>
    <w:rsid w:val="00161AC1"/>
    <w:rsid w:val="00161F1C"/>
    <w:rsid w:val="00161F42"/>
    <w:rsid w:val="00161F5C"/>
    <w:rsid w:val="00162056"/>
    <w:rsid w:val="00162102"/>
    <w:rsid w:val="00162248"/>
    <w:rsid w:val="0016253C"/>
    <w:rsid w:val="00162EB8"/>
    <w:rsid w:val="00163091"/>
    <w:rsid w:val="00163122"/>
    <w:rsid w:val="0016360F"/>
    <w:rsid w:val="0016364B"/>
    <w:rsid w:val="001637E1"/>
    <w:rsid w:val="00163BAA"/>
    <w:rsid w:val="00163C02"/>
    <w:rsid w:val="00163C33"/>
    <w:rsid w:val="00163DCD"/>
    <w:rsid w:val="00163F42"/>
    <w:rsid w:val="00163FCE"/>
    <w:rsid w:val="00164062"/>
    <w:rsid w:val="001641C7"/>
    <w:rsid w:val="001644A9"/>
    <w:rsid w:val="0016450C"/>
    <w:rsid w:val="0016454A"/>
    <w:rsid w:val="00164A30"/>
    <w:rsid w:val="00164A3F"/>
    <w:rsid w:val="00165694"/>
    <w:rsid w:val="001658CA"/>
    <w:rsid w:val="00165BD9"/>
    <w:rsid w:val="00165E92"/>
    <w:rsid w:val="00166441"/>
    <w:rsid w:val="00166715"/>
    <w:rsid w:val="0016676E"/>
    <w:rsid w:val="0016680C"/>
    <w:rsid w:val="00166887"/>
    <w:rsid w:val="00166A4F"/>
    <w:rsid w:val="00166B87"/>
    <w:rsid w:val="00166C61"/>
    <w:rsid w:val="00166DB5"/>
    <w:rsid w:val="00166EC5"/>
    <w:rsid w:val="00166EEC"/>
    <w:rsid w:val="00166EEF"/>
    <w:rsid w:val="00166F73"/>
    <w:rsid w:val="00167009"/>
    <w:rsid w:val="0016718F"/>
    <w:rsid w:val="00167248"/>
    <w:rsid w:val="00167250"/>
    <w:rsid w:val="00167358"/>
    <w:rsid w:val="001675A3"/>
    <w:rsid w:val="00167859"/>
    <w:rsid w:val="0016788F"/>
    <w:rsid w:val="00167C17"/>
    <w:rsid w:val="00170320"/>
    <w:rsid w:val="0017078A"/>
    <w:rsid w:val="001707A0"/>
    <w:rsid w:val="001707A1"/>
    <w:rsid w:val="001707E7"/>
    <w:rsid w:val="001707FA"/>
    <w:rsid w:val="00170A74"/>
    <w:rsid w:val="00170B19"/>
    <w:rsid w:val="00170B95"/>
    <w:rsid w:val="00170C3D"/>
    <w:rsid w:val="00170DC1"/>
    <w:rsid w:val="00170E08"/>
    <w:rsid w:val="00171182"/>
    <w:rsid w:val="00171621"/>
    <w:rsid w:val="00171917"/>
    <w:rsid w:val="00171955"/>
    <w:rsid w:val="001719D3"/>
    <w:rsid w:val="00171AB4"/>
    <w:rsid w:val="00171D75"/>
    <w:rsid w:val="00172001"/>
    <w:rsid w:val="00172901"/>
    <w:rsid w:val="00172E6D"/>
    <w:rsid w:val="00173140"/>
    <w:rsid w:val="001731D6"/>
    <w:rsid w:val="0017327A"/>
    <w:rsid w:val="0017367B"/>
    <w:rsid w:val="001736A4"/>
    <w:rsid w:val="00173C16"/>
    <w:rsid w:val="00173FF6"/>
    <w:rsid w:val="00174000"/>
    <w:rsid w:val="0017452B"/>
    <w:rsid w:val="001749BA"/>
    <w:rsid w:val="00174FB3"/>
    <w:rsid w:val="001751AC"/>
    <w:rsid w:val="001751FD"/>
    <w:rsid w:val="00175435"/>
    <w:rsid w:val="001754B0"/>
    <w:rsid w:val="001754F1"/>
    <w:rsid w:val="001755FE"/>
    <w:rsid w:val="00175743"/>
    <w:rsid w:val="001757AD"/>
    <w:rsid w:val="001758DA"/>
    <w:rsid w:val="00175987"/>
    <w:rsid w:val="00175C6E"/>
    <w:rsid w:val="001760E7"/>
    <w:rsid w:val="001761AA"/>
    <w:rsid w:val="001762F5"/>
    <w:rsid w:val="00176366"/>
    <w:rsid w:val="0017657B"/>
    <w:rsid w:val="00176942"/>
    <w:rsid w:val="001769F4"/>
    <w:rsid w:val="00176B5E"/>
    <w:rsid w:val="00176C06"/>
    <w:rsid w:val="00176E68"/>
    <w:rsid w:val="001771B6"/>
    <w:rsid w:val="00177272"/>
    <w:rsid w:val="0017751D"/>
    <w:rsid w:val="001777B8"/>
    <w:rsid w:val="00177894"/>
    <w:rsid w:val="00177A61"/>
    <w:rsid w:val="00177A71"/>
    <w:rsid w:val="00180184"/>
    <w:rsid w:val="001801E0"/>
    <w:rsid w:val="001802BE"/>
    <w:rsid w:val="001804E3"/>
    <w:rsid w:val="001806C6"/>
    <w:rsid w:val="00180873"/>
    <w:rsid w:val="001809BA"/>
    <w:rsid w:val="00180AE0"/>
    <w:rsid w:val="00180CB0"/>
    <w:rsid w:val="00180CE3"/>
    <w:rsid w:val="00180D84"/>
    <w:rsid w:val="00180E2C"/>
    <w:rsid w:val="00180E4D"/>
    <w:rsid w:val="00180EC4"/>
    <w:rsid w:val="00181575"/>
    <w:rsid w:val="00181660"/>
    <w:rsid w:val="00181780"/>
    <w:rsid w:val="0018193F"/>
    <w:rsid w:val="00181BF2"/>
    <w:rsid w:val="00181C10"/>
    <w:rsid w:val="00182225"/>
    <w:rsid w:val="001823C2"/>
    <w:rsid w:val="0018242F"/>
    <w:rsid w:val="001824B8"/>
    <w:rsid w:val="00182777"/>
    <w:rsid w:val="00182925"/>
    <w:rsid w:val="00182BBF"/>
    <w:rsid w:val="00182C8A"/>
    <w:rsid w:val="00182D55"/>
    <w:rsid w:val="00182E8D"/>
    <w:rsid w:val="00183055"/>
    <w:rsid w:val="0018331F"/>
    <w:rsid w:val="00183489"/>
    <w:rsid w:val="00183591"/>
    <w:rsid w:val="00183B6A"/>
    <w:rsid w:val="00183EA9"/>
    <w:rsid w:val="00183F0C"/>
    <w:rsid w:val="00184064"/>
    <w:rsid w:val="00184984"/>
    <w:rsid w:val="00184B7A"/>
    <w:rsid w:val="00184C71"/>
    <w:rsid w:val="00184CAF"/>
    <w:rsid w:val="00184CEF"/>
    <w:rsid w:val="00184EC9"/>
    <w:rsid w:val="00184EE9"/>
    <w:rsid w:val="00184FC6"/>
    <w:rsid w:val="001850E9"/>
    <w:rsid w:val="0018512B"/>
    <w:rsid w:val="00185137"/>
    <w:rsid w:val="001851E8"/>
    <w:rsid w:val="00185449"/>
    <w:rsid w:val="00185536"/>
    <w:rsid w:val="00185617"/>
    <w:rsid w:val="0018575D"/>
    <w:rsid w:val="001857AC"/>
    <w:rsid w:val="00185BC9"/>
    <w:rsid w:val="00185C60"/>
    <w:rsid w:val="00185DCA"/>
    <w:rsid w:val="00185F6B"/>
    <w:rsid w:val="00185FF4"/>
    <w:rsid w:val="00186334"/>
    <w:rsid w:val="00186668"/>
    <w:rsid w:val="001866B9"/>
    <w:rsid w:val="00186831"/>
    <w:rsid w:val="001868AE"/>
    <w:rsid w:val="001869B0"/>
    <w:rsid w:val="00186A0D"/>
    <w:rsid w:val="00186C13"/>
    <w:rsid w:val="00186E11"/>
    <w:rsid w:val="00186EB2"/>
    <w:rsid w:val="00187048"/>
    <w:rsid w:val="001870BE"/>
    <w:rsid w:val="001874A4"/>
    <w:rsid w:val="001874C7"/>
    <w:rsid w:val="00187550"/>
    <w:rsid w:val="00187567"/>
    <w:rsid w:val="00187888"/>
    <w:rsid w:val="001878C6"/>
    <w:rsid w:val="00187ACF"/>
    <w:rsid w:val="00187B07"/>
    <w:rsid w:val="00190247"/>
    <w:rsid w:val="001904A2"/>
    <w:rsid w:val="001905D9"/>
    <w:rsid w:val="00190825"/>
    <w:rsid w:val="001908BC"/>
    <w:rsid w:val="001908F4"/>
    <w:rsid w:val="00190BA7"/>
    <w:rsid w:val="00190DE6"/>
    <w:rsid w:val="00190F47"/>
    <w:rsid w:val="00190F88"/>
    <w:rsid w:val="00190FA9"/>
    <w:rsid w:val="0019102D"/>
    <w:rsid w:val="0019116D"/>
    <w:rsid w:val="001911F5"/>
    <w:rsid w:val="0019124D"/>
    <w:rsid w:val="0019131A"/>
    <w:rsid w:val="0019173F"/>
    <w:rsid w:val="00191780"/>
    <w:rsid w:val="00191AA2"/>
    <w:rsid w:val="00191ACB"/>
    <w:rsid w:val="00191BDB"/>
    <w:rsid w:val="00191E5A"/>
    <w:rsid w:val="001920D6"/>
    <w:rsid w:val="00192156"/>
    <w:rsid w:val="001928DE"/>
    <w:rsid w:val="00192B1F"/>
    <w:rsid w:val="00192C5A"/>
    <w:rsid w:val="00192D98"/>
    <w:rsid w:val="00192DCA"/>
    <w:rsid w:val="00193086"/>
    <w:rsid w:val="001930E8"/>
    <w:rsid w:val="00193238"/>
    <w:rsid w:val="001932BC"/>
    <w:rsid w:val="00193B7F"/>
    <w:rsid w:val="00193D2A"/>
    <w:rsid w:val="00193D4F"/>
    <w:rsid w:val="00193FD7"/>
    <w:rsid w:val="00194111"/>
    <w:rsid w:val="0019436D"/>
    <w:rsid w:val="001948BE"/>
    <w:rsid w:val="00194944"/>
    <w:rsid w:val="00194DA1"/>
    <w:rsid w:val="00194DE2"/>
    <w:rsid w:val="00194EFF"/>
    <w:rsid w:val="00194FBD"/>
    <w:rsid w:val="0019506C"/>
    <w:rsid w:val="001954A7"/>
    <w:rsid w:val="0019571D"/>
    <w:rsid w:val="00195A22"/>
    <w:rsid w:val="0019640C"/>
    <w:rsid w:val="00196792"/>
    <w:rsid w:val="00196A1A"/>
    <w:rsid w:val="00196AFE"/>
    <w:rsid w:val="00196C2F"/>
    <w:rsid w:val="00196EB4"/>
    <w:rsid w:val="00197093"/>
    <w:rsid w:val="001970E1"/>
    <w:rsid w:val="0019719B"/>
    <w:rsid w:val="0019723F"/>
    <w:rsid w:val="00197276"/>
    <w:rsid w:val="001972BA"/>
    <w:rsid w:val="001974C0"/>
    <w:rsid w:val="001976D7"/>
    <w:rsid w:val="001976E5"/>
    <w:rsid w:val="0019786B"/>
    <w:rsid w:val="00197A85"/>
    <w:rsid w:val="00197E42"/>
    <w:rsid w:val="00197F8B"/>
    <w:rsid w:val="00197FFA"/>
    <w:rsid w:val="001A01F2"/>
    <w:rsid w:val="001A03C9"/>
    <w:rsid w:val="001A03E6"/>
    <w:rsid w:val="001A04BF"/>
    <w:rsid w:val="001A0509"/>
    <w:rsid w:val="001A0675"/>
    <w:rsid w:val="001A06D9"/>
    <w:rsid w:val="001A0790"/>
    <w:rsid w:val="001A0959"/>
    <w:rsid w:val="001A0CB8"/>
    <w:rsid w:val="001A0EC4"/>
    <w:rsid w:val="001A0F1E"/>
    <w:rsid w:val="001A0FF0"/>
    <w:rsid w:val="001A1004"/>
    <w:rsid w:val="001A14D5"/>
    <w:rsid w:val="001A14E6"/>
    <w:rsid w:val="001A1808"/>
    <w:rsid w:val="001A1B0B"/>
    <w:rsid w:val="001A1BBC"/>
    <w:rsid w:val="001A1C14"/>
    <w:rsid w:val="001A1D90"/>
    <w:rsid w:val="001A1F65"/>
    <w:rsid w:val="001A2119"/>
    <w:rsid w:val="001A26FB"/>
    <w:rsid w:val="001A27A4"/>
    <w:rsid w:val="001A2ACA"/>
    <w:rsid w:val="001A2B8C"/>
    <w:rsid w:val="001A2D55"/>
    <w:rsid w:val="001A324E"/>
    <w:rsid w:val="001A327D"/>
    <w:rsid w:val="001A387B"/>
    <w:rsid w:val="001A39F0"/>
    <w:rsid w:val="001A3C40"/>
    <w:rsid w:val="001A3DA3"/>
    <w:rsid w:val="001A3DCE"/>
    <w:rsid w:val="001A3E01"/>
    <w:rsid w:val="001A40B9"/>
    <w:rsid w:val="001A45CF"/>
    <w:rsid w:val="001A4AAE"/>
    <w:rsid w:val="001A4ACF"/>
    <w:rsid w:val="001A4D91"/>
    <w:rsid w:val="001A4F04"/>
    <w:rsid w:val="001A503A"/>
    <w:rsid w:val="001A5082"/>
    <w:rsid w:val="001A55CD"/>
    <w:rsid w:val="001A5677"/>
    <w:rsid w:val="001A5712"/>
    <w:rsid w:val="001A5A26"/>
    <w:rsid w:val="001A5E7C"/>
    <w:rsid w:val="001A5EC6"/>
    <w:rsid w:val="001A5F95"/>
    <w:rsid w:val="001A61EE"/>
    <w:rsid w:val="001A62AE"/>
    <w:rsid w:val="001A6523"/>
    <w:rsid w:val="001A652F"/>
    <w:rsid w:val="001A6829"/>
    <w:rsid w:val="001A6940"/>
    <w:rsid w:val="001A6B1C"/>
    <w:rsid w:val="001A6DA2"/>
    <w:rsid w:val="001A6E98"/>
    <w:rsid w:val="001A6F66"/>
    <w:rsid w:val="001A7B23"/>
    <w:rsid w:val="001B01E6"/>
    <w:rsid w:val="001B03D4"/>
    <w:rsid w:val="001B0675"/>
    <w:rsid w:val="001B0A33"/>
    <w:rsid w:val="001B0B53"/>
    <w:rsid w:val="001B0C4E"/>
    <w:rsid w:val="001B0F33"/>
    <w:rsid w:val="001B1282"/>
    <w:rsid w:val="001B1313"/>
    <w:rsid w:val="001B13F0"/>
    <w:rsid w:val="001B152A"/>
    <w:rsid w:val="001B156C"/>
    <w:rsid w:val="001B1742"/>
    <w:rsid w:val="001B1893"/>
    <w:rsid w:val="001B1A10"/>
    <w:rsid w:val="001B1A77"/>
    <w:rsid w:val="001B1B28"/>
    <w:rsid w:val="001B1C0E"/>
    <w:rsid w:val="001B1C65"/>
    <w:rsid w:val="001B1C9A"/>
    <w:rsid w:val="001B22C4"/>
    <w:rsid w:val="001B2423"/>
    <w:rsid w:val="001B2462"/>
    <w:rsid w:val="001B2622"/>
    <w:rsid w:val="001B298F"/>
    <w:rsid w:val="001B2DFF"/>
    <w:rsid w:val="001B2EA2"/>
    <w:rsid w:val="001B2EB5"/>
    <w:rsid w:val="001B3293"/>
    <w:rsid w:val="001B33B5"/>
    <w:rsid w:val="001B34E7"/>
    <w:rsid w:val="001B3609"/>
    <w:rsid w:val="001B3C13"/>
    <w:rsid w:val="001B3D6F"/>
    <w:rsid w:val="001B3E5E"/>
    <w:rsid w:val="001B3F35"/>
    <w:rsid w:val="001B4043"/>
    <w:rsid w:val="001B4374"/>
    <w:rsid w:val="001B43AE"/>
    <w:rsid w:val="001B446C"/>
    <w:rsid w:val="001B45ED"/>
    <w:rsid w:val="001B4747"/>
    <w:rsid w:val="001B48E6"/>
    <w:rsid w:val="001B4A19"/>
    <w:rsid w:val="001B4DF1"/>
    <w:rsid w:val="001B4F63"/>
    <w:rsid w:val="001B563D"/>
    <w:rsid w:val="001B569F"/>
    <w:rsid w:val="001B580E"/>
    <w:rsid w:val="001B5A7D"/>
    <w:rsid w:val="001B5B8E"/>
    <w:rsid w:val="001B5BCB"/>
    <w:rsid w:val="001B5F66"/>
    <w:rsid w:val="001B6020"/>
    <w:rsid w:val="001B616A"/>
    <w:rsid w:val="001B6472"/>
    <w:rsid w:val="001B6703"/>
    <w:rsid w:val="001B670E"/>
    <w:rsid w:val="001B6992"/>
    <w:rsid w:val="001B6A85"/>
    <w:rsid w:val="001B6EC7"/>
    <w:rsid w:val="001B70BE"/>
    <w:rsid w:val="001B7368"/>
    <w:rsid w:val="001B73FC"/>
    <w:rsid w:val="001B741D"/>
    <w:rsid w:val="001B7424"/>
    <w:rsid w:val="001B79AB"/>
    <w:rsid w:val="001B7AE7"/>
    <w:rsid w:val="001B7AF6"/>
    <w:rsid w:val="001B7C38"/>
    <w:rsid w:val="001B7EEA"/>
    <w:rsid w:val="001C0039"/>
    <w:rsid w:val="001C00FE"/>
    <w:rsid w:val="001C0121"/>
    <w:rsid w:val="001C02AB"/>
    <w:rsid w:val="001C02CC"/>
    <w:rsid w:val="001C05A4"/>
    <w:rsid w:val="001C05C1"/>
    <w:rsid w:val="001C092C"/>
    <w:rsid w:val="001C099B"/>
    <w:rsid w:val="001C0AD4"/>
    <w:rsid w:val="001C0C39"/>
    <w:rsid w:val="001C0DB4"/>
    <w:rsid w:val="001C11E0"/>
    <w:rsid w:val="001C131F"/>
    <w:rsid w:val="001C1321"/>
    <w:rsid w:val="001C16F5"/>
    <w:rsid w:val="001C1ACA"/>
    <w:rsid w:val="001C1B7C"/>
    <w:rsid w:val="001C1C0D"/>
    <w:rsid w:val="001C220B"/>
    <w:rsid w:val="001C225A"/>
    <w:rsid w:val="001C23F8"/>
    <w:rsid w:val="001C248F"/>
    <w:rsid w:val="001C2574"/>
    <w:rsid w:val="001C26A6"/>
    <w:rsid w:val="001C273C"/>
    <w:rsid w:val="001C2805"/>
    <w:rsid w:val="001C286B"/>
    <w:rsid w:val="001C2B90"/>
    <w:rsid w:val="001C2E1E"/>
    <w:rsid w:val="001C2E6A"/>
    <w:rsid w:val="001C31E8"/>
    <w:rsid w:val="001C321B"/>
    <w:rsid w:val="001C382A"/>
    <w:rsid w:val="001C3D98"/>
    <w:rsid w:val="001C40B7"/>
    <w:rsid w:val="001C41B4"/>
    <w:rsid w:val="001C44B3"/>
    <w:rsid w:val="001C44F8"/>
    <w:rsid w:val="001C4796"/>
    <w:rsid w:val="001C49D9"/>
    <w:rsid w:val="001C4A57"/>
    <w:rsid w:val="001C4AC6"/>
    <w:rsid w:val="001C4DA9"/>
    <w:rsid w:val="001C4DF1"/>
    <w:rsid w:val="001C4F28"/>
    <w:rsid w:val="001C501C"/>
    <w:rsid w:val="001C52FB"/>
    <w:rsid w:val="001C5320"/>
    <w:rsid w:val="001C55FC"/>
    <w:rsid w:val="001C56F6"/>
    <w:rsid w:val="001C59E9"/>
    <w:rsid w:val="001C5CB6"/>
    <w:rsid w:val="001C5DC2"/>
    <w:rsid w:val="001C5E10"/>
    <w:rsid w:val="001C60B0"/>
    <w:rsid w:val="001C6194"/>
    <w:rsid w:val="001C6498"/>
    <w:rsid w:val="001C6ACC"/>
    <w:rsid w:val="001C6B0D"/>
    <w:rsid w:val="001C6E95"/>
    <w:rsid w:val="001C6EC4"/>
    <w:rsid w:val="001C6EC6"/>
    <w:rsid w:val="001C712E"/>
    <w:rsid w:val="001C7249"/>
    <w:rsid w:val="001C7265"/>
    <w:rsid w:val="001C750A"/>
    <w:rsid w:val="001C7705"/>
    <w:rsid w:val="001C7769"/>
    <w:rsid w:val="001C7A25"/>
    <w:rsid w:val="001C7CB3"/>
    <w:rsid w:val="001D0133"/>
    <w:rsid w:val="001D02B5"/>
    <w:rsid w:val="001D0301"/>
    <w:rsid w:val="001D0379"/>
    <w:rsid w:val="001D043D"/>
    <w:rsid w:val="001D0484"/>
    <w:rsid w:val="001D07CD"/>
    <w:rsid w:val="001D0876"/>
    <w:rsid w:val="001D09F9"/>
    <w:rsid w:val="001D0ADA"/>
    <w:rsid w:val="001D0E0B"/>
    <w:rsid w:val="001D11F0"/>
    <w:rsid w:val="001D138C"/>
    <w:rsid w:val="001D154C"/>
    <w:rsid w:val="001D15AD"/>
    <w:rsid w:val="001D15F4"/>
    <w:rsid w:val="001D1A1E"/>
    <w:rsid w:val="001D1BDB"/>
    <w:rsid w:val="001D2048"/>
    <w:rsid w:val="001D26FD"/>
    <w:rsid w:val="001D2799"/>
    <w:rsid w:val="001D2808"/>
    <w:rsid w:val="001D2815"/>
    <w:rsid w:val="001D2B5A"/>
    <w:rsid w:val="001D2C00"/>
    <w:rsid w:val="001D3093"/>
    <w:rsid w:val="001D30E0"/>
    <w:rsid w:val="001D34F6"/>
    <w:rsid w:val="001D36C8"/>
    <w:rsid w:val="001D3C04"/>
    <w:rsid w:val="001D3C4C"/>
    <w:rsid w:val="001D3C97"/>
    <w:rsid w:val="001D3E8E"/>
    <w:rsid w:val="001D3F9C"/>
    <w:rsid w:val="001D417F"/>
    <w:rsid w:val="001D43C2"/>
    <w:rsid w:val="001D44A4"/>
    <w:rsid w:val="001D461F"/>
    <w:rsid w:val="001D46CA"/>
    <w:rsid w:val="001D4765"/>
    <w:rsid w:val="001D4886"/>
    <w:rsid w:val="001D4EB3"/>
    <w:rsid w:val="001D4FBE"/>
    <w:rsid w:val="001D525C"/>
    <w:rsid w:val="001D5458"/>
    <w:rsid w:val="001D54DF"/>
    <w:rsid w:val="001D5577"/>
    <w:rsid w:val="001D5587"/>
    <w:rsid w:val="001D591C"/>
    <w:rsid w:val="001D59FB"/>
    <w:rsid w:val="001D5ADF"/>
    <w:rsid w:val="001D615A"/>
    <w:rsid w:val="001D6201"/>
    <w:rsid w:val="001D669A"/>
    <w:rsid w:val="001D676D"/>
    <w:rsid w:val="001D6ED1"/>
    <w:rsid w:val="001D7296"/>
    <w:rsid w:val="001D770C"/>
    <w:rsid w:val="001D778D"/>
    <w:rsid w:val="001D7940"/>
    <w:rsid w:val="001D794C"/>
    <w:rsid w:val="001D7B80"/>
    <w:rsid w:val="001D7EE7"/>
    <w:rsid w:val="001D7FB3"/>
    <w:rsid w:val="001E01CE"/>
    <w:rsid w:val="001E0210"/>
    <w:rsid w:val="001E021A"/>
    <w:rsid w:val="001E021C"/>
    <w:rsid w:val="001E0228"/>
    <w:rsid w:val="001E0278"/>
    <w:rsid w:val="001E02A9"/>
    <w:rsid w:val="001E036F"/>
    <w:rsid w:val="001E041F"/>
    <w:rsid w:val="001E06AE"/>
    <w:rsid w:val="001E090A"/>
    <w:rsid w:val="001E0CEF"/>
    <w:rsid w:val="001E0E72"/>
    <w:rsid w:val="001E0E7E"/>
    <w:rsid w:val="001E1003"/>
    <w:rsid w:val="001E1038"/>
    <w:rsid w:val="001E1073"/>
    <w:rsid w:val="001E152D"/>
    <w:rsid w:val="001E15BC"/>
    <w:rsid w:val="001E1BD6"/>
    <w:rsid w:val="001E1D14"/>
    <w:rsid w:val="001E1FBE"/>
    <w:rsid w:val="001E207D"/>
    <w:rsid w:val="001E208A"/>
    <w:rsid w:val="001E2497"/>
    <w:rsid w:val="001E255D"/>
    <w:rsid w:val="001E2656"/>
    <w:rsid w:val="001E269F"/>
    <w:rsid w:val="001E26B9"/>
    <w:rsid w:val="001E27C6"/>
    <w:rsid w:val="001E2E2A"/>
    <w:rsid w:val="001E2E87"/>
    <w:rsid w:val="001E2F4F"/>
    <w:rsid w:val="001E3111"/>
    <w:rsid w:val="001E31E8"/>
    <w:rsid w:val="001E32FB"/>
    <w:rsid w:val="001E3308"/>
    <w:rsid w:val="001E343E"/>
    <w:rsid w:val="001E34DF"/>
    <w:rsid w:val="001E3573"/>
    <w:rsid w:val="001E3584"/>
    <w:rsid w:val="001E37F5"/>
    <w:rsid w:val="001E3808"/>
    <w:rsid w:val="001E39BA"/>
    <w:rsid w:val="001E3BDD"/>
    <w:rsid w:val="001E3CE3"/>
    <w:rsid w:val="001E3D0D"/>
    <w:rsid w:val="001E3D75"/>
    <w:rsid w:val="001E3E8A"/>
    <w:rsid w:val="001E4292"/>
    <w:rsid w:val="001E43C6"/>
    <w:rsid w:val="001E454D"/>
    <w:rsid w:val="001E4940"/>
    <w:rsid w:val="001E4BD9"/>
    <w:rsid w:val="001E4F82"/>
    <w:rsid w:val="001E51C3"/>
    <w:rsid w:val="001E5252"/>
    <w:rsid w:val="001E55BA"/>
    <w:rsid w:val="001E5873"/>
    <w:rsid w:val="001E5A01"/>
    <w:rsid w:val="001E5A41"/>
    <w:rsid w:val="001E64E4"/>
    <w:rsid w:val="001E65ED"/>
    <w:rsid w:val="001E6BD2"/>
    <w:rsid w:val="001E6DC6"/>
    <w:rsid w:val="001E6F1A"/>
    <w:rsid w:val="001E7034"/>
    <w:rsid w:val="001E758F"/>
    <w:rsid w:val="001E7906"/>
    <w:rsid w:val="001E7952"/>
    <w:rsid w:val="001E7B19"/>
    <w:rsid w:val="001E7D0C"/>
    <w:rsid w:val="001E7D0F"/>
    <w:rsid w:val="001E7DA5"/>
    <w:rsid w:val="001E7E23"/>
    <w:rsid w:val="001E7E5C"/>
    <w:rsid w:val="001E7FC5"/>
    <w:rsid w:val="001F023C"/>
    <w:rsid w:val="001F0793"/>
    <w:rsid w:val="001F0CCA"/>
    <w:rsid w:val="001F0FBC"/>
    <w:rsid w:val="001F10B5"/>
    <w:rsid w:val="001F1262"/>
    <w:rsid w:val="001F1344"/>
    <w:rsid w:val="001F137B"/>
    <w:rsid w:val="001F1672"/>
    <w:rsid w:val="001F176E"/>
    <w:rsid w:val="001F18EF"/>
    <w:rsid w:val="001F19D3"/>
    <w:rsid w:val="001F1A8B"/>
    <w:rsid w:val="001F1F59"/>
    <w:rsid w:val="001F2062"/>
    <w:rsid w:val="001F20E2"/>
    <w:rsid w:val="001F212D"/>
    <w:rsid w:val="001F2190"/>
    <w:rsid w:val="001F21C3"/>
    <w:rsid w:val="001F24DC"/>
    <w:rsid w:val="001F2809"/>
    <w:rsid w:val="001F29DE"/>
    <w:rsid w:val="001F2D4D"/>
    <w:rsid w:val="001F31C1"/>
    <w:rsid w:val="001F31D2"/>
    <w:rsid w:val="001F3399"/>
    <w:rsid w:val="001F3707"/>
    <w:rsid w:val="001F3997"/>
    <w:rsid w:val="001F3A69"/>
    <w:rsid w:val="001F3E7F"/>
    <w:rsid w:val="001F3EF5"/>
    <w:rsid w:val="001F40FC"/>
    <w:rsid w:val="001F4289"/>
    <w:rsid w:val="001F4405"/>
    <w:rsid w:val="001F4BFD"/>
    <w:rsid w:val="001F4C06"/>
    <w:rsid w:val="001F4C8A"/>
    <w:rsid w:val="001F4D5C"/>
    <w:rsid w:val="001F4D77"/>
    <w:rsid w:val="001F4F58"/>
    <w:rsid w:val="001F53CD"/>
    <w:rsid w:val="001F56C7"/>
    <w:rsid w:val="001F5794"/>
    <w:rsid w:val="001F5913"/>
    <w:rsid w:val="001F5978"/>
    <w:rsid w:val="001F5A31"/>
    <w:rsid w:val="001F5A64"/>
    <w:rsid w:val="001F5B02"/>
    <w:rsid w:val="001F5F40"/>
    <w:rsid w:val="001F6196"/>
    <w:rsid w:val="001F6353"/>
    <w:rsid w:val="001F6474"/>
    <w:rsid w:val="001F64A3"/>
    <w:rsid w:val="001F65B7"/>
    <w:rsid w:val="001F6962"/>
    <w:rsid w:val="001F69B5"/>
    <w:rsid w:val="001F6A37"/>
    <w:rsid w:val="001F6D39"/>
    <w:rsid w:val="001F6E01"/>
    <w:rsid w:val="001F6EBE"/>
    <w:rsid w:val="001F7311"/>
    <w:rsid w:val="001F7393"/>
    <w:rsid w:val="001F76BD"/>
    <w:rsid w:val="001F7B04"/>
    <w:rsid w:val="001F7CC3"/>
    <w:rsid w:val="001F7CEA"/>
    <w:rsid w:val="001F7CEF"/>
    <w:rsid w:val="001F7E5C"/>
    <w:rsid w:val="00200982"/>
    <w:rsid w:val="00200D0A"/>
    <w:rsid w:val="002012F2"/>
    <w:rsid w:val="00201735"/>
    <w:rsid w:val="00201A14"/>
    <w:rsid w:val="00201A64"/>
    <w:rsid w:val="00201C89"/>
    <w:rsid w:val="00201F6A"/>
    <w:rsid w:val="00202608"/>
    <w:rsid w:val="00202673"/>
    <w:rsid w:val="00202712"/>
    <w:rsid w:val="00202735"/>
    <w:rsid w:val="00202D6B"/>
    <w:rsid w:val="00202E1D"/>
    <w:rsid w:val="00202E9F"/>
    <w:rsid w:val="00202ECE"/>
    <w:rsid w:val="00203319"/>
    <w:rsid w:val="0020338B"/>
    <w:rsid w:val="0020366A"/>
    <w:rsid w:val="00203693"/>
    <w:rsid w:val="002036FD"/>
    <w:rsid w:val="002037CB"/>
    <w:rsid w:val="0020390E"/>
    <w:rsid w:val="0020392A"/>
    <w:rsid w:val="002039ED"/>
    <w:rsid w:val="00203C6E"/>
    <w:rsid w:val="00203D16"/>
    <w:rsid w:val="00203DA1"/>
    <w:rsid w:val="00203EDA"/>
    <w:rsid w:val="0020409E"/>
    <w:rsid w:val="002042BC"/>
    <w:rsid w:val="002042E1"/>
    <w:rsid w:val="002045F2"/>
    <w:rsid w:val="00204660"/>
    <w:rsid w:val="0020469A"/>
    <w:rsid w:val="00204768"/>
    <w:rsid w:val="00204788"/>
    <w:rsid w:val="0020484D"/>
    <w:rsid w:val="00204A56"/>
    <w:rsid w:val="00204B7B"/>
    <w:rsid w:val="00204C88"/>
    <w:rsid w:val="00204C8A"/>
    <w:rsid w:val="00204DAD"/>
    <w:rsid w:val="002050EB"/>
    <w:rsid w:val="0020516D"/>
    <w:rsid w:val="00205361"/>
    <w:rsid w:val="00205565"/>
    <w:rsid w:val="00205566"/>
    <w:rsid w:val="00205589"/>
    <w:rsid w:val="002056BA"/>
    <w:rsid w:val="00205746"/>
    <w:rsid w:val="00205758"/>
    <w:rsid w:val="00205783"/>
    <w:rsid w:val="002057D9"/>
    <w:rsid w:val="002059DB"/>
    <w:rsid w:val="00205E38"/>
    <w:rsid w:val="00205E56"/>
    <w:rsid w:val="00206066"/>
    <w:rsid w:val="0020617A"/>
    <w:rsid w:val="00206213"/>
    <w:rsid w:val="0020631A"/>
    <w:rsid w:val="002063B1"/>
    <w:rsid w:val="00206994"/>
    <w:rsid w:val="00206A8A"/>
    <w:rsid w:val="00206B99"/>
    <w:rsid w:val="00206C60"/>
    <w:rsid w:val="00206CBD"/>
    <w:rsid w:val="00206DE9"/>
    <w:rsid w:val="00206E82"/>
    <w:rsid w:val="0020711A"/>
    <w:rsid w:val="002071E0"/>
    <w:rsid w:val="00207423"/>
    <w:rsid w:val="00207534"/>
    <w:rsid w:val="0020760F"/>
    <w:rsid w:val="00207698"/>
    <w:rsid w:val="002076F7"/>
    <w:rsid w:val="00207935"/>
    <w:rsid w:val="002079F3"/>
    <w:rsid w:val="00207DF3"/>
    <w:rsid w:val="00207F93"/>
    <w:rsid w:val="00210017"/>
    <w:rsid w:val="0021028C"/>
    <w:rsid w:val="00210325"/>
    <w:rsid w:val="00210436"/>
    <w:rsid w:val="00210980"/>
    <w:rsid w:val="002109E1"/>
    <w:rsid w:val="00210B7D"/>
    <w:rsid w:val="00210EFC"/>
    <w:rsid w:val="00210F55"/>
    <w:rsid w:val="00210FB0"/>
    <w:rsid w:val="00211019"/>
    <w:rsid w:val="002110CD"/>
    <w:rsid w:val="002111BB"/>
    <w:rsid w:val="0021141A"/>
    <w:rsid w:val="0021173F"/>
    <w:rsid w:val="00211B81"/>
    <w:rsid w:val="00211EB4"/>
    <w:rsid w:val="00211EC7"/>
    <w:rsid w:val="00211F21"/>
    <w:rsid w:val="0021200F"/>
    <w:rsid w:val="00212277"/>
    <w:rsid w:val="002125D3"/>
    <w:rsid w:val="002126EF"/>
    <w:rsid w:val="00212758"/>
    <w:rsid w:val="002127D3"/>
    <w:rsid w:val="002127D9"/>
    <w:rsid w:val="0021294E"/>
    <w:rsid w:val="00212A6E"/>
    <w:rsid w:val="00212A7C"/>
    <w:rsid w:val="00212E04"/>
    <w:rsid w:val="00213C71"/>
    <w:rsid w:val="00213C83"/>
    <w:rsid w:val="00213C98"/>
    <w:rsid w:val="00213D10"/>
    <w:rsid w:val="0021401C"/>
    <w:rsid w:val="002141D8"/>
    <w:rsid w:val="00214298"/>
    <w:rsid w:val="00214548"/>
    <w:rsid w:val="002145E3"/>
    <w:rsid w:val="00214DDE"/>
    <w:rsid w:val="00214E16"/>
    <w:rsid w:val="00214F22"/>
    <w:rsid w:val="002150CD"/>
    <w:rsid w:val="00215190"/>
    <w:rsid w:val="0021522E"/>
    <w:rsid w:val="0021526B"/>
    <w:rsid w:val="002153D6"/>
    <w:rsid w:val="002154F1"/>
    <w:rsid w:val="00215559"/>
    <w:rsid w:val="0021558A"/>
    <w:rsid w:val="00215A02"/>
    <w:rsid w:val="00215B3A"/>
    <w:rsid w:val="00215BFE"/>
    <w:rsid w:val="00215C32"/>
    <w:rsid w:val="00215DA1"/>
    <w:rsid w:val="002160DD"/>
    <w:rsid w:val="002162C1"/>
    <w:rsid w:val="002163C5"/>
    <w:rsid w:val="002168DE"/>
    <w:rsid w:val="0021692E"/>
    <w:rsid w:val="00216B04"/>
    <w:rsid w:val="00216D19"/>
    <w:rsid w:val="00216DF2"/>
    <w:rsid w:val="002177EB"/>
    <w:rsid w:val="00217A02"/>
    <w:rsid w:val="00217A2D"/>
    <w:rsid w:val="00217AD0"/>
    <w:rsid w:val="00217ADE"/>
    <w:rsid w:val="00217D70"/>
    <w:rsid w:val="00217DA5"/>
    <w:rsid w:val="00217E11"/>
    <w:rsid w:val="00217EED"/>
    <w:rsid w:val="00217F16"/>
    <w:rsid w:val="00217F48"/>
    <w:rsid w:val="00220511"/>
    <w:rsid w:val="00220741"/>
    <w:rsid w:val="00220B16"/>
    <w:rsid w:val="002211DC"/>
    <w:rsid w:val="002211FC"/>
    <w:rsid w:val="0022129A"/>
    <w:rsid w:val="0022149A"/>
    <w:rsid w:val="00221B0D"/>
    <w:rsid w:val="00221B19"/>
    <w:rsid w:val="00221B5C"/>
    <w:rsid w:val="00221C2B"/>
    <w:rsid w:val="00221F53"/>
    <w:rsid w:val="00221FDF"/>
    <w:rsid w:val="002220FA"/>
    <w:rsid w:val="0022216E"/>
    <w:rsid w:val="00222461"/>
    <w:rsid w:val="0022251E"/>
    <w:rsid w:val="00222959"/>
    <w:rsid w:val="00222977"/>
    <w:rsid w:val="00222A24"/>
    <w:rsid w:val="00222CB3"/>
    <w:rsid w:val="00222CEB"/>
    <w:rsid w:val="00222F38"/>
    <w:rsid w:val="002231CE"/>
    <w:rsid w:val="00223493"/>
    <w:rsid w:val="002235F9"/>
    <w:rsid w:val="0022365A"/>
    <w:rsid w:val="0022372A"/>
    <w:rsid w:val="00223A00"/>
    <w:rsid w:val="00223AAC"/>
    <w:rsid w:val="00223AC8"/>
    <w:rsid w:val="00223AF4"/>
    <w:rsid w:val="00223B8C"/>
    <w:rsid w:val="00223B8F"/>
    <w:rsid w:val="00223CF8"/>
    <w:rsid w:val="00223E91"/>
    <w:rsid w:val="00223FB6"/>
    <w:rsid w:val="00223FC3"/>
    <w:rsid w:val="00223FF4"/>
    <w:rsid w:val="00224031"/>
    <w:rsid w:val="002241ED"/>
    <w:rsid w:val="002242C6"/>
    <w:rsid w:val="00224626"/>
    <w:rsid w:val="002247AB"/>
    <w:rsid w:val="002248FC"/>
    <w:rsid w:val="00224C12"/>
    <w:rsid w:val="00224C61"/>
    <w:rsid w:val="00224DE0"/>
    <w:rsid w:val="00224F64"/>
    <w:rsid w:val="00224F81"/>
    <w:rsid w:val="00225056"/>
    <w:rsid w:val="00225378"/>
    <w:rsid w:val="0022595F"/>
    <w:rsid w:val="00225D81"/>
    <w:rsid w:val="00225E28"/>
    <w:rsid w:val="00225E7F"/>
    <w:rsid w:val="00225ED2"/>
    <w:rsid w:val="00225F8E"/>
    <w:rsid w:val="00225FF2"/>
    <w:rsid w:val="002262F8"/>
    <w:rsid w:val="0022655B"/>
    <w:rsid w:val="00226CFC"/>
    <w:rsid w:val="00226DAA"/>
    <w:rsid w:val="00227028"/>
    <w:rsid w:val="0022708E"/>
    <w:rsid w:val="002270F0"/>
    <w:rsid w:val="0022720C"/>
    <w:rsid w:val="002273B6"/>
    <w:rsid w:val="002274DC"/>
    <w:rsid w:val="0022782C"/>
    <w:rsid w:val="00227ADD"/>
    <w:rsid w:val="00227C08"/>
    <w:rsid w:val="00227C73"/>
    <w:rsid w:val="00227D33"/>
    <w:rsid w:val="00227F88"/>
    <w:rsid w:val="002301CE"/>
    <w:rsid w:val="002306C7"/>
    <w:rsid w:val="00230B60"/>
    <w:rsid w:val="002312BC"/>
    <w:rsid w:val="002315EC"/>
    <w:rsid w:val="0023170D"/>
    <w:rsid w:val="00231A08"/>
    <w:rsid w:val="00231B86"/>
    <w:rsid w:val="00231CAA"/>
    <w:rsid w:val="00231D58"/>
    <w:rsid w:val="00231D69"/>
    <w:rsid w:val="00231F6B"/>
    <w:rsid w:val="00232245"/>
    <w:rsid w:val="00232321"/>
    <w:rsid w:val="00232572"/>
    <w:rsid w:val="00232581"/>
    <w:rsid w:val="00232669"/>
    <w:rsid w:val="002326E8"/>
    <w:rsid w:val="00232739"/>
    <w:rsid w:val="0023294D"/>
    <w:rsid w:val="00232957"/>
    <w:rsid w:val="00232E08"/>
    <w:rsid w:val="00233298"/>
    <w:rsid w:val="0023353B"/>
    <w:rsid w:val="00233777"/>
    <w:rsid w:val="00233789"/>
    <w:rsid w:val="002337DE"/>
    <w:rsid w:val="00233B90"/>
    <w:rsid w:val="00233BE0"/>
    <w:rsid w:val="00233DC7"/>
    <w:rsid w:val="00233ECB"/>
    <w:rsid w:val="00234408"/>
    <w:rsid w:val="002344E8"/>
    <w:rsid w:val="0023473E"/>
    <w:rsid w:val="0023476F"/>
    <w:rsid w:val="00234BCF"/>
    <w:rsid w:val="00234BD8"/>
    <w:rsid w:val="00234C4D"/>
    <w:rsid w:val="00234EAC"/>
    <w:rsid w:val="00235049"/>
    <w:rsid w:val="00235167"/>
    <w:rsid w:val="002351DE"/>
    <w:rsid w:val="002352A1"/>
    <w:rsid w:val="0023585A"/>
    <w:rsid w:val="0023586A"/>
    <w:rsid w:val="00235980"/>
    <w:rsid w:val="00235BD7"/>
    <w:rsid w:val="00236146"/>
    <w:rsid w:val="00236159"/>
    <w:rsid w:val="002361AF"/>
    <w:rsid w:val="00236594"/>
    <w:rsid w:val="00236697"/>
    <w:rsid w:val="00236937"/>
    <w:rsid w:val="00236CB5"/>
    <w:rsid w:val="00236DDA"/>
    <w:rsid w:val="00236F70"/>
    <w:rsid w:val="00237815"/>
    <w:rsid w:val="0023791C"/>
    <w:rsid w:val="00237B90"/>
    <w:rsid w:val="00237C61"/>
    <w:rsid w:val="00237D96"/>
    <w:rsid w:val="00237DC1"/>
    <w:rsid w:val="00237ED9"/>
    <w:rsid w:val="002400A9"/>
    <w:rsid w:val="00240285"/>
    <w:rsid w:val="002406B4"/>
    <w:rsid w:val="0024086E"/>
    <w:rsid w:val="00240B93"/>
    <w:rsid w:val="00240D22"/>
    <w:rsid w:val="00240D9C"/>
    <w:rsid w:val="00240E73"/>
    <w:rsid w:val="00241038"/>
    <w:rsid w:val="002410F4"/>
    <w:rsid w:val="00241186"/>
    <w:rsid w:val="00241719"/>
    <w:rsid w:val="002417A0"/>
    <w:rsid w:val="0024192A"/>
    <w:rsid w:val="00241B74"/>
    <w:rsid w:val="00241C0C"/>
    <w:rsid w:val="00241C80"/>
    <w:rsid w:val="00241E94"/>
    <w:rsid w:val="00241FD5"/>
    <w:rsid w:val="00242096"/>
    <w:rsid w:val="00242449"/>
    <w:rsid w:val="00242886"/>
    <w:rsid w:val="00242A9C"/>
    <w:rsid w:val="00242CCC"/>
    <w:rsid w:val="002430B7"/>
    <w:rsid w:val="002433CF"/>
    <w:rsid w:val="0024348D"/>
    <w:rsid w:val="0024373C"/>
    <w:rsid w:val="002437C3"/>
    <w:rsid w:val="00243A17"/>
    <w:rsid w:val="00243A54"/>
    <w:rsid w:val="00243B05"/>
    <w:rsid w:val="00243B4C"/>
    <w:rsid w:val="00243E6C"/>
    <w:rsid w:val="002441D3"/>
    <w:rsid w:val="00244245"/>
    <w:rsid w:val="002442E6"/>
    <w:rsid w:val="00244333"/>
    <w:rsid w:val="00244477"/>
    <w:rsid w:val="00244A9E"/>
    <w:rsid w:val="00244AE0"/>
    <w:rsid w:val="00244CF8"/>
    <w:rsid w:val="0024514B"/>
    <w:rsid w:val="00245150"/>
    <w:rsid w:val="00245198"/>
    <w:rsid w:val="00245229"/>
    <w:rsid w:val="00245242"/>
    <w:rsid w:val="0024552E"/>
    <w:rsid w:val="00245537"/>
    <w:rsid w:val="00245636"/>
    <w:rsid w:val="00245637"/>
    <w:rsid w:val="0024569D"/>
    <w:rsid w:val="002456B0"/>
    <w:rsid w:val="00245AA3"/>
    <w:rsid w:val="00245ACA"/>
    <w:rsid w:val="00245CA3"/>
    <w:rsid w:val="00246114"/>
    <w:rsid w:val="002464E7"/>
    <w:rsid w:val="00246517"/>
    <w:rsid w:val="00246627"/>
    <w:rsid w:val="0024677D"/>
    <w:rsid w:val="002467BA"/>
    <w:rsid w:val="002469E7"/>
    <w:rsid w:val="00246ABF"/>
    <w:rsid w:val="00246D63"/>
    <w:rsid w:val="00246DA7"/>
    <w:rsid w:val="00246F8E"/>
    <w:rsid w:val="00246FD6"/>
    <w:rsid w:val="00247034"/>
    <w:rsid w:val="002473E3"/>
    <w:rsid w:val="002478AE"/>
    <w:rsid w:val="00247A26"/>
    <w:rsid w:val="00247BCB"/>
    <w:rsid w:val="00247BEC"/>
    <w:rsid w:val="00247DCD"/>
    <w:rsid w:val="0025010C"/>
    <w:rsid w:val="0025030E"/>
    <w:rsid w:val="0025049B"/>
    <w:rsid w:val="002504AF"/>
    <w:rsid w:val="00250613"/>
    <w:rsid w:val="00250743"/>
    <w:rsid w:val="00250B53"/>
    <w:rsid w:val="00250E02"/>
    <w:rsid w:val="00250E16"/>
    <w:rsid w:val="00251145"/>
    <w:rsid w:val="002511F7"/>
    <w:rsid w:val="0025134C"/>
    <w:rsid w:val="00251366"/>
    <w:rsid w:val="0025151E"/>
    <w:rsid w:val="002515EA"/>
    <w:rsid w:val="0025166F"/>
    <w:rsid w:val="002517A9"/>
    <w:rsid w:val="00251803"/>
    <w:rsid w:val="002518B4"/>
    <w:rsid w:val="00251A3F"/>
    <w:rsid w:val="00251D13"/>
    <w:rsid w:val="00251DE1"/>
    <w:rsid w:val="00251E90"/>
    <w:rsid w:val="00251FA3"/>
    <w:rsid w:val="00252093"/>
    <w:rsid w:val="002522C2"/>
    <w:rsid w:val="00252613"/>
    <w:rsid w:val="00252887"/>
    <w:rsid w:val="002528AE"/>
    <w:rsid w:val="002529BA"/>
    <w:rsid w:val="00252A47"/>
    <w:rsid w:val="00252B44"/>
    <w:rsid w:val="00252E79"/>
    <w:rsid w:val="00252F6D"/>
    <w:rsid w:val="002530CB"/>
    <w:rsid w:val="0025314C"/>
    <w:rsid w:val="00253216"/>
    <w:rsid w:val="00253241"/>
    <w:rsid w:val="002532FF"/>
    <w:rsid w:val="00253348"/>
    <w:rsid w:val="002538B2"/>
    <w:rsid w:val="00253980"/>
    <w:rsid w:val="00253AA8"/>
    <w:rsid w:val="00253B1C"/>
    <w:rsid w:val="00253CD1"/>
    <w:rsid w:val="0025445B"/>
    <w:rsid w:val="002546B1"/>
    <w:rsid w:val="0025479E"/>
    <w:rsid w:val="002548C8"/>
    <w:rsid w:val="00254930"/>
    <w:rsid w:val="00254A09"/>
    <w:rsid w:val="00254BF0"/>
    <w:rsid w:val="0025519E"/>
    <w:rsid w:val="0025535D"/>
    <w:rsid w:val="00255440"/>
    <w:rsid w:val="002554BA"/>
    <w:rsid w:val="002555E6"/>
    <w:rsid w:val="00255A98"/>
    <w:rsid w:val="00255B7F"/>
    <w:rsid w:val="00255E02"/>
    <w:rsid w:val="00255FCF"/>
    <w:rsid w:val="0025629B"/>
    <w:rsid w:val="00256367"/>
    <w:rsid w:val="00256474"/>
    <w:rsid w:val="00256511"/>
    <w:rsid w:val="00256913"/>
    <w:rsid w:val="00256A2D"/>
    <w:rsid w:val="00256F6F"/>
    <w:rsid w:val="00257168"/>
    <w:rsid w:val="0025716E"/>
    <w:rsid w:val="002571C2"/>
    <w:rsid w:val="002571C8"/>
    <w:rsid w:val="002573D9"/>
    <w:rsid w:val="002576AA"/>
    <w:rsid w:val="002576E2"/>
    <w:rsid w:val="002577E5"/>
    <w:rsid w:val="00257A80"/>
    <w:rsid w:val="00257B42"/>
    <w:rsid w:val="00257CEB"/>
    <w:rsid w:val="00257D8D"/>
    <w:rsid w:val="00257E45"/>
    <w:rsid w:val="00260025"/>
    <w:rsid w:val="00260107"/>
    <w:rsid w:val="00260E1A"/>
    <w:rsid w:val="00260F83"/>
    <w:rsid w:val="00261035"/>
    <w:rsid w:val="002610F9"/>
    <w:rsid w:val="00261142"/>
    <w:rsid w:val="00261336"/>
    <w:rsid w:val="002613FC"/>
    <w:rsid w:val="00261692"/>
    <w:rsid w:val="002616F9"/>
    <w:rsid w:val="00261711"/>
    <w:rsid w:val="0026177E"/>
    <w:rsid w:val="002618C3"/>
    <w:rsid w:val="002618F0"/>
    <w:rsid w:val="002619C9"/>
    <w:rsid w:val="002619EE"/>
    <w:rsid w:val="00261FD2"/>
    <w:rsid w:val="002621C9"/>
    <w:rsid w:val="0026221B"/>
    <w:rsid w:val="002622DC"/>
    <w:rsid w:val="00262328"/>
    <w:rsid w:val="00262375"/>
    <w:rsid w:val="002626B0"/>
    <w:rsid w:val="0026275D"/>
    <w:rsid w:val="00262767"/>
    <w:rsid w:val="00262777"/>
    <w:rsid w:val="002629A5"/>
    <w:rsid w:val="00262A70"/>
    <w:rsid w:val="00262E47"/>
    <w:rsid w:val="002630A8"/>
    <w:rsid w:val="00263490"/>
    <w:rsid w:val="00263562"/>
    <w:rsid w:val="00263971"/>
    <w:rsid w:val="00263A34"/>
    <w:rsid w:val="00263B33"/>
    <w:rsid w:val="00263D77"/>
    <w:rsid w:val="002641FE"/>
    <w:rsid w:val="00264229"/>
    <w:rsid w:val="00264285"/>
    <w:rsid w:val="0026454F"/>
    <w:rsid w:val="00264663"/>
    <w:rsid w:val="002648F4"/>
    <w:rsid w:val="002649D5"/>
    <w:rsid w:val="002649F5"/>
    <w:rsid w:val="00264A76"/>
    <w:rsid w:val="00264CE6"/>
    <w:rsid w:val="00264D48"/>
    <w:rsid w:val="00264D59"/>
    <w:rsid w:val="00264F3F"/>
    <w:rsid w:val="00264FCE"/>
    <w:rsid w:val="002650A0"/>
    <w:rsid w:val="00265469"/>
    <w:rsid w:val="0026592E"/>
    <w:rsid w:val="00265C0F"/>
    <w:rsid w:val="00265D9F"/>
    <w:rsid w:val="00265DA7"/>
    <w:rsid w:val="00265E6C"/>
    <w:rsid w:val="00265FCB"/>
    <w:rsid w:val="00265FE1"/>
    <w:rsid w:val="002660EF"/>
    <w:rsid w:val="002661D2"/>
    <w:rsid w:val="00266288"/>
    <w:rsid w:val="002663B6"/>
    <w:rsid w:val="00266492"/>
    <w:rsid w:val="0026657F"/>
    <w:rsid w:val="00266969"/>
    <w:rsid w:val="002669E2"/>
    <w:rsid w:val="002669E5"/>
    <w:rsid w:val="00266CC0"/>
    <w:rsid w:val="00266D47"/>
    <w:rsid w:val="0026724A"/>
    <w:rsid w:val="0026738D"/>
    <w:rsid w:val="0026797B"/>
    <w:rsid w:val="002679AC"/>
    <w:rsid w:val="002679CB"/>
    <w:rsid w:val="00267A12"/>
    <w:rsid w:val="00267A7D"/>
    <w:rsid w:val="00267B70"/>
    <w:rsid w:val="00267D4E"/>
    <w:rsid w:val="00267ECE"/>
    <w:rsid w:val="00270281"/>
    <w:rsid w:val="002704B7"/>
    <w:rsid w:val="002705F7"/>
    <w:rsid w:val="00270680"/>
    <w:rsid w:val="00270772"/>
    <w:rsid w:val="002709E3"/>
    <w:rsid w:val="00270A68"/>
    <w:rsid w:val="00270B51"/>
    <w:rsid w:val="00270BF9"/>
    <w:rsid w:val="00270D67"/>
    <w:rsid w:val="002710B7"/>
    <w:rsid w:val="0027111C"/>
    <w:rsid w:val="00271287"/>
    <w:rsid w:val="0027132D"/>
    <w:rsid w:val="002713A5"/>
    <w:rsid w:val="00271673"/>
    <w:rsid w:val="00271724"/>
    <w:rsid w:val="0027180A"/>
    <w:rsid w:val="0027197B"/>
    <w:rsid w:val="00271A3A"/>
    <w:rsid w:val="00271BAC"/>
    <w:rsid w:val="00271BBF"/>
    <w:rsid w:val="00271DAD"/>
    <w:rsid w:val="00271F63"/>
    <w:rsid w:val="00272052"/>
    <w:rsid w:val="0027207E"/>
    <w:rsid w:val="002720E2"/>
    <w:rsid w:val="0027247D"/>
    <w:rsid w:val="00272623"/>
    <w:rsid w:val="00272651"/>
    <w:rsid w:val="002728AC"/>
    <w:rsid w:val="0027299A"/>
    <w:rsid w:val="002729D9"/>
    <w:rsid w:val="00272CEA"/>
    <w:rsid w:val="00272DA0"/>
    <w:rsid w:val="00273060"/>
    <w:rsid w:val="002730AD"/>
    <w:rsid w:val="002735AD"/>
    <w:rsid w:val="00273716"/>
    <w:rsid w:val="00273A26"/>
    <w:rsid w:val="00273DA7"/>
    <w:rsid w:val="00273FF4"/>
    <w:rsid w:val="002740A0"/>
    <w:rsid w:val="00274200"/>
    <w:rsid w:val="0027432C"/>
    <w:rsid w:val="00274494"/>
    <w:rsid w:val="00274605"/>
    <w:rsid w:val="00274614"/>
    <w:rsid w:val="00274821"/>
    <w:rsid w:val="0027498A"/>
    <w:rsid w:val="00274B12"/>
    <w:rsid w:val="00274C61"/>
    <w:rsid w:val="00274F3B"/>
    <w:rsid w:val="00274F7F"/>
    <w:rsid w:val="002750C4"/>
    <w:rsid w:val="0027519A"/>
    <w:rsid w:val="00275410"/>
    <w:rsid w:val="00275764"/>
    <w:rsid w:val="00275A8D"/>
    <w:rsid w:val="00275B54"/>
    <w:rsid w:val="00275BD4"/>
    <w:rsid w:val="00275C80"/>
    <w:rsid w:val="00275DFE"/>
    <w:rsid w:val="00275FEE"/>
    <w:rsid w:val="00275FF8"/>
    <w:rsid w:val="002761E0"/>
    <w:rsid w:val="0027625E"/>
    <w:rsid w:val="00276625"/>
    <w:rsid w:val="002767D1"/>
    <w:rsid w:val="002767FC"/>
    <w:rsid w:val="00276832"/>
    <w:rsid w:val="002768AD"/>
    <w:rsid w:val="00276DCB"/>
    <w:rsid w:val="00276FCC"/>
    <w:rsid w:val="0027700A"/>
    <w:rsid w:val="002772A8"/>
    <w:rsid w:val="00277591"/>
    <w:rsid w:val="0027767B"/>
    <w:rsid w:val="0027775D"/>
    <w:rsid w:val="002777CC"/>
    <w:rsid w:val="00277827"/>
    <w:rsid w:val="002778DF"/>
    <w:rsid w:val="00277CEC"/>
    <w:rsid w:val="00277DBE"/>
    <w:rsid w:val="00277F45"/>
    <w:rsid w:val="00277FF3"/>
    <w:rsid w:val="00280389"/>
    <w:rsid w:val="00280476"/>
    <w:rsid w:val="0028074A"/>
    <w:rsid w:val="00280D22"/>
    <w:rsid w:val="0028109E"/>
    <w:rsid w:val="002810B4"/>
    <w:rsid w:val="002811D0"/>
    <w:rsid w:val="002812AE"/>
    <w:rsid w:val="002812F7"/>
    <w:rsid w:val="00281336"/>
    <w:rsid w:val="0028146C"/>
    <w:rsid w:val="002814E1"/>
    <w:rsid w:val="00281519"/>
    <w:rsid w:val="00281642"/>
    <w:rsid w:val="00281CD5"/>
    <w:rsid w:val="00281DCA"/>
    <w:rsid w:val="00281E31"/>
    <w:rsid w:val="002820F2"/>
    <w:rsid w:val="0028210B"/>
    <w:rsid w:val="0028224D"/>
    <w:rsid w:val="00282278"/>
    <w:rsid w:val="002822A2"/>
    <w:rsid w:val="00282475"/>
    <w:rsid w:val="002826EE"/>
    <w:rsid w:val="0028278B"/>
    <w:rsid w:val="002828B2"/>
    <w:rsid w:val="002829B8"/>
    <w:rsid w:val="00282C54"/>
    <w:rsid w:val="00282C60"/>
    <w:rsid w:val="00282D0D"/>
    <w:rsid w:val="00282F37"/>
    <w:rsid w:val="00283026"/>
    <w:rsid w:val="002830DF"/>
    <w:rsid w:val="00283377"/>
    <w:rsid w:val="00283495"/>
    <w:rsid w:val="002836E7"/>
    <w:rsid w:val="002836F2"/>
    <w:rsid w:val="00283754"/>
    <w:rsid w:val="00283788"/>
    <w:rsid w:val="00283DED"/>
    <w:rsid w:val="00283EA4"/>
    <w:rsid w:val="00283F09"/>
    <w:rsid w:val="0028408B"/>
    <w:rsid w:val="002842A0"/>
    <w:rsid w:val="002842BD"/>
    <w:rsid w:val="00284499"/>
    <w:rsid w:val="00284718"/>
    <w:rsid w:val="00284722"/>
    <w:rsid w:val="0028486A"/>
    <w:rsid w:val="002848F6"/>
    <w:rsid w:val="00284963"/>
    <w:rsid w:val="00284BC5"/>
    <w:rsid w:val="00284D05"/>
    <w:rsid w:val="00284DD1"/>
    <w:rsid w:val="00284DE1"/>
    <w:rsid w:val="00285025"/>
    <w:rsid w:val="002850A0"/>
    <w:rsid w:val="00285218"/>
    <w:rsid w:val="00285435"/>
    <w:rsid w:val="002855C3"/>
    <w:rsid w:val="00285627"/>
    <w:rsid w:val="00285788"/>
    <w:rsid w:val="00285AB6"/>
    <w:rsid w:val="00285CB9"/>
    <w:rsid w:val="00285EF2"/>
    <w:rsid w:val="00285F63"/>
    <w:rsid w:val="002860C0"/>
    <w:rsid w:val="00286303"/>
    <w:rsid w:val="00286516"/>
    <w:rsid w:val="002865DD"/>
    <w:rsid w:val="00286832"/>
    <w:rsid w:val="002868B8"/>
    <w:rsid w:val="00286AE3"/>
    <w:rsid w:val="00286D7B"/>
    <w:rsid w:val="00286EB3"/>
    <w:rsid w:val="00286F90"/>
    <w:rsid w:val="00287716"/>
    <w:rsid w:val="00287744"/>
    <w:rsid w:val="00287964"/>
    <w:rsid w:val="0028797F"/>
    <w:rsid w:val="002879AA"/>
    <w:rsid w:val="00287A86"/>
    <w:rsid w:val="00290038"/>
    <w:rsid w:val="0029004C"/>
    <w:rsid w:val="00290110"/>
    <w:rsid w:val="00290321"/>
    <w:rsid w:val="00290327"/>
    <w:rsid w:val="0029032B"/>
    <w:rsid w:val="0029039A"/>
    <w:rsid w:val="002904DE"/>
    <w:rsid w:val="00290533"/>
    <w:rsid w:val="0029059D"/>
    <w:rsid w:val="00290810"/>
    <w:rsid w:val="00290F8B"/>
    <w:rsid w:val="002910DC"/>
    <w:rsid w:val="00291153"/>
    <w:rsid w:val="00291283"/>
    <w:rsid w:val="002913E2"/>
    <w:rsid w:val="00291754"/>
    <w:rsid w:val="0029198E"/>
    <w:rsid w:val="00291ABE"/>
    <w:rsid w:val="00291B9A"/>
    <w:rsid w:val="00291C76"/>
    <w:rsid w:val="00291C7E"/>
    <w:rsid w:val="00291D06"/>
    <w:rsid w:val="00292294"/>
    <w:rsid w:val="0029236F"/>
    <w:rsid w:val="00292956"/>
    <w:rsid w:val="0029297F"/>
    <w:rsid w:val="00292AA4"/>
    <w:rsid w:val="00292BF5"/>
    <w:rsid w:val="00292C7F"/>
    <w:rsid w:val="00292CBF"/>
    <w:rsid w:val="00292D67"/>
    <w:rsid w:val="00292E93"/>
    <w:rsid w:val="00292F00"/>
    <w:rsid w:val="00292F6E"/>
    <w:rsid w:val="002932B3"/>
    <w:rsid w:val="00293458"/>
    <w:rsid w:val="0029350B"/>
    <w:rsid w:val="00293602"/>
    <w:rsid w:val="002937DB"/>
    <w:rsid w:val="00293A26"/>
    <w:rsid w:val="00293AEF"/>
    <w:rsid w:val="00293B5A"/>
    <w:rsid w:val="00293BD8"/>
    <w:rsid w:val="00293C72"/>
    <w:rsid w:val="00293D7B"/>
    <w:rsid w:val="00293F11"/>
    <w:rsid w:val="002941F9"/>
    <w:rsid w:val="00294272"/>
    <w:rsid w:val="002942F5"/>
    <w:rsid w:val="002945A3"/>
    <w:rsid w:val="0029472B"/>
    <w:rsid w:val="00294738"/>
    <w:rsid w:val="002949B3"/>
    <w:rsid w:val="00295899"/>
    <w:rsid w:val="0029592F"/>
    <w:rsid w:val="00295FDE"/>
    <w:rsid w:val="002962A5"/>
    <w:rsid w:val="00296438"/>
    <w:rsid w:val="00296455"/>
    <w:rsid w:val="002966CE"/>
    <w:rsid w:val="002967AB"/>
    <w:rsid w:val="00296A97"/>
    <w:rsid w:val="00296C20"/>
    <w:rsid w:val="00296E3D"/>
    <w:rsid w:val="00296EE8"/>
    <w:rsid w:val="0029718B"/>
    <w:rsid w:val="002971D6"/>
    <w:rsid w:val="00297348"/>
    <w:rsid w:val="0029776D"/>
    <w:rsid w:val="002979A9"/>
    <w:rsid w:val="00297AA9"/>
    <w:rsid w:val="00297B1C"/>
    <w:rsid w:val="00297ECB"/>
    <w:rsid w:val="00297F97"/>
    <w:rsid w:val="00297FBD"/>
    <w:rsid w:val="002A0211"/>
    <w:rsid w:val="002A0303"/>
    <w:rsid w:val="002A0438"/>
    <w:rsid w:val="002A059D"/>
    <w:rsid w:val="002A09F3"/>
    <w:rsid w:val="002A0B93"/>
    <w:rsid w:val="002A0BBA"/>
    <w:rsid w:val="002A0F6E"/>
    <w:rsid w:val="002A1224"/>
    <w:rsid w:val="002A149C"/>
    <w:rsid w:val="002A17F4"/>
    <w:rsid w:val="002A1849"/>
    <w:rsid w:val="002A19E0"/>
    <w:rsid w:val="002A19E3"/>
    <w:rsid w:val="002A1A52"/>
    <w:rsid w:val="002A1B00"/>
    <w:rsid w:val="002A1BBF"/>
    <w:rsid w:val="002A1BCB"/>
    <w:rsid w:val="002A1BF9"/>
    <w:rsid w:val="002A1D9A"/>
    <w:rsid w:val="002A223C"/>
    <w:rsid w:val="002A2263"/>
    <w:rsid w:val="002A227B"/>
    <w:rsid w:val="002A240D"/>
    <w:rsid w:val="002A26F3"/>
    <w:rsid w:val="002A2ADC"/>
    <w:rsid w:val="002A2B7C"/>
    <w:rsid w:val="002A2BB0"/>
    <w:rsid w:val="002A2D02"/>
    <w:rsid w:val="002A2DD1"/>
    <w:rsid w:val="002A303D"/>
    <w:rsid w:val="002A3615"/>
    <w:rsid w:val="002A386D"/>
    <w:rsid w:val="002A3B60"/>
    <w:rsid w:val="002A3CCB"/>
    <w:rsid w:val="002A3D4B"/>
    <w:rsid w:val="002A3D98"/>
    <w:rsid w:val="002A3E62"/>
    <w:rsid w:val="002A3FCD"/>
    <w:rsid w:val="002A3FDB"/>
    <w:rsid w:val="002A414F"/>
    <w:rsid w:val="002A43DE"/>
    <w:rsid w:val="002A4A72"/>
    <w:rsid w:val="002A4BCE"/>
    <w:rsid w:val="002A4DC6"/>
    <w:rsid w:val="002A4E79"/>
    <w:rsid w:val="002A5189"/>
    <w:rsid w:val="002A57AB"/>
    <w:rsid w:val="002A580A"/>
    <w:rsid w:val="002A5862"/>
    <w:rsid w:val="002A59BB"/>
    <w:rsid w:val="002A5DEB"/>
    <w:rsid w:val="002A6208"/>
    <w:rsid w:val="002A64D1"/>
    <w:rsid w:val="002A654C"/>
    <w:rsid w:val="002A65AA"/>
    <w:rsid w:val="002A6DAB"/>
    <w:rsid w:val="002A6E06"/>
    <w:rsid w:val="002A6EA4"/>
    <w:rsid w:val="002A71E0"/>
    <w:rsid w:val="002A761E"/>
    <w:rsid w:val="002A777B"/>
    <w:rsid w:val="002A79E6"/>
    <w:rsid w:val="002A7E31"/>
    <w:rsid w:val="002A7F47"/>
    <w:rsid w:val="002A7FFA"/>
    <w:rsid w:val="002B007B"/>
    <w:rsid w:val="002B02DF"/>
    <w:rsid w:val="002B03B0"/>
    <w:rsid w:val="002B0460"/>
    <w:rsid w:val="002B046B"/>
    <w:rsid w:val="002B0505"/>
    <w:rsid w:val="002B0978"/>
    <w:rsid w:val="002B0BBB"/>
    <w:rsid w:val="002B0C4C"/>
    <w:rsid w:val="002B0CB0"/>
    <w:rsid w:val="002B0D82"/>
    <w:rsid w:val="002B0FE4"/>
    <w:rsid w:val="002B1145"/>
    <w:rsid w:val="002B117E"/>
    <w:rsid w:val="002B12A4"/>
    <w:rsid w:val="002B1366"/>
    <w:rsid w:val="002B1E9E"/>
    <w:rsid w:val="002B2027"/>
    <w:rsid w:val="002B2571"/>
    <w:rsid w:val="002B267C"/>
    <w:rsid w:val="002B29E7"/>
    <w:rsid w:val="002B2D1B"/>
    <w:rsid w:val="002B2DB0"/>
    <w:rsid w:val="002B2DC7"/>
    <w:rsid w:val="002B2E53"/>
    <w:rsid w:val="002B3012"/>
    <w:rsid w:val="002B301F"/>
    <w:rsid w:val="002B321F"/>
    <w:rsid w:val="002B32FA"/>
    <w:rsid w:val="002B345C"/>
    <w:rsid w:val="002B3B6E"/>
    <w:rsid w:val="002B3C53"/>
    <w:rsid w:val="002B4104"/>
    <w:rsid w:val="002B44B5"/>
    <w:rsid w:val="002B458A"/>
    <w:rsid w:val="002B47F9"/>
    <w:rsid w:val="002B4B13"/>
    <w:rsid w:val="002B4C7E"/>
    <w:rsid w:val="002B4D26"/>
    <w:rsid w:val="002B4D85"/>
    <w:rsid w:val="002B4E82"/>
    <w:rsid w:val="002B5323"/>
    <w:rsid w:val="002B53F0"/>
    <w:rsid w:val="002B5414"/>
    <w:rsid w:val="002B54CC"/>
    <w:rsid w:val="002B55C7"/>
    <w:rsid w:val="002B593B"/>
    <w:rsid w:val="002B5AE3"/>
    <w:rsid w:val="002B65D3"/>
    <w:rsid w:val="002B66C2"/>
    <w:rsid w:val="002B6752"/>
    <w:rsid w:val="002B67E0"/>
    <w:rsid w:val="002B69BC"/>
    <w:rsid w:val="002B6BCB"/>
    <w:rsid w:val="002B6C48"/>
    <w:rsid w:val="002B6CD6"/>
    <w:rsid w:val="002B6F65"/>
    <w:rsid w:val="002B7111"/>
    <w:rsid w:val="002B7373"/>
    <w:rsid w:val="002B73C9"/>
    <w:rsid w:val="002B73FD"/>
    <w:rsid w:val="002B758C"/>
    <w:rsid w:val="002B75FF"/>
    <w:rsid w:val="002B7768"/>
    <w:rsid w:val="002B79A4"/>
    <w:rsid w:val="002B7BB3"/>
    <w:rsid w:val="002B7DD5"/>
    <w:rsid w:val="002B7E68"/>
    <w:rsid w:val="002B7F83"/>
    <w:rsid w:val="002C00FF"/>
    <w:rsid w:val="002C0186"/>
    <w:rsid w:val="002C0303"/>
    <w:rsid w:val="002C04D2"/>
    <w:rsid w:val="002C05AA"/>
    <w:rsid w:val="002C08BF"/>
    <w:rsid w:val="002C091C"/>
    <w:rsid w:val="002C0D37"/>
    <w:rsid w:val="002C0ED6"/>
    <w:rsid w:val="002C0F2B"/>
    <w:rsid w:val="002C140F"/>
    <w:rsid w:val="002C176F"/>
    <w:rsid w:val="002C1778"/>
    <w:rsid w:val="002C17F4"/>
    <w:rsid w:val="002C1811"/>
    <w:rsid w:val="002C19E5"/>
    <w:rsid w:val="002C1A21"/>
    <w:rsid w:val="002C1CBA"/>
    <w:rsid w:val="002C2083"/>
    <w:rsid w:val="002C2186"/>
    <w:rsid w:val="002C220C"/>
    <w:rsid w:val="002C24C2"/>
    <w:rsid w:val="002C27FC"/>
    <w:rsid w:val="002C2818"/>
    <w:rsid w:val="002C2ADF"/>
    <w:rsid w:val="002C2AE8"/>
    <w:rsid w:val="002C2D0D"/>
    <w:rsid w:val="002C30EB"/>
    <w:rsid w:val="002C3167"/>
    <w:rsid w:val="002C3202"/>
    <w:rsid w:val="002C33E1"/>
    <w:rsid w:val="002C34AC"/>
    <w:rsid w:val="002C35FB"/>
    <w:rsid w:val="002C3874"/>
    <w:rsid w:val="002C3909"/>
    <w:rsid w:val="002C3915"/>
    <w:rsid w:val="002C3C45"/>
    <w:rsid w:val="002C402B"/>
    <w:rsid w:val="002C403C"/>
    <w:rsid w:val="002C41A2"/>
    <w:rsid w:val="002C4258"/>
    <w:rsid w:val="002C4363"/>
    <w:rsid w:val="002C4626"/>
    <w:rsid w:val="002C4CD0"/>
    <w:rsid w:val="002C4D44"/>
    <w:rsid w:val="002C4E88"/>
    <w:rsid w:val="002C4EF5"/>
    <w:rsid w:val="002C4F17"/>
    <w:rsid w:val="002C4F2C"/>
    <w:rsid w:val="002C4F70"/>
    <w:rsid w:val="002C52D8"/>
    <w:rsid w:val="002C5335"/>
    <w:rsid w:val="002C53F4"/>
    <w:rsid w:val="002C5692"/>
    <w:rsid w:val="002C57D5"/>
    <w:rsid w:val="002C5A4D"/>
    <w:rsid w:val="002C5B37"/>
    <w:rsid w:val="002C5BAE"/>
    <w:rsid w:val="002C5D19"/>
    <w:rsid w:val="002C5D50"/>
    <w:rsid w:val="002C5DEA"/>
    <w:rsid w:val="002C5F26"/>
    <w:rsid w:val="002C5F64"/>
    <w:rsid w:val="002C66F1"/>
    <w:rsid w:val="002C6952"/>
    <w:rsid w:val="002C6A7B"/>
    <w:rsid w:val="002C6E16"/>
    <w:rsid w:val="002C6EA8"/>
    <w:rsid w:val="002C6F8B"/>
    <w:rsid w:val="002C6F97"/>
    <w:rsid w:val="002C773D"/>
    <w:rsid w:val="002C7A02"/>
    <w:rsid w:val="002C7B50"/>
    <w:rsid w:val="002C7D09"/>
    <w:rsid w:val="002C7D70"/>
    <w:rsid w:val="002C7DB8"/>
    <w:rsid w:val="002C7E8C"/>
    <w:rsid w:val="002D0620"/>
    <w:rsid w:val="002D0648"/>
    <w:rsid w:val="002D08FD"/>
    <w:rsid w:val="002D0ADA"/>
    <w:rsid w:val="002D0B19"/>
    <w:rsid w:val="002D0B8A"/>
    <w:rsid w:val="002D0C5A"/>
    <w:rsid w:val="002D1366"/>
    <w:rsid w:val="002D13A9"/>
    <w:rsid w:val="002D17B7"/>
    <w:rsid w:val="002D17C8"/>
    <w:rsid w:val="002D19A9"/>
    <w:rsid w:val="002D1A56"/>
    <w:rsid w:val="002D1C18"/>
    <w:rsid w:val="002D2112"/>
    <w:rsid w:val="002D21E7"/>
    <w:rsid w:val="002D222F"/>
    <w:rsid w:val="002D2237"/>
    <w:rsid w:val="002D2288"/>
    <w:rsid w:val="002D23FB"/>
    <w:rsid w:val="002D2451"/>
    <w:rsid w:val="002D2732"/>
    <w:rsid w:val="002D29EA"/>
    <w:rsid w:val="002D2D9D"/>
    <w:rsid w:val="002D2EA8"/>
    <w:rsid w:val="002D336B"/>
    <w:rsid w:val="002D34E7"/>
    <w:rsid w:val="002D3520"/>
    <w:rsid w:val="002D35F1"/>
    <w:rsid w:val="002D38AF"/>
    <w:rsid w:val="002D394C"/>
    <w:rsid w:val="002D3A2C"/>
    <w:rsid w:val="002D3B02"/>
    <w:rsid w:val="002D3C2D"/>
    <w:rsid w:val="002D3C82"/>
    <w:rsid w:val="002D3D31"/>
    <w:rsid w:val="002D3D59"/>
    <w:rsid w:val="002D3DDF"/>
    <w:rsid w:val="002D3DF2"/>
    <w:rsid w:val="002D4059"/>
    <w:rsid w:val="002D40A7"/>
    <w:rsid w:val="002D43D5"/>
    <w:rsid w:val="002D450D"/>
    <w:rsid w:val="002D4D1B"/>
    <w:rsid w:val="002D4E05"/>
    <w:rsid w:val="002D4F45"/>
    <w:rsid w:val="002D4F9E"/>
    <w:rsid w:val="002D5306"/>
    <w:rsid w:val="002D53AE"/>
    <w:rsid w:val="002D540A"/>
    <w:rsid w:val="002D5443"/>
    <w:rsid w:val="002D5845"/>
    <w:rsid w:val="002D59D0"/>
    <w:rsid w:val="002D5BF8"/>
    <w:rsid w:val="002D5D83"/>
    <w:rsid w:val="002D60C0"/>
    <w:rsid w:val="002D63A5"/>
    <w:rsid w:val="002D64EC"/>
    <w:rsid w:val="002D682B"/>
    <w:rsid w:val="002D6A01"/>
    <w:rsid w:val="002D6A02"/>
    <w:rsid w:val="002D6BFD"/>
    <w:rsid w:val="002D6DD0"/>
    <w:rsid w:val="002D6E95"/>
    <w:rsid w:val="002D6EE8"/>
    <w:rsid w:val="002D6F34"/>
    <w:rsid w:val="002D72E4"/>
    <w:rsid w:val="002D73B1"/>
    <w:rsid w:val="002D77CF"/>
    <w:rsid w:val="002D77FD"/>
    <w:rsid w:val="002D78D1"/>
    <w:rsid w:val="002D79FD"/>
    <w:rsid w:val="002D7EEC"/>
    <w:rsid w:val="002E01EA"/>
    <w:rsid w:val="002E02C6"/>
    <w:rsid w:val="002E0384"/>
    <w:rsid w:val="002E0421"/>
    <w:rsid w:val="002E0586"/>
    <w:rsid w:val="002E07B8"/>
    <w:rsid w:val="002E080F"/>
    <w:rsid w:val="002E085F"/>
    <w:rsid w:val="002E098B"/>
    <w:rsid w:val="002E0A78"/>
    <w:rsid w:val="002E0D91"/>
    <w:rsid w:val="002E1274"/>
    <w:rsid w:val="002E14B2"/>
    <w:rsid w:val="002E14CC"/>
    <w:rsid w:val="002E17BA"/>
    <w:rsid w:val="002E1830"/>
    <w:rsid w:val="002E1E35"/>
    <w:rsid w:val="002E1E85"/>
    <w:rsid w:val="002E1EDE"/>
    <w:rsid w:val="002E1F67"/>
    <w:rsid w:val="002E2255"/>
    <w:rsid w:val="002E2535"/>
    <w:rsid w:val="002E27C1"/>
    <w:rsid w:val="002E2E11"/>
    <w:rsid w:val="002E32A8"/>
    <w:rsid w:val="002E3323"/>
    <w:rsid w:val="002E33B4"/>
    <w:rsid w:val="002E34EC"/>
    <w:rsid w:val="002E35F6"/>
    <w:rsid w:val="002E36F2"/>
    <w:rsid w:val="002E380E"/>
    <w:rsid w:val="002E3858"/>
    <w:rsid w:val="002E38FC"/>
    <w:rsid w:val="002E3A6A"/>
    <w:rsid w:val="002E3A99"/>
    <w:rsid w:val="002E3F15"/>
    <w:rsid w:val="002E3F17"/>
    <w:rsid w:val="002E3FBB"/>
    <w:rsid w:val="002E4023"/>
    <w:rsid w:val="002E4241"/>
    <w:rsid w:val="002E44A0"/>
    <w:rsid w:val="002E46C1"/>
    <w:rsid w:val="002E46FB"/>
    <w:rsid w:val="002E4709"/>
    <w:rsid w:val="002E48AC"/>
    <w:rsid w:val="002E4908"/>
    <w:rsid w:val="002E49DD"/>
    <w:rsid w:val="002E4D87"/>
    <w:rsid w:val="002E4F4E"/>
    <w:rsid w:val="002E50AB"/>
    <w:rsid w:val="002E50E2"/>
    <w:rsid w:val="002E50FA"/>
    <w:rsid w:val="002E532A"/>
    <w:rsid w:val="002E53D6"/>
    <w:rsid w:val="002E5696"/>
    <w:rsid w:val="002E5712"/>
    <w:rsid w:val="002E57E3"/>
    <w:rsid w:val="002E59BB"/>
    <w:rsid w:val="002E5B7A"/>
    <w:rsid w:val="002E5CEC"/>
    <w:rsid w:val="002E5F72"/>
    <w:rsid w:val="002E60BD"/>
    <w:rsid w:val="002E616A"/>
    <w:rsid w:val="002E656F"/>
    <w:rsid w:val="002E6890"/>
    <w:rsid w:val="002E6896"/>
    <w:rsid w:val="002E6A09"/>
    <w:rsid w:val="002E6AC5"/>
    <w:rsid w:val="002E6C11"/>
    <w:rsid w:val="002E6C7A"/>
    <w:rsid w:val="002E6EE9"/>
    <w:rsid w:val="002E6F7A"/>
    <w:rsid w:val="002E7147"/>
    <w:rsid w:val="002E7225"/>
    <w:rsid w:val="002E77B1"/>
    <w:rsid w:val="002E791B"/>
    <w:rsid w:val="002E7AD2"/>
    <w:rsid w:val="002E7D04"/>
    <w:rsid w:val="002E7D2B"/>
    <w:rsid w:val="002E7E94"/>
    <w:rsid w:val="002E7F9F"/>
    <w:rsid w:val="002F0143"/>
    <w:rsid w:val="002F02AF"/>
    <w:rsid w:val="002F0507"/>
    <w:rsid w:val="002F08CC"/>
    <w:rsid w:val="002F093C"/>
    <w:rsid w:val="002F09AA"/>
    <w:rsid w:val="002F0AB9"/>
    <w:rsid w:val="002F0AC5"/>
    <w:rsid w:val="002F0B66"/>
    <w:rsid w:val="002F0BA8"/>
    <w:rsid w:val="002F0CE5"/>
    <w:rsid w:val="002F0E2F"/>
    <w:rsid w:val="002F0E78"/>
    <w:rsid w:val="002F10E5"/>
    <w:rsid w:val="002F1386"/>
    <w:rsid w:val="002F1411"/>
    <w:rsid w:val="002F165A"/>
    <w:rsid w:val="002F1690"/>
    <w:rsid w:val="002F1797"/>
    <w:rsid w:val="002F1BAB"/>
    <w:rsid w:val="002F1E1C"/>
    <w:rsid w:val="002F1F75"/>
    <w:rsid w:val="002F2062"/>
    <w:rsid w:val="002F22CF"/>
    <w:rsid w:val="002F279B"/>
    <w:rsid w:val="002F27EC"/>
    <w:rsid w:val="002F2882"/>
    <w:rsid w:val="002F2AF5"/>
    <w:rsid w:val="002F3144"/>
    <w:rsid w:val="002F31B5"/>
    <w:rsid w:val="002F35EB"/>
    <w:rsid w:val="002F36B1"/>
    <w:rsid w:val="002F370B"/>
    <w:rsid w:val="002F3735"/>
    <w:rsid w:val="002F3978"/>
    <w:rsid w:val="002F39D5"/>
    <w:rsid w:val="002F3AF3"/>
    <w:rsid w:val="002F3B5E"/>
    <w:rsid w:val="002F40B4"/>
    <w:rsid w:val="002F40D7"/>
    <w:rsid w:val="002F41A1"/>
    <w:rsid w:val="002F435A"/>
    <w:rsid w:val="002F438B"/>
    <w:rsid w:val="002F489D"/>
    <w:rsid w:val="002F4993"/>
    <w:rsid w:val="002F4B0B"/>
    <w:rsid w:val="002F4B9B"/>
    <w:rsid w:val="002F4BD4"/>
    <w:rsid w:val="002F4EF7"/>
    <w:rsid w:val="002F504C"/>
    <w:rsid w:val="002F54A5"/>
    <w:rsid w:val="002F5628"/>
    <w:rsid w:val="002F58D5"/>
    <w:rsid w:val="002F58D8"/>
    <w:rsid w:val="002F5D6C"/>
    <w:rsid w:val="002F5DEA"/>
    <w:rsid w:val="002F5F61"/>
    <w:rsid w:val="002F61F4"/>
    <w:rsid w:val="002F625C"/>
    <w:rsid w:val="002F635C"/>
    <w:rsid w:val="002F6533"/>
    <w:rsid w:val="002F65B1"/>
    <w:rsid w:val="002F6CCA"/>
    <w:rsid w:val="002F7016"/>
    <w:rsid w:val="002F721F"/>
    <w:rsid w:val="002F729D"/>
    <w:rsid w:val="002F73EA"/>
    <w:rsid w:val="002F7569"/>
    <w:rsid w:val="002F77A6"/>
    <w:rsid w:val="002F7871"/>
    <w:rsid w:val="002F790F"/>
    <w:rsid w:val="002F796C"/>
    <w:rsid w:val="002F7D54"/>
    <w:rsid w:val="002F7EA8"/>
    <w:rsid w:val="00300031"/>
    <w:rsid w:val="003002D7"/>
    <w:rsid w:val="0030050D"/>
    <w:rsid w:val="0030058D"/>
    <w:rsid w:val="003005B9"/>
    <w:rsid w:val="00300938"/>
    <w:rsid w:val="00300AB5"/>
    <w:rsid w:val="00300DE7"/>
    <w:rsid w:val="003012F5"/>
    <w:rsid w:val="00301397"/>
    <w:rsid w:val="003014FA"/>
    <w:rsid w:val="00301B8C"/>
    <w:rsid w:val="003022E6"/>
    <w:rsid w:val="00302727"/>
    <w:rsid w:val="003027CD"/>
    <w:rsid w:val="00302AB2"/>
    <w:rsid w:val="00302BC5"/>
    <w:rsid w:val="00302C07"/>
    <w:rsid w:val="00302CD4"/>
    <w:rsid w:val="00302ED8"/>
    <w:rsid w:val="0030301C"/>
    <w:rsid w:val="00303152"/>
    <w:rsid w:val="00303252"/>
    <w:rsid w:val="00303260"/>
    <w:rsid w:val="00303517"/>
    <w:rsid w:val="00303628"/>
    <w:rsid w:val="0030395E"/>
    <w:rsid w:val="00303AA0"/>
    <w:rsid w:val="00303E52"/>
    <w:rsid w:val="00303EE1"/>
    <w:rsid w:val="00303FCB"/>
    <w:rsid w:val="00304134"/>
    <w:rsid w:val="0030473C"/>
    <w:rsid w:val="003048C0"/>
    <w:rsid w:val="003049DF"/>
    <w:rsid w:val="00304A35"/>
    <w:rsid w:val="00304FB5"/>
    <w:rsid w:val="00305038"/>
    <w:rsid w:val="0030518E"/>
    <w:rsid w:val="003055C0"/>
    <w:rsid w:val="00305893"/>
    <w:rsid w:val="003059EC"/>
    <w:rsid w:val="00305A31"/>
    <w:rsid w:val="00305B6F"/>
    <w:rsid w:val="00305BEC"/>
    <w:rsid w:val="003060EB"/>
    <w:rsid w:val="003061BF"/>
    <w:rsid w:val="00306241"/>
    <w:rsid w:val="00306554"/>
    <w:rsid w:val="003066DB"/>
    <w:rsid w:val="00306898"/>
    <w:rsid w:val="0030719C"/>
    <w:rsid w:val="0030733B"/>
    <w:rsid w:val="003074A9"/>
    <w:rsid w:val="003075BA"/>
    <w:rsid w:val="00307AFC"/>
    <w:rsid w:val="00307B3C"/>
    <w:rsid w:val="00307BE8"/>
    <w:rsid w:val="00307D4C"/>
    <w:rsid w:val="00307D82"/>
    <w:rsid w:val="00307DAE"/>
    <w:rsid w:val="003103AA"/>
    <w:rsid w:val="003106AF"/>
    <w:rsid w:val="003107E0"/>
    <w:rsid w:val="00310A39"/>
    <w:rsid w:val="00310A93"/>
    <w:rsid w:val="00310AFB"/>
    <w:rsid w:val="00310D3F"/>
    <w:rsid w:val="00311306"/>
    <w:rsid w:val="003115D5"/>
    <w:rsid w:val="003116C4"/>
    <w:rsid w:val="0031179D"/>
    <w:rsid w:val="003117F6"/>
    <w:rsid w:val="00311AED"/>
    <w:rsid w:val="00311BD6"/>
    <w:rsid w:val="00311C8D"/>
    <w:rsid w:val="00311CEC"/>
    <w:rsid w:val="00311F0C"/>
    <w:rsid w:val="00311F92"/>
    <w:rsid w:val="0031266C"/>
    <w:rsid w:val="0031299F"/>
    <w:rsid w:val="00312AA1"/>
    <w:rsid w:val="00312D9F"/>
    <w:rsid w:val="00312ED2"/>
    <w:rsid w:val="00312F39"/>
    <w:rsid w:val="003130B3"/>
    <w:rsid w:val="00313124"/>
    <w:rsid w:val="0031337B"/>
    <w:rsid w:val="003134BF"/>
    <w:rsid w:val="00313906"/>
    <w:rsid w:val="00313E17"/>
    <w:rsid w:val="003141D2"/>
    <w:rsid w:val="00314627"/>
    <w:rsid w:val="0031483E"/>
    <w:rsid w:val="00314936"/>
    <w:rsid w:val="00314CAB"/>
    <w:rsid w:val="00315121"/>
    <w:rsid w:val="003154B1"/>
    <w:rsid w:val="00315530"/>
    <w:rsid w:val="0031574E"/>
    <w:rsid w:val="00315889"/>
    <w:rsid w:val="003159B0"/>
    <w:rsid w:val="00315A27"/>
    <w:rsid w:val="00315A9F"/>
    <w:rsid w:val="00315C83"/>
    <w:rsid w:val="00315FA8"/>
    <w:rsid w:val="00316281"/>
    <w:rsid w:val="003163D7"/>
    <w:rsid w:val="00316508"/>
    <w:rsid w:val="003165E9"/>
    <w:rsid w:val="00316817"/>
    <w:rsid w:val="00316915"/>
    <w:rsid w:val="0031691D"/>
    <w:rsid w:val="00316E9D"/>
    <w:rsid w:val="0031701D"/>
    <w:rsid w:val="00317199"/>
    <w:rsid w:val="003171CF"/>
    <w:rsid w:val="003171E1"/>
    <w:rsid w:val="00317222"/>
    <w:rsid w:val="003174BA"/>
    <w:rsid w:val="003174D7"/>
    <w:rsid w:val="00317517"/>
    <w:rsid w:val="00317523"/>
    <w:rsid w:val="003175DD"/>
    <w:rsid w:val="0031787C"/>
    <w:rsid w:val="00317A35"/>
    <w:rsid w:val="00317C67"/>
    <w:rsid w:val="00317CB5"/>
    <w:rsid w:val="00317D10"/>
    <w:rsid w:val="00317D90"/>
    <w:rsid w:val="00317F58"/>
    <w:rsid w:val="0032019B"/>
    <w:rsid w:val="00320269"/>
    <w:rsid w:val="00320465"/>
    <w:rsid w:val="0032091E"/>
    <w:rsid w:val="00320CB1"/>
    <w:rsid w:val="00321125"/>
    <w:rsid w:val="003212C9"/>
    <w:rsid w:val="0032132E"/>
    <w:rsid w:val="003214AE"/>
    <w:rsid w:val="00321640"/>
    <w:rsid w:val="003219AD"/>
    <w:rsid w:val="003219E8"/>
    <w:rsid w:val="00321A3D"/>
    <w:rsid w:val="00321EB5"/>
    <w:rsid w:val="003221A0"/>
    <w:rsid w:val="00322360"/>
    <w:rsid w:val="0032238F"/>
    <w:rsid w:val="00322467"/>
    <w:rsid w:val="003226F8"/>
    <w:rsid w:val="00322D01"/>
    <w:rsid w:val="00322DDF"/>
    <w:rsid w:val="00322FD4"/>
    <w:rsid w:val="003230D0"/>
    <w:rsid w:val="003231E8"/>
    <w:rsid w:val="0032323F"/>
    <w:rsid w:val="0032329D"/>
    <w:rsid w:val="003235D3"/>
    <w:rsid w:val="00323702"/>
    <w:rsid w:val="00323770"/>
    <w:rsid w:val="0032377A"/>
    <w:rsid w:val="00323894"/>
    <w:rsid w:val="00323B82"/>
    <w:rsid w:val="00323C52"/>
    <w:rsid w:val="00323E5C"/>
    <w:rsid w:val="00323EE7"/>
    <w:rsid w:val="00324258"/>
    <w:rsid w:val="00324990"/>
    <w:rsid w:val="00324A4B"/>
    <w:rsid w:val="00324A9D"/>
    <w:rsid w:val="00325007"/>
    <w:rsid w:val="00325081"/>
    <w:rsid w:val="0032599F"/>
    <w:rsid w:val="00325B46"/>
    <w:rsid w:val="00326165"/>
    <w:rsid w:val="003265F1"/>
    <w:rsid w:val="00326631"/>
    <w:rsid w:val="0032699B"/>
    <w:rsid w:val="00326D1C"/>
    <w:rsid w:val="00326E5C"/>
    <w:rsid w:val="00326EFF"/>
    <w:rsid w:val="00326F43"/>
    <w:rsid w:val="003271E3"/>
    <w:rsid w:val="0032736D"/>
    <w:rsid w:val="00327655"/>
    <w:rsid w:val="00327729"/>
    <w:rsid w:val="0032793D"/>
    <w:rsid w:val="00327AE6"/>
    <w:rsid w:val="0033001D"/>
    <w:rsid w:val="003301EF"/>
    <w:rsid w:val="00330750"/>
    <w:rsid w:val="003307E6"/>
    <w:rsid w:val="00330854"/>
    <w:rsid w:val="00330A2F"/>
    <w:rsid w:val="00330D86"/>
    <w:rsid w:val="00330E41"/>
    <w:rsid w:val="003314D8"/>
    <w:rsid w:val="003317A0"/>
    <w:rsid w:val="00331984"/>
    <w:rsid w:val="00331B2B"/>
    <w:rsid w:val="00332515"/>
    <w:rsid w:val="0033259C"/>
    <w:rsid w:val="0033264C"/>
    <w:rsid w:val="00332650"/>
    <w:rsid w:val="00332B31"/>
    <w:rsid w:val="00332BD1"/>
    <w:rsid w:val="00332DC2"/>
    <w:rsid w:val="00332E53"/>
    <w:rsid w:val="00333101"/>
    <w:rsid w:val="00333367"/>
    <w:rsid w:val="003333B4"/>
    <w:rsid w:val="003333BF"/>
    <w:rsid w:val="003333F0"/>
    <w:rsid w:val="0033352C"/>
    <w:rsid w:val="003337AE"/>
    <w:rsid w:val="003339DD"/>
    <w:rsid w:val="00333C6C"/>
    <w:rsid w:val="00333D02"/>
    <w:rsid w:val="003344CB"/>
    <w:rsid w:val="003345D6"/>
    <w:rsid w:val="0033466E"/>
    <w:rsid w:val="0033467B"/>
    <w:rsid w:val="00334741"/>
    <w:rsid w:val="00334811"/>
    <w:rsid w:val="00334B90"/>
    <w:rsid w:val="00334BDA"/>
    <w:rsid w:val="00334C30"/>
    <w:rsid w:val="00334D76"/>
    <w:rsid w:val="00334D91"/>
    <w:rsid w:val="0033517D"/>
    <w:rsid w:val="0033526A"/>
    <w:rsid w:val="003352A2"/>
    <w:rsid w:val="003354AC"/>
    <w:rsid w:val="003354DF"/>
    <w:rsid w:val="00335785"/>
    <w:rsid w:val="00335B83"/>
    <w:rsid w:val="00335EEF"/>
    <w:rsid w:val="00335F3E"/>
    <w:rsid w:val="003360EA"/>
    <w:rsid w:val="00336176"/>
    <w:rsid w:val="0033618E"/>
    <w:rsid w:val="00336264"/>
    <w:rsid w:val="0033648C"/>
    <w:rsid w:val="003365A2"/>
    <w:rsid w:val="0033664C"/>
    <w:rsid w:val="00336734"/>
    <w:rsid w:val="00336767"/>
    <w:rsid w:val="00336A4D"/>
    <w:rsid w:val="003370A4"/>
    <w:rsid w:val="003373B1"/>
    <w:rsid w:val="00337717"/>
    <w:rsid w:val="003378D9"/>
    <w:rsid w:val="00337CB7"/>
    <w:rsid w:val="00337DE0"/>
    <w:rsid w:val="00337E43"/>
    <w:rsid w:val="00337F14"/>
    <w:rsid w:val="00340266"/>
    <w:rsid w:val="00340D5D"/>
    <w:rsid w:val="00341136"/>
    <w:rsid w:val="00341299"/>
    <w:rsid w:val="00341676"/>
    <w:rsid w:val="0034184E"/>
    <w:rsid w:val="003418AB"/>
    <w:rsid w:val="00341D38"/>
    <w:rsid w:val="00341DE7"/>
    <w:rsid w:val="00341DEA"/>
    <w:rsid w:val="00341FA4"/>
    <w:rsid w:val="00342004"/>
    <w:rsid w:val="00342055"/>
    <w:rsid w:val="003426ED"/>
    <w:rsid w:val="00342A0C"/>
    <w:rsid w:val="00342A12"/>
    <w:rsid w:val="00342A98"/>
    <w:rsid w:val="00343004"/>
    <w:rsid w:val="00343216"/>
    <w:rsid w:val="003432B0"/>
    <w:rsid w:val="003433BB"/>
    <w:rsid w:val="0034348B"/>
    <w:rsid w:val="003436F1"/>
    <w:rsid w:val="00343AC0"/>
    <w:rsid w:val="00343BB0"/>
    <w:rsid w:val="00343D54"/>
    <w:rsid w:val="003440F1"/>
    <w:rsid w:val="00344B0D"/>
    <w:rsid w:val="00344B54"/>
    <w:rsid w:val="00344B57"/>
    <w:rsid w:val="00344B82"/>
    <w:rsid w:val="00344D56"/>
    <w:rsid w:val="00344E94"/>
    <w:rsid w:val="003452DD"/>
    <w:rsid w:val="00345A69"/>
    <w:rsid w:val="00345E49"/>
    <w:rsid w:val="00345EC7"/>
    <w:rsid w:val="003460AC"/>
    <w:rsid w:val="0034618C"/>
    <w:rsid w:val="00346678"/>
    <w:rsid w:val="0034685F"/>
    <w:rsid w:val="00346C55"/>
    <w:rsid w:val="00346CDA"/>
    <w:rsid w:val="00347294"/>
    <w:rsid w:val="003475CF"/>
    <w:rsid w:val="00347708"/>
    <w:rsid w:val="003478D4"/>
    <w:rsid w:val="00347B7C"/>
    <w:rsid w:val="00347ED2"/>
    <w:rsid w:val="0035024F"/>
    <w:rsid w:val="0035031C"/>
    <w:rsid w:val="00350E0D"/>
    <w:rsid w:val="00350F03"/>
    <w:rsid w:val="00351107"/>
    <w:rsid w:val="003512EE"/>
    <w:rsid w:val="003519A7"/>
    <w:rsid w:val="00351CA8"/>
    <w:rsid w:val="00351EEA"/>
    <w:rsid w:val="00351F05"/>
    <w:rsid w:val="003522DD"/>
    <w:rsid w:val="003524E5"/>
    <w:rsid w:val="00352837"/>
    <w:rsid w:val="003529B5"/>
    <w:rsid w:val="00352C2D"/>
    <w:rsid w:val="00352DBD"/>
    <w:rsid w:val="00352E8A"/>
    <w:rsid w:val="00352EAB"/>
    <w:rsid w:val="00352EDF"/>
    <w:rsid w:val="00352FA7"/>
    <w:rsid w:val="00353023"/>
    <w:rsid w:val="003530E7"/>
    <w:rsid w:val="0035315D"/>
    <w:rsid w:val="00353165"/>
    <w:rsid w:val="003531B8"/>
    <w:rsid w:val="003531B9"/>
    <w:rsid w:val="00353541"/>
    <w:rsid w:val="00353548"/>
    <w:rsid w:val="00353663"/>
    <w:rsid w:val="0035370F"/>
    <w:rsid w:val="003539F8"/>
    <w:rsid w:val="00353BBA"/>
    <w:rsid w:val="00353BE7"/>
    <w:rsid w:val="00353D6B"/>
    <w:rsid w:val="0035400B"/>
    <w:rsid w:val="0035402A"/>
    <w:rsid w:val="003540CD"/>
    <w:rsid w:val="003540CE"/>
    <w:rsid w:val="0035410B"/>
    <w:rsid w:val="00354290"/>
    <w:rsid w:val="0035451F"/>
    <w:rsid w:val="003547DA"/>
    <w:rsid w:val="00354846"/>
    <w:rsid w:val="00354ADE"/>
    <w:rsid w:val="00354BA8"/>
    <w:rsid w:val="00354E18"/>
    <w:rsid w:val="00354F2D"/>
    <w:rsid w:val="00354FAD"/>
    <w:rsid w:val="00355279"/>
    <w:rsid w:val="00355355"/>
    <w:rsid w:val="003553AA"/>
    <w:rsid w:val="00355464"/>
    <w:rsid w:val="00355795"/>
    <w:rsid w:val="003558ED"/>
    <w:rsid w:val="00355900"/>
    <w:rsid w:val="00355BB3"/>
    <w:rsid w:val="00355C9F"/>
    <w:rsid w:val="00355D17"/>
    <w:rsid w:val="0035612B"/>
    <w:rsid w:val="0035613D"/>
    <w:rsid w:val="00356294"/>
    <w:rsid w:val="003562FE"/>
    <w:rsid w:val="003567FC"/>
    <w:rsid w:val="00356AFA"/>
    <w:rsid w:val="00356D13"/>
    <w:rsid w:val="00356D3A"/>
    <w:rsid w:val="00356D45"/>
    <w:rsid w:val="00356EC5"/>
    <w:rsid w:val="00356FAB"/>
    <w:rsid w:val="0035708E"/>
    <w:rsid w:val="0035774B"/>
    <w:rsid w:val="00357896"/>
    <w:rsid w:val="00357994"/>
    <w:rsid w:val="00357A06"/>
    <w:rsid w:val="00357A33"/>
    <w:rsid w:val="00357AFC"/>
    <w:rsid w:val="00357B6D"/>
    <w:rsid w:val="00357CE1"/>
    <w:rsid w:val="00360030"/>
    <w:rsid w:val="0036049E"/>
    <w:rsid w:val="0036055C"/>
    <w:rsid w:val="00360763"/>
    <w:rsid w:val="0036086C"/>
    <w:rsid w:val="00360B7F"/>
    <w:rsid w:val="00361341"/>
    <w:rsid w:val="00361423"/>
    <w:rsid w:val="0036169D"/>
    <w:rsid w:val="00361BE7"/>
    <w:rsid w:val="00361DEE"/>
    <w:rsid w:val="00362117"/>
    <w:rsid w:val="0036235A"/>
    <w:rsid w:val="003625AD"/>
    <w:rsid w:val="003627F7"/>
    <w:rsid w:val="003628E7"/>
    <w:rsid w:val="003628F5"/>
    <w:rsid w:val="0036290E"/>
    <w:rsid w:val="00362948"/>
    <w:rsid w:val="003629A6"/>
    <w:rsid w:val="003629D0"/>
    <w:rsid w:val="003629FC"/>
    <w:rsid w:val="00362BFB"/>
    <w:rsid w:val="00362DFF"/>
    <w:rsid w:val="00362F75"/>
    <w:rsid w:val="00362F78"/>
    <w:rsid w:val="0036305F"/>
    <w:rsid w:val="00363312"/>
    <w:rsid w:val="00363377"/>
    <w:rsid w:val="00363410"/>
    <w:rsid w:val="00363A92"/>
    <w:rsid w:val="00363E9D"/>
    <w:rsid w:val="00363F8A"/>
    <w:rsid w:val="003640EB"/>
    <w:rsid w:val="00364295"/>
    <w:rsid w:val="00364442"/>
    <w:rsid w:val="003645F8"/>
    <w:rsid w:val="00364683"/>
    <w:rsid w:val="00364752"/>
    <w:rsid w:val="00364833"/>
    <w:rsid w:val="003649E1"/>
    <w:rsid w:val="00364C9D"/>
    <w:rsid w:val="00364CBD"/>
    <w:rsid w:val="00364EB1"/>
    <w:rsid w:val="00364EFD"/>
    <w:rsid w:val="00364FC0"/>
    <w:rsid w:val="00365475"/>
    <w:rsid w:val="0036579B"/>
    <w:rsid w:val="00365917"/>
    <w:rsid w:val="0036597D"/>
    <w:rsid w:val="00365ABA"/>
    <w:rsid w:val="00365B0E"/>
    <w:rsid w:val="00365BC6"/>
    <w:rsid w:val="00365F33"/>
    <w:rsid w:val="00365FC4"/>
    <w:rsid w:val="00365FEC"/>
    <w:rsid w:val="003660B2"/>
    <w:rsid w:val="0036614A"/>
    <w:rsid w:val="00366727"/>
    <w:rsid w:val="00366780"/>
    <w:rsid w:val="00366830"/>
    <w:rsid w:val="00366843"/>
    <w:rsid w:val="003669C8"/>
    <w:rsid w:val="00366A98"/>
    <w:rsid w:val="00366B54"/>
    <w:rsid w:val="00366CA0"/>
    <w:rsid w:val="00366D3F"/>
    <w:rsid w:val="003673A4"/>
    <w:rsid w:val="003673C6"/>
    <w:rsid w:val="00367648"/>
    <w:rsid w:val="00367976"/>
    <w:rsid w:val="00367CF6"/>
    <w:rsid w:val="00370182"/>
    <w:rsid w:val="00370203"/>
    <w:rsid w:val="003704BC"/>
    <w:rsid w:val="003704ED"/>
    <w:rsid w:val="003704FB"/>
    <w:rsid w:val="003705D8"/>
    <w:rsid w:val="00370761"/>
    <w:rsid w:val="00370F80"/>
    <w:rsid w:val="003710D5"/>
    <w:rsid w:val="0037134A"/>
    <w:rsid w:val="0037135B"/>
    <w:rsid w:val="003713FB"/>
    <w:rsid w:val="003716AA"/>
    <w:rsid w:val="003716D4"/>
    <w:rsid w:val="00371FCD"/>
    <w:rsid w:val="0037234B"/>
    <w:rsid w:val="0037258E"/>
    <w:rsid w:val="003728A5"/>
    <w:rsid w:val="0037293C"/>
    <w:rsid w:val="00372AFC"/>
    <w:rsid w:val="00372BA1"/>
    <w:rsid w:val="003730F4"/>
    <w:rsid w:val="0037318C"/>
    <w:rsid w:val="00373202"/>
    <w:rsid w:val="0037327C"/>
    <w:rsid w:val="00373294"/>
    <w:rsid w:val="003733D8"/>
    <w:rsid w:val="003734A4"/>
    <w:rsid w:val="00373530"/>
    <w:rsid w:val="00373BAB"/>
    <w:rsid w:val="00373C0B"/>
    <w:rsid w:val="00373D41"/>
    <w:rsid w:val="00374003"/>
    <w:rsid w:val="0037402D"/>
    <w:rsid w:val="003741A5"/>
    <w:rsid w:val="00374354"/>
    <w:rsid w:val="003744C9"/>
    <w:rsid w:val="003744EF"/>
    <w:rsid w:val="00374639"/>
    <w:rsid w:val="003746DC"/>
    <w:rsid w:val="0037471C"/>
    <w:rsid w:val="0037473F"/>
    <w:rsid w:val="0037479C"/>
    <w:rsid w:val="00374841"/>
    <w:rsid w:val="0037491E"/>
    <w:rsid w:val="0037497F"/>
    <w:rsid w:val="00374CDF"/>
    <w:rsid w:val="00374E93"/>
    <w:rsid w:val="003754A7"/>
    <w:rsid w:val="00375812"/>
    <w:rsid w:val="00375899"/>
    <w:rsid w:val="00375985"/>
    <w:rsid w:val="00375A8A"/>
    <w:rsid w:val="00375CBF"/>
    <w:rsid w:val="00375E0B"/>
    <w:rsid w:val="00375EED"/>
    <w:rsid w:val="00375EFC"/>
    <w:rsid w:val="00376056"/>
    <w:rsid w:val="003760EC"/>
    <w:rsid w:val="003763B6"/>
    <w:rsid w:val="003765B4"/>
    <w:rsid w:val="0037684E"/>
    <w:rsid w:val="00376995"/>
    <w:rsid w:val="00376A6F"/>
    <w:rsid w:val="00376F03"/>
    <w:rsid w:val="00376FBE"/>
    <w:rsid w:val="00377000"/>
    <w:rsid w:val="003771C3"/>
    <w:rsid w:val="0037725B"/>
    <w:rsid w:val="0037761C"/>
    <w:rsid w:val="00377701"/>
    <w:rsid w:val="003777BC"/>
    <w:rsid w:val="00377835"/>
    <w:rsid w:val="00377849"/>
    <w:rsid w:val="0037794F"/>
    <w:rsid w:val="00377C2B"/>
    <w:rsid w:val="00377C90"/>
    <w:rsid w:val="00377F2B"/>
    <w:rsid w:val="00380EA6"/>
    <w:rsid w:val="00381074"/>
    <w:rsid w:val="003810F0"/>
    <w:rsid w:val="00381295"/>
    <w:rsid w:val="00381390"/>
    <w:rsid w:val="0038178B"/>
    <w:rsid w:val="00381BBE"/>
    <w:rsid w:val="00381C93"/>
    <w:rsid w:val="0038242E"/>
    <w:rsid w:val="003827D5"/>
    <w:rsid w:val="00382909"/>
    <w:rsid w:val="00382BCD"/>
    <w:rsid w:val="00382CCE"/>
    <w:rsid w:val="00382DAA"/>
    <w:rsid w:val="003831A2"/>
    <w:rsid w:val="003832ED"/>
    <w:rsid w:val="0038371F"/>
    <w:rsid w:val="003837CC"/>
    <w:rsid w:val="00383836"/>
    <w:rsid w:val="00383A7C"/>
    <w:rsid w:val="00383A88"/>
    <w:rsid w:val="00383C1E"/>
    <w:rsid w:val="00383D44"/>
    <w:rsid w:val="00383D7B"/>
    <w:rsid w:val="00384383"/>
    <w:rsid w:val="0038480F"/>
    <w:rsid w:val="003848B4"/>
    <w:rsid w:val="00384EBC"/>
    <w:rsid w:val="00384F2C"/>
    <w:rsid w:val="003851A3"/>
    <w:rsid w:val="003851DE"/>
    <w:rsid w:val="003857B2"/>
    <w:rsid w:val="0038583B"/>
    <w:rsid w:val="003858A8"/>
    <w:rsid w:val="003858EE"/>
    <w:rsid w:val="003859F5"/>
    <w:rsid w:val="00385C28"/>
    <w:rsid w:val="0038617F"/>
    <w:rsid w:val="00386198"/>
    <w:rsid w:val="0038624A"/>
    <w:rsid w:val="003862BE"/>
    <w:rsid w:val="0038631A"/>
    <w:rsid w:val="00386603"/>
    <w:rsid w:val="00386619"/>
    <w:rsid w:val="00386643"/>
    <w:rsid w:val="003866BD"/>
    <w:rsid w:val="00386821"/>
    <w:rsid w:val="003868CA"/>
    <w:rsid w:val="00386C6A"/>
    <w:rsid w:val="0038700B"/>
    <w:rsid w:val="00387307"/>
    <w:rsid w:val="003874E5"/>
    <w:rsid w:val="003876F6"/>
    <w:rsid w:val="0038786E"/>
    <w:rsid w:val="00387A85"/>
    <w:rsid w:val="00387C14"/>
    <w:rsid w:val="00387E83"/>
    <w:rsid w:val="0039001A"/>
    <w:rsid w:val="00390359"/>
    <w:rsid w:val="003904B9"/>
    <w:rsid w:val="00390703"/>
    <w:rsid w:val="003907EF"/>
    <w:rsid w:val="00390A0C"/>
    <w:rsid w:val="00390ADC"/>
    <w:rsid w:val="00390B29"/>
    <w:rsid w:val="00390E5A"/>
    <w:rsid w:val="00390F9C"/>
    <w:rsid w:val="003912DD"/>
    <w:rsid w:val="00391577"/>
    <w:rsid w:val="003919B2"/>
    <w:rsid w:val="00391B33"/>
    <w:rsid w:val="00391C8B"/>
    <w:rsid w:val="00391E31"/>
    <w:rsid w:val="00391E39"/>
    <w:rsid w:val="00391F44"/>
    <w:rsid w:val="003922A4"/>
    <w:rsid w:val="003922E8"/>
    <w:rsid w:val="00392301"/>
    <w:rsid w:val="003924FF"/>
    <w:rsid w:val="0039251F"/>
    <w:rsid w:val="003925F5"/>
    <w:rsid w:val="003926C6"/>
    <w:rsid w:val="00392848"/>
    <w:rsid w:val="00392AB9"/>
    <w:rsid w:val="00392BE6"/>
    <w:rsid w:val="00392C04"/>
    <w:rsid w:val="00392C2A"/>
    <w:rsid w:val="0039300C"/>
    <w:rsid w:val="00393110"/>
    <w:rsid w:val="0039311E"/>
    <w:rsid w:val="003935CB"/>
    <w:rsid w:val="0039366C"/>
    <w:rsid w:val="00393B2D"/>
    <w:rsid w:val="00393C39"/>
    <w:rsid w:val="00393D0A"/>
    <w:rsid w:val="00393FA4"/>
    <w:rsid w:val="003940D5"/>
    <w:rsid w:val="00394187"/>
    <w:rsid w:val="003942C0"/>
    <w:rsid w:val="003943C7"/>
    <w:rsid w:val="00394CA7"/>
    <w:rsid w:val="00394F20"/>
    <w:rsid w:val="003951C1"/>
    <w:rsid w:val="00395321"/>
    <w:rsid w:val="00395388"/>
    <w:rsid w:val="003954EC"/>
    <w:rsid w:val="0039564A"/>
    <w:rsid w:val="00395A86"/>
    <w:rsid w:val="00395BC2"/>
    <w:rsid w:val="00395CFE"/>
    <w:rsid w:val="00395F26"/>
    <w:rsid w:val="00395FB8"/>
    <w:rsid w:val="0039608D"/>
    <w:rsid w:val="003960C5"/>
    <w:rsid w:val="003964BF"/>
    <w:rsid w:val="00396554"/>
    <w:rsid w:val="00396593"/>
    <w:rsid w:val="003966CB"/>
    <w:rsid w:val="00396AE0"/>
    <w:rsid w:val="00396DA8"/>
    <w:rsid w:val="00396EE6"/>
    <w:rsid w:val="003970B0"/>
    <w:rsid w:val="003973A5"/>
    <w:rsid w:val="00397835"/>
    <w:rsid w:val="00397B6E"/>
    <w:rsid w:val="00397CE9"/>
    <w:rsid w:val="00397E94"/>
    <w:rsid w:val="003A0140"/>
    <w:rsid w:val="003A0686"/>
    <w:rsid w:val="003A081C"/>
    <w:rsid w:val="003A130A"/>
    <w:rsid w:val="003A16CE"/>
    <w:rsid w:val="003A16E1"/>
    <w:rsid w:val="003A1754"/>
    <w:rsid w:val="003A18F2"/>
    <w:rsid w:val="003A1B44"/>
    <w:rsid w:val="003A1BD5"/>
    <w:rsid w:val="003A1C78"/>
    <w:rsid w:val="003A1F5F"/>
    <w:rsid w:val="003A21BB"/>
    <w:rsid w:val="003A2418"/>
    <w:rsid w:val="003A24C0"/>
    <w:rsid w:val="003A2672"/>
    <w:rsid w:val="003A2748"/>
    <w:rsid w:val="003A27C7"/>
    <w:rsid w:val="003A2841"/>
    <w:rsid w:val="003A2A23"/>
    <w:rsid w:val="003A2AAA"/>
    <w:rsid w:val="003A2C92"/>
    <w:rsid w:val="003A2FAD"/>
    <w:rsid w:val="003A30F3"/>
    <w:rsid w:val="003A32E6"/>
    <w:rsid w:val="003A330A"/>
    <w:rsid w:val="003A33E2"/>
    <w:rsid w:val="003A36F3"/>
    <w:rsid w:val="003A3777"/>
    <w:rsid w:val="003A3905"/>
    <w:rsid w:val="003A3930"/>
    <w:rsid w:val="003A39FD"/>
    <w:rsid w:val="003A3A8B"/>
    <w:rsid w:val="003A3CA1"/>
    <w:rsid w:val="003A3CEB"/>
    <w:rsid w:val="003A3D52"/>
    <w:rsid w:val="003A3E85"/>
    <w:rsid w:val="003A3EFF"/>
    <w:rsid w:val="003A3F9D"/>
    <w:rsid w:val="003A4653"/>
    <w:rsid w:val="003A472A"/>
    <w:rsid w:val="003A4DBE"/>
    <w:rsid w:val="003A4E91"/>
    <w:rsid w:val="003A4EA2"/>
    <w:rsid w:val="003A4FB2"/>
    <w:rsid w:val="003A50B2"/>
    <w:rsid w:val="003A533C"/>
    <w:rsid w:val="003A5511"/>
    <w:rsid w:val="003A56E8"/>
    <w:rsid w:val="003A56E9"/>
    <w:rsid w:val="003A57C6"/>
    <w:rsid w:val="003A5D3B"/>
    <w:rsid w:val="003A5D81"/>
    <w:rsid w:val="003A5E2F"/>
    <w:rsid w:val="003A5E75"/>
    <w:rsid w:val="003A6328"/>
    <w:rsid w:val="003A633F"/>
    <w:rsid w:val="003A651C"/>
    <w:rsid w:val="003A6678"/>
    <w:rsid w:val="003A69C0"/>
    <w:rsid w:val="003A6B13"/>
    <w:rsid w:val="003A6C88"/>
    <w:rsid w:val="003A6D50"/>
    <w:rsid w:val="003A6EAD"/>
    <w:rsid w:val="003A6F2C"/>
    <w:rsid w:val="003A6FD0"/>
    <w:rsid w:val="003A7093"/>
    <w:rsid w:val="003A74CB"/>
    <w:rsid w:val="003A751C"/>
    <w:rsid w:val="003A75ED"/>
    <w:rsid w:val="003A77E2"/>
    <w:rsid w:val="003A79FA"/>
    <w:rsid w:val="003A79FB"/>
    <w:rsid w:val="003A7D17"/>
    <w:rsid w:val="003A7D39"/>
    <w:rsid w:val="003B0143"/>
    <w:rsid w:val="003B046A"/>
    <w:rsid w:val="003B049C"/>
    <w:rsid w:val="003B070E"/>
    <w:rsid w:val="003B0A84"/>
    <w:rsid w:val="003B0CDA"/>
    <w:rsid w:val="003B0DD2"/>
    <w:rsid w:val="003B0DF8"/>
    <w:rsid w:val="003B0F66"/>
    <w:rsid w:val="003B1273"/>
    <w:rsid w:val="003B1284"/>
    <w:rsid w:val="003B152F"/>
    <w:rsid w:val="003B157F"/>
    <w:rsid w:val="003B15A4"/>
    <w:rsid w:val="003B1624"/>
    <w:rsid w:val="003B1A9D"/>
    <w:rsid w:val="003B1ADA"/>
    <w:rsid w:val="003B1D2C"/>
    <w:rsid w:val="003B1ECD"/>
    <w:rsid w:val="003B1F85"/>
    <w:rsid w:val="003B1FED"/>
    <w:rsid w:val="003B21CC"/>
    <w:rsid w:val="003B22A4"/>
    <w:rsid w:val="003B23C6"/>
    <w:rsid w:val="003B2788"/>
    <w:rsid w:val="003B2BC6"/>
    <w:rsid w:val="003B2CBE"/>
    <w:rsid w:val="003B2D07"/>
    <w:rsid w:val="003B2DE1"/>
    <w:rsid w:val="003B2DF4"/>
    <w:rsid w:val="003B32E6"/>
    <w:rsid w:val="003B3712"/>
    <w:rsid w:val="003B3807"/>
    <w:rsid w:val="003B3963"/>
    <w:rsid w:val="003B3B25"/>
    <w:rsid w:val="003B3C66"/>
    <w:rsid w:val="003B3CC9"/>
    <w:rsid w:val="003B3CD5"/>
    <w:rsid w:val="003B4201"/>
    <w:rsid w:val="003B4347"/>
    <w:rsid w:val="003B43F7"/>
    <w:rsid w:val="003B44F0"/>
    <w:rsid w:val="003B4590"/>
    <w:rsid w:val="003B4A4C"/>
    <w:rsid w:val="003B4AE6"/>
    <w:rsid w:val="003B4B1D"/>
    <w:rsid w:val="003B4B24"/>
    <w:rsid w:val="003B4BBD"/>
    <w:rsid w:val="003B4BC5"/>
    <w:rsid w:val="003B4CC8"/>
    <w:rsid w:val="003B4E27"/>
    <w:rsid w:val="003B4EF6"/>
    <w:rsid w:val="003B514D"/>
    <w:rsid w:val="003B549B"/>
    <w:rsid w:val="003B54F5"/>
    <w:rsid w:val="003B5717"/>
    <w:rsid w:val="003B5AAF"/>
    <w:rsid w:val="003B5C48"/>
    <w:rsid w:val="003B5CCE"/>
    <w:rsid w:val="003B5E22"/>
    <w:rsid w:val="003B620A"/>
    <w:rsid w:val="003B6489"/>
    <w:rsid w:val="003B6629"/>
    <w:rsid w:val="003B6738"/>
    <w:rsid w:val="003B6964"/>
    <w:rsid w:val="003B6C1F"/>
    <w:rsid w:val="003B6C58"/>
    <w:rsid w:val="003B6D76"/>
    <w:rsid w:val="003B6E51"/>
    <w:rsid w:val="003B6E77"/>
    <w:rsid w:val="003B6E98"/>
    <w:rsid w:val="003B6F4B"/>
    <w:rsid w:val="003B721B"/>
    <w:rsid w:val="003B72A1"/>
    <w:rsid w:val="003B7388"/>
    <w:rsid w:val="003B7607"/>
    <w:rsid w:val="003B7675"/>
    <w:rsid w:val="003B76B9"/>
    <w:rsid w:val="003B76C9"/>
    <w:rsid w:val="003B79D6"/>
    <w:rsid w:val="003B7B57"/>
    <w:rsid w:val="003B7B5B"/>
    <w:rsid w:val="003B7BD8"/>
    <w:rsid w:val="003B7BDF"/>
    <w:rsid w:val="003B7C19"/>
    <w:rsid w:val="003B7D08"/>
    <w:rsid w:val="003B7FC4"/>
    <w:rsid w:val="003C014A"/>
    <w:rsid w:val="003C048F"/>
    <w:rsid w:val="003C04AC"/>
    <w:rsid w:val="003C0575"/>
    <w:rsid w:val="003C0630"/>
    <w:rsid w:val="003C08E9"/>
    <w:rsid w:val="003C0950"/>
    <w:rsid w:val="003C09C5"/>
    <w:rsid w:val="003C09F7"/>
    <w:rsid w:val="003C0A22"/>
    <w:rsid w:val="003C0A73"/>
    <w:rsid w:val="003C0B03"/>
    <w:rsid w:val="003C0CD3"/>
    <w:rsid w:val="003C0F7E"/>
    <w:rsid w:val="003C0FBF"/>
    <w:rsid w:val="003C135A"/>
    <w:rsid w:val="003C143F"/>
    <w:rsid w:val="003C1593"/>
    <w:rsid w:val="003C1B47"/>
    <w:rsid w:val="003C1D5C"/>
    <w:rsid w:val="003C1F05"/>
    <w:rsid w:val="003C20CA"/>
    <w:rsid w:val="003C21EB"/>
    <w:rsid w:val="003C252F"/>
    <w:rsid w:val="003C2577"/>
    <w:rsid w:val="003C26AE"/>
    <w:rsid w:val="003C27AF"/>
    <w:rsid w:val="003C2B03"/>
    <w:rsid w:val="003C2C6F"/>
    <w:rsid w:val="003C2C9A"/>
    <w:rsid w:val="003C2D09"/>
    <w:rsid w:val="003C2D71"/>
    <w:rsid w:val="003C2D7D"/>
    <w:rsid w:val="003C2E79"/>
    <w:rsid w:val="003C32A2"/>
    <w:rsid w:val="003C358E"/>
    <w:rsid w:val="003C3682"/>
    <w:rsid w:val="003C3829"/>
    <w:rsid w:val="003C39F4"/>
    <w:rsid w:val="003C407A"/>
    <w:rsid w:val="003C408E"/>
    <w:rsid w:val="003C43BA"/>
    <w:rsid w:val="003C43BF"/>
    <w:rsid w:val="003C45B7"/>
    <w:rsid w:val="003C472A"/>
    <w:rsid w:val="003C49C9"/>
    <w:rsid w:val="003C4BD1"/>
    <w:rsid w:val="003C4C46"/>
    <w:rsid w:val="003C4C77"/>
    <w:rsid w:val="003C4D7F"/>
    <w:rsid w:val="003C51B2"/>
    <w:rsid w:val="003C524C"/>
    <w:rsid w:val="003C531C"/>
    <w:rsid w:val="003C5637"/>
    <w:rsid w:val="003C56CB"/>
    <w:rsid w:val="003C56F6"/>
    <w:rsid w:val="003C5AB9"/>
    <w:rsid w:val="003C5B8B"/>
    <w:rsid w:val="003C5B91"/>
    <w:rsid w:val="003C5CF8"/>
    <w:rsid w:val="003C623D"/>
    <w:rsid w:val="003C642F"/>
    <w:rsid w:val="003C64CB"/>
    <w:rsid w:val="003C6861"/>
    <w:rsid w:val="003C6A32"/>
    <w:rsid w:val="003C75B5"/>
    <w:rsid w:val="003C7881"/>
    <w:rsid w:val="003C7A36"/>
    <w:rsid w:val="003C7AEE"/>
    <w:rsid w:val="003C7B98"/>
    <w:rsid w:val="003C7C5A"/>
    <w:rsid w:val="003C7CA6"/>
    <w:rsid w:val="003C7DF9"/>
    <w:rsid w:val="003C7F4C"/>
    <w:rsid w:val="003D015E"/>
    <w:rsid w:val="003D030D"/>
    <w:rsid w:val="003D031F"/>
    <w:rsid w:val="003D0339"/>
    <w:rsid w:val="003D04CD"/>
    <w:rsid w:val="003D06DF"/>
    <w:rsid w:val="003D0792"/>
    <w:rsid w:val="003D07C2"/>
    <w:rsid w:val="003D080D"/>
    <w:rsid w:val="003D099F"/>
    <w:rsid w:val="003D0AC5"/>
    <w:rsid w:val="003D0AED"/>
    <w:rsid w:val="003D0FA3"/>
    <w:rsid w:val="003D128C"/>
    <w:rsid w:val="003D186F"/>
    <w:rsid w:val="003D1991"/>
    <w:rsid w:val="003D1CBD"/>
    <w:rsid w:val="003D1E83"/>
    <w:rsid w:val="003D1F36"/>
    <w:rsid w:val="003D1FB3"/>
    <w:rsid w:val="003D20C0"/>
    <w:rsid w:val="003D21CA"/>
    <w:rsid w:val="003D255C"/>
    <w:rsid w:val="003D2760"/>
    <w:rsid w:val="003D2CEF"/>
    <w:rsid w:val="003D30D3"/>
    <w:rsid w:val="003D3275"/>
    <w:rsid w:val="003D3280"/>
    <w:rsid w:val="003D32A1"/>
    <w:rsid w:val="003D342C"/>
    <w:rsid w:val="003D35F5"/>
    <w:rsid w:val="003D3CAE"/>
    <w:rsid w:val="003D3D6A"/>
    <w:rsid w:val="003D3D71"/>
    <w:rsid w:val="003D3D8F"/>
    <w:rsid w:val="003D3DE3"/>
    <w:rsid w:val="003D3F84"/>
    <w:rsid w:val="003D4230"/>
    <w:rsid w:val="003D42BD"/>
    <w:rsid w:val="003D4573"/>
    <w:rsid w:val="003D4604"/>
    <w:rsid w:val="003D4890"/>
    <w:rsid w:val="003D4913"/>
    <w:rsid w:val="003D4974"/>
    <w:rsid w:val="003D4C6D"/>
    <w:rsid w:val="003D4FA0"/>
    <w:rsid w:val="003D51D2"/>
    <w:rsid w:val="003D5795"/>
    <w:rsid w:val="003D591A"/>
    <w:rsid w:val="003D59AD"/>
    <w:rsid w:val="003D5CBA"/>
    <w:rsid w:val="003D5D8D"/>
    <w:rsid w:val="003D5E7E"/>
    <w:rsid w:val="003D5EE1"/>
    <w:rsid w:val="003D5F14"/>
    <w:rsid w:val="003D615F"/>
    <w:rsid w:val="003D6468"/>
    <w:rsid w:val="003D6510"/>
    <w:rsid w:val="003D6670"/>
    <w:rsid w:val="003D66B3"/>
    <w:rsid w:val="003D6949"/>
    <w:rsid w:val="003D6A0E"/>
    <w:rsid w:val="003D6CB9"/>
    <w:rsid w:val="003D6E24"/>
    <w:rsid w:val="003D6E76"/>
    <w:rsid w:val="003D6F6A"/>
    <w:rsid w:val="003D6FEE"/>
    <w:rsid w:val="003D735E"/>
    <w:rsid w:val="003D73CC"/>
    <w:rsid w:val="003D7833"/>
    <w:rsid w:val="003E01BC"/>
    <w:rsid w:val="003E044D"/>
    <w:rsid w:val="003E05F1"/>
    <w:rsid w:val="003E060D"/>
    <w:rsid w:val="003E086F"/>
    <w:rsid w:val="003E0924"/>
    <w:rsid w:val="003E0D97"/>
    <w:rsid w:val="003E0E07"/>
    <w:rsid w:val="003E164E"/>
    <w:rsid w:val="003E175C"/>
    <w:rsid w:val="003E19A8"/>
    <w:rsid w:val="003E1A80"/>
    <w:rsid w:val="003E1A86"/>
    <w:rsid w:val="003E1A94"/>
    <w:rsid w:val="003E1D19"/>
    <w:rsid w:val="003E1DD6"/>
    <w:rsid w:val="003E23E5"/>
    <w:rsid w:val="003E2585"/>
    <w:rsid w:val="003E2626"/>
    <w:rsid w:val="003E262A"/>
    <w:rsid w:val="003E28A4"/>
    <w:rsid w:val="003E2D45"/>
    <w:rsid w:val="003E2E39"/>
    <w:rsid w:val="003E2E49"/>
    <w:rsid w:val="003E3021"/>
    <w:rsid w:val="003E32E1"/>
    <w:rsid w:val="003E33CD"/>
    <w:rsid w:val="003E33F7"/>
    <w:rsid w:val="003E351C"/>
    <w:rsid w:val="003E3551"/>
    <w:rsid w:val="003E3690"/>
    <w:rsid w:val="003E38FC"/>
    <w:rsid w:val="003E3967"/>
    <w:rsid w:val="003E3AF5"/>
    <w:rsid w:val="003E412B"/>
    <w:rsid w:val="003E41C0"/>
    <w:rsid w:val="003E4341"/>
    <w:rsid w:val="003E44E4"/>
    <w:rsid w:val="003E4585"/>
    <w:rsid w:val="003E47B8"/>
    <w:rsid w:val="003E4942"/>
    <w:rsid w:val="003E49A1"/>
    <w:rsid w:val="003E4D2D"/>
    <w:rsid w:val="003E50B1"/>
    <w:rsid w:val="003E5373"/>
    <w:rsid w:val="003E5440"/>
    <w:rsid w:val="003E54EB"/>
    <w:rsid w:val="003E5534"/>
    <w:rsid w:val="003E56CF"/>
    <w:rsid w:val="003E59BE"/>
    <w:rsid w:val="003E5DF5"/>
    <w:rsid w:val="003E61A9"/>
    <w:rsid w:val="003E6427"/>
    <w:rsid w:val="003E66EB"/>
    <w:rsid w:val="003E69B0"/>
    <w:rsid w:val="003E6BBE"/>
    <w:rsid w:val="003E6ECE"/>
    <w:rsid w:val="003E6EF3"/>
    <w:rsid w:val="003E7230"/>
    <w:rsid w:val="003E7429"/>
    <w:rsid w:val="003E7459"/>
    <w:rsid w:val="003E7637"/>
    <w:rsid w:val="003E7854"/>
    <w:rsid w:val="003E7AAC"/>
    <w:rsid w:val="003E7D70"/>
    <w:rsid w:val="003F0055"/>
    <w:rsid w:val="003F00C6"/>
    <w:rsid w:val="003F03A5"/>
    <w:rsid w:val="003F051F"/>
    <w:rsid w:val="003F078D"/>
    <w:rsid w:val="003F1127"/>
    <w:rsid w:val="003F1206"/>
    <w:rsid w:val="003F1214"/>
    <w:rsid w:val="003F1343"/>
    <w:rsid w:val="003F14DA"/>
    <w:rsid w:val="003F1961"/>
    <w:rsid w:val="003F1D48"/>
    <w:rsid w:val="003F225F"/>
    <w:rsid w:val="003F256F"/>
    <w:rsid w:val="003F2635"/>
    <w:rsid w:val="003F268F"/>
    <w:rsid w:val="003F270F"/>
    <w:rsid w:val="003F272A"/>
    <w:rsid w:val="003F29C5"/>
    <w:rsid w:val="003F2D2B"/>
    <w:rsid w:val="003F2DED"/>
    <w:rsid w:val="003F2E58"/>
    <w:rsid w:val="003F2F6B"/>
    <w:rsid w:val="003F31BA"/>
    <w:rsid w:val="003F3287"/>
    <w:rsid w:val="003F3321"/>
    <w:rsid w:val="003F33B1"/>
    <w:rsid w:val="003F34B3"/>
    <w:rsid w:val="003F374D"/>
    <w:rsid w:val="003F379A"/>
    <w:rsid w:val="003F3829"/>
    <w:rsid w:val="003F38E7"/>
    <w:rsid w:val="003F391F"/>
    <w:rsid w:val="003F3BA0"/>
    <w:rsid w:val="003F3BDD"/>
    <w:rsid w:val="003F3CB0"/>
    <w:rsid w:val="003F3E11"/>
    <w:rsid w:val="003F3F1C"/>
    <w:rsid w:val="003F3F2E"/>
    <w:rsid w:val="003F3F6A"/>
    <w:rsid w:val="003F3FEE"/>
    <w:rsid w:val="003F434A"/>
    <w:rsid w:val="003F43BF"/>
    <w:rsid w:val="003F4719"/>
    <w:rsid w:val="003F48A1"/>
    <w:rsid w:val="003F4B4B"/>
    <w:rsid w:val="003F4E83"/>
    <w:rsid w:val="003F538C"/>
    <w:rsid w:val="003F557F"/>
    <w:rsid w:val="003F5617"/>
    <w:rsid w:val="003F5BBF"/>
    <w:rsid w:val="003F5C08"/>
    <w:rsid w:val="003F5C55"/>
    <w:rsid w:val="003F6128"/>
    <w:rsid w:val="003F64CF"/>
    <w:rsid w:val="003F6551"/>
    <w:rsid w:val="003F677E"/>
    <w:rsid w:val="003F6859"/>
    <w:rsid w:val="003F6BEA"/>
    <w:rsid w:val="003F6BF2"/>
    <w:rsid w:val="003F6D1E"/>
    <w:rsid w:val="003F6D5D"/>
    <w:rsid w:val="003F6D97"/>
    <w:rsid w:val="003F6E78"/>
    <w:rsid w:val="003F6FB8"/>
    <w:rsid w:val="003F773C"/>
    <w:rsid w:val="003F78D1"/>
    <w:rsid w:val="003F79B6"/>
    <w:rsid w:val="003F7BBA"/>
    <w:rsid w:val="003F7BC9"/>
    <w:rsid w:val="003F7CF6"/>
    <w:rsid w:val="003F7ECB"/>
    <w:rsid w:val="003F7F12"/>
    <w:rsid w:val="003F7FC0"/>
    <w:rsid w:val="0040002F"/>
    <w:rsid w:val="00400088"/>
    <w:rsid w:val="004001C7"/>
    <w:rsid w:val="004005C6"/>
    <w:rsid w:val="004006C6"/>
    <w:rsid w:val="0040072C"/>
    <w:rsid w:val="00400B46"/>
    <w:rsid w:val="00400BD3"/>
    <w:rsid w:val="00400D9F"/>
    <w:rsid w:val="00400E70"/>
    <w:rsid w:val="0040109E"/>
    <w:rsid w:val="004014B8"/>
    <w:rsid w:val="0040157D"/>
    <w:rsid w:val="00401695"/>
    <w:rsid w:val="00401790"/>
    <w:rsid w:val="0040183A"/>
    <w:rsid w:val="00401905"/>
    <w:rsid w:val="00401A56"/>
    <w:rsid w:val="00401BCF"/>
    <w:rsid w:val="00401C42"/>
    <w:rsid w:val="00402057"/>
    <w:rsid w:val="004021ED"/>
    <w:rsid w:val="004022DB"/>
    <w:rsid w:val="004023C9"/>
    <w:rsid w:val="004024DF"/>
    <w:rsid w:val="004024FF"/>
    <w:rsid w:val="00402795"/>
    <w:rsid w:val="004028C6"/>
    <w:rsid w:val="00402903"/>
    <w:rsid w:val="00402BB6"/>
    <w:rsid w:val="00402F7A"/>
    <w:rsid w:val="00402FD6"/>
    <w:rsid w:val="004031F7"/>
    <w:rsid w:val="00403B5E"/>
    <w:rsid w:val="00403CFE"/>
    <w:rsid w:val="00403E22"/>
    <w:rsid w:val="00403E30"/>
    <w:rsid w:val="004040E7"/>
    <w:rsid w:val="0040470D"/>
    <w:rsid w:val="004047CD"/>
    <w:rsid w:val="004048AA"/>
    <w:rsid w:val="00404952"/>
    <w:rsid w:val="004049C6"/>
    <w:rsid w:val="00404AB4"/>
    <w:rsid w:val="00404B2B"/>
    <w:rsid w:val="00404EBC"/>
    <w:rsid w:val="00404F69"/>
    <w:rsid w:val="0040500E"/>
    <w:rsid w:val="00405177"/>
    <w:rsid w:val="00405484"/>
    <w:rsid w:val="004056B6"/>
    <w:rsid w:val="00405760"/>
    <w:rsid w:val="004057CA"/>
    <w:rsid w:val="00405B72"/>
    <w:rsid w:val="00405C4C"/>
    <w:rsid w:val="00405F29"/>
    <w:rsid w:val="00405FEC"/>
    <w:rsid w:val="004063FB"/>
    <w:rsid w:val="004064CD"/>
    <w:rsid w:val="00406815"/>
    <w:rsid w:val="004068DB"/>
    <w:rsid w:val="0040694B"/>
    <w:rsid w:val="00406A31"/>
    <w:rsid w:val="00406D38"/>
    <w:rsid w:val="004074D3"/>
    <w:rsid w:val="004076D1"/>
    <w:rsid w:val="0040780E"/>
    <w:rsid w:val="00407B29"/>
    <w:rsid w:val="00407CB7"/>
    <w:rsid w:val="00407E5B"/>
    <w:rsid w:val="00410013"/>
    <w:rsid w:val="00410328"/>
    <w:rsid w:val="004105E5"/>
    <w:rsid w:val="00410744"/>
    <w:rsid w:val="00410CB2"/>
    <w:rsid w:val="00410D77"/>
    <w:rsid w:val="004110D5"/>
    <w:rsid w:val="0041140B"/>
    <w:rsid w:val="0041143E"/>
    <w:rsid w:val="004115A5"/>
    <w:rsid w:val="0041163A"/>
    <w:rsid w:val="004117A9"/>
    <w:rsid w:val="00411A9A"/>
    <w:rsid w:val="00411D8D"/>
    <w:rsid w:val="00411D98"/>
    <w:rsid w:val="00411DE1"/>
    <w:rsid w:val="00411EE3"/>
    <w:rsid w:val="004120F1"/>
    <w:rsid w:val="00412321"/>
    <w:rsid w:val="00412401"/>
    <w:rsid w:val="0041256B"/>
    <w:rsid w:val="0041280E"/>
    <w:rsid w:val="00412946"/>
    <w:rsid w:val="00412BE2"/>
    <w:rsid w:val="00413276"/>
    <w:rsid w:val="004132B6"/>
    <w:rsid w:val="0041349F"/>
    <w:rsid w:val="0041355D"/>
    <w:rsid w:val="00413586"/>
    <w:rsid w:val="004139AC"/>
    <w:rsid w:val="00413A45"/>
    <w:rsid w:val="00413BFD"/>
    <w:rsid w:val="00413C2F"/>
    <w:rsid w:val="00413C34"/>
    <w:rsid w:val="00413F65"/>
    <w:rsid w:val="004140E2"/>
    <w:rsid w:val="004141D1"/>
    <w:rsid w:val="0041429A"/>
    <w:rsid w:val="004142B7"/>
    <w:rsid w:val="004142C1"/>
    <w:rsid w:val="00414476"/>
    <w:rsid w:val="00414531"/>
    <w:rsid w:val="004145FD"/>
    <w:rsid w:val="004146EF"/>
    <w:rsid w:val="0041479E"/>
    <w:rsid w:val="004147F2"/>
    <w:rsid w:val="004149BE"/>
    <w:rsid w:val="00414AB9"/>
    <w:rsid w:val="00414BEC"/>
    <w:rsid w:val="00414C33"/>
    <w:rsid w:val="00414E69"/>
    <w:rsid w:val="00414E89"/>
    <w:rsid w:val="00414E99"/>
    <w:rsid w:val="00415039"/>
    <w:rsid w:val="00415081"/>
    <w:rsid w:val="004153DE"/>
    <w:rsid w:val="00415529"/>
    <w:rsid w:val="00415661"/>
    <w:rsid w:val="004157EF"/>
    <w:rsid w:val="00415A11"/>
    <w:rsid w:val="00415FD4"/>
    <w:rsid w:val="00416863"/>
    <w:rsid w:val="0041698F"/>
    <w:rsid w:val="00416E17"/>
    <w:rsid w:val="00416E9F"/>
    <w:rsid w:val="00417167"/>
    <w:rsid w:val="0041726C"/>
    <w:rsid w:val="0041731F"/>
    <w:rsid w:val="0041734E"/>
    <w:rsid w:val="00417668"/>
    <w:rsid w:val="00417805"/>
    <w:rsid w:val="00417A23"/>
    <w:rsid w:val="00417AAD"/>
    <w:rsid w:val="00417CF8"/>
    <w:rsid w:val="00417E75"/>
    <w:rsid w:val="00417F87"/>
    <w:rsid w:val="00417FF5"/>
    <w:rsid w:val="004201B0"/>
    <w:rsid w:val="004204DF"/>
    <w:rsid w:val="0042051E"/>
    <w:rsid w:val="00420897"/>
    <w:rsid w:val="00420AA1"/>
    <w:rsid w:val="00420ACC"/>
    <w:rsid w:val="00420B72"/>
    <w:rsid w:val="00420FE4"/>
    <w:rsid w:val="004216A5"/>
    <w:rsid w:val="00421A15"/>
    <w:rsid w:val="00421BF7"/>
    <w:rsid w:val="00421CE3"/>
    <w:rsid w:val="00421F93"/>
    <w:rsid w:val="00421F96"/>
    <w:rsid w:val="00422080"/>
    <w:rsid w:val="004221F7"/>
    <w:rsid w:val="00422244"/>
    <w:rsid w:val="00422542"/>
    <w:rsid w:val="00422592"/>
    <w:rsid w:val="00422B47"/>
    <w:rsid w:val="00422C49"/>
    <w:rsid w:val="00422CB2"/>
    <w:rsid w:val="00422EDC"/>
    <w:rsid w:val="0042328B"/>
    <w:rsid w:val="00423322"/>
    <w:rsid w:val="00423AA6"/>
    <w:rsid w:val="00423C15"/>
    <w:rsid w:val="00423C33"/>
    <w:rsid w:val="004244F4"/>
    <w:rsid w:val="00424733"/>
    <w:rsid w:val="004247AA"/>
    <w:rsid w:val="004247C1"/>
    <w:rsid w:val="00424AFC"/>
    <w:rsid w:val="004253DB"/>
    <w:rsid w:val="00425699"/>
    <w:rsid w:val="004256AF"/>
    <w:rsid w:val="0042593F"/>
    <w:rsid w:val="0042611C"/>
    <w:rsid w:val="0042616C"/>
    <w:rsid w:val="00426248"/>
    <w:rsid w:val="00426285"/>
    <w:rsid w:val="00426369"/>
    <w:rsid w:val="004263A4"/>
    <w:rsid w:val="004264B5"/>
    <w:rsid w:val="0042667F"/>
    <w:rsid w:val="0042668B"/>
    <w:rsid w:val="004267F3"/>
    <w:rsid w:val="00426E44"/>
    <w:rsid w:val="00426E89"/>
    <w:rsid w:val="00426EFA"/>
    <w:rsid w:val="00426F7C"/>
    <w:rsid w:val="00427095"/>
    <w:rsid w:val="004271CD"/>
    <w:rsid w:val="00427235"/>
    <w:rsid w:val="00427355"/>
    <w:rsid w:val="0042741D"/>
    <w:rsid w:val="004275ED"/>
    <w:rsid w:val="0042794C"/>
    <w:rsid w:val="0042798A"/>
    <w:rsid w:val="00427A21"/>
    <w:rsid w:val="00427C1B"/>
    <w:rsid w:val="00427CD0"/>
    <w:rsid w:val="0043006D"/>
    <w:rsid w:val="00430100"/>
    <w:rsid w:val="004304AF"/>
    <w:rsid w:val="00430624"/>
    <w:rsid w:val="0043066B"/>
    <w:rsid w:val="0043090A"/>
    <w:rsid w:val="004309BF"/>
    <w:rsid w:val="00430B84"/>
    <w:rsid w:val="00430CB2"/>
    <w:rsid w:val="00430CD0"/>
    <w:rsid w:val="00430EF8"/>
    <w:rsid w:val="00431224"/>
    <w:rsid w:val="004315A8"/>
    <w:rsid w:val="00431699"/>
    <w:rsid w:val="00431822"/>
    <w:rsid w:val="004319A6"/>
    <w:rsid w:val="00431B28"/>
    <w:rsid w:val="00431D4D"/>
    <w:rsid w:val="00431DAD"/>
    <w:rsid w:val="00431DBE"/>
    <w:rsid w:val="00431EF4"/>
    <w:rsid w:val="00431F6E"/>
    <w:rsid w:val="00431F8E"/>
    <w:rsid w:val="00431FEB"/>
    <w:rsid w:val="00432022"/>
    <w:rsid w:val="00432033"/>
    <w:rsid w:val="00432048"/>
    <w:rsid w:val="00432281"/>
    <w:rsid w:val="004325D5"/>
    <w:rsid w:val="0043261D"/>
    <w:rsid w:val="00432767"/>
    <w:rsid w:val="0043294E"/>
    <w:rsid w:val="0043296E"/>
    <w:rsid w:val="004332C5"/>
    <w:rsid w:val="004339CA"/>
    <w:rsid w:val="004339E2"/>
    <w:rsid w:val="00433B6A"/>
    <w:rsid w:val="00433F05"/>
    <w:rsid w:val="00434130"/>
    <w:rsid w:val="00434444"/>
    <w:rsid w:val="004344C8"/>
    <w:rsid w:val="004345C8"/>
    <w:rsid w:val="0043488A"/>
    <w:rsid w:val="00434AC3"/>
    <w:rsid w:val="004351ED"/>
    <w:rsid w:val="00435379"/>
    <w:rsid w:val="0043594F"/>
    <w:rsid w:val="004359C8"/>
    <w:rsid w:val="00435BB5"/>
    <w:rsid w:val="00435C1B"/>
    <w:rsid w:val="00435C3B"/>
    <w:rsid w:val="00435CF6"/>
    <w:rsid w:val="00435D36"/>
    <w:rsid w:val="00435FC2"/>
    <w:rsid w:val="00436102"/>
    <w:rsid w:val="00436208"/>
    <w:rsid w:val="00436281"/>
    <w:rsid w:val="00436351"/>
    <w:rsid w:val="004363DE"/>
    <w:rsid w:val="0043641B"/>
    <w:rsid w:val="0043661E"/>
    <w:rsid w:val="004367A0"/>
    <w:rsid w:val="00436AA3"/>
    <w:rsid w:val="0043700F"/>
    <w:rsid w:val="0043723E"/>
    <w:rsid w:val="00437702"/>
    <w:rsid w:val="0043790F"/>
    <w:rsid w:val="00437AC9"/>
    <w:rsid w:val="00437C6A"/>
    <w:rsid w:val="00437F1A"/>
    <w:rsid w:val="004402C3"/>
    <w:rsid w:val="004403D8"/>
    <w:rsid w:val="004404BD"/>
    <w:rsid w:val="0044050D"/>
    <w:rsid w:val="00440971"/>
    <w:rsid w:val="00440F9E"/>
    <w:rsid w:val="00441216"/>
    <w:rsid w:val="004415C6"/>
    <w:rsid w:val="004419D7"/>
    <w:rsid w:val="00441E45"/>
    <w:rsid w:val="00441ECB"/>
    <w:rsid w:val="004422B4"/>
    <w:rsid w:val="0044233C"/>
    <w:rsid w:val="00442353"/>
    <w:rsid w:val="004423DC"/>
    <w:rsid w:val="00442488"/>
    <w:rsid w:val="0044274D"/>
    <w:rsid w:val="0044290D"/>
    <w:rsid w:val="00442BD8"/>
    <w:rsid w:val="00442E00"/>
    <w:rsid w:val="00443601"/>
    <w:rsid w:val="00443A7D"/>
    <w:rsid w:val="00443C16"/>
    <w:rsid w:val="00443CB0"/>
    <w:rsid w:val="00443D74"/>
    <w:rsid w:val="00443DD8"/>
    <w:rsid w:val="00443E95"/>
    <w:rsid w:val="00443EAE"/>
    <w:rsid w:val="00443EC8"/>
    <w:rsid w:val="00443F4C"/>
    <w:rsid w:val="0044474B"/>
    <w:rsid w:val="004449F1"/>
    <w:rsid w:val="00444C1C"/>
    <w:rsid w:val="0044520B"/>
    <w:rsid w:val="0044574A"/>
    <w:rsid w:val="00445A6F"/>
    <w:rsid w:val="00445BC1"/>
    <w:rsid w:val="0044621F"/>
    <w:rsid w:val="004463C3"/>
    <w:rsid w:val="0044640C"/>
    <w:rsid w:val="004464C9"/>
    <w:rsid w:val="00446767"/>
    <w:rsid w:val="0044678D"/>
    <w:rsid w:val="004467C8"/>
    <w:rsid w:val="00446829"/>
    <w:rsid w:val="00446937"/>
    <w:rsid w:val="00446965"/>
    <w:rsid w:val="004469EC"/>
    <w:rsid w:val="00446B31"/>
    <w:rsid w:val="00446C6B"/>
    <w:rsid w:val="00446CD0"/>
    <w:rsid w:val="00446DF3"/>
    <w:rsid w:val="00446E84"/>
    <w:rsid w:val="00447226"/>
    <w:rsid w:val="00447349"/>
    <w:rsid w:val="004476B1"/>
    <w:rsid w:val="004479B6"/>
    <w:rsid w:val="00447A84"/>
    <w:rsid w:val="00447C70"/>
    <w:rsid w:val="00447C9B"/>
    <w:rsid w:val="00450145"/>
    <w:rsid w:val="00450422"/>
    <w:rsid w:val="00450651"/>
    <w:rsid w:val="004506C1"/>
    <w:rsid w:val="00450994"/>
    <w:rsid w:val="004509F5"/>
    <w:rsid w:val="00450CB8"/>
    <w:rsid w:val="00450D83"/>
    <w:rsid w:val="00451109"/>
    <w:rsid w:val="0045158A"/>
    <w:rsid w:val="0045184B"/>
    <w:rsid w:val="004519EE"/>
    <w:rsid w:val="00451CA1"/>
    <w:rsid w:val="00451D68"/>
    <w:rsid w:val="00451E46"/>
    <w:rsid w:val="00452165"/>
    <w:rsid w:val="0045241E"/>
    <w:rsid w:val="004525D1"/>
    <w:rsid w:val="0045275A"/>
    <w:rsid w:val="00452AF9"/>
    <w:rsid w:val="00452AFA"/>
    <w:rsid w:val="00452B21"/>
    <w:rsid w:val="00452C79"/>
    <w:rsid w:val="00452C88"/>
    <w:rsid w:val="00452D25"/>
    <w:rsid w:val="00452D3E"/>
    <w:rsid w:val="00452FE8"/>
    <w:rsid w:val="00452FED"/>
    <w:rsid w:val="004531B3"/>
    <w:rsid w:val="0045366F"/>
    <w:rsid w:val="0045375E"/>
    <w:rsid w:val="00453793"/>
    <w:rsid w:val="0045397A"/>
    <w:rsid w:val="00453A3A"/>
    <w:rsid w:val="00453CD3"/>
    <w:rsid w:val="00453E68"/>
    <w:rsid w:val="00453E98"/>
    <w:rsid w:val="00454247"/>
    <w:rsid w:val="00454463"/>
    <w:rsid w:val="004544D8"/>
    <w:rsid w:val="00454892"/>
    <w:rsid w:val="00454B47"/>
    <w:rsid w:val="00454CF7"/>
    <w:rsid w:val="00454D01"/>
    <w:rsid w:val="00454D93"/>
    <w:rsid w:val="00454F96"/>
    <w:rsid w:val="004550C4"/>
    <w:rsid w:val="004551AE"/>
    <w:rsid w:val="0045532B"/>
    <w:rsid w:val="004553E8"/>
    <w:rsid w:val="00455749"/>
    <w:rsid w:val="0045585C"/>
    <w:rsid w:val="004558AD"/>
    <w:rsid w:val="004558CC"/>
    <w:rsid w:val="00455C48"/>
    <w:rsid w:val="00455C49"/>
    <w:rsid w:val="00455CCA"/>
    <w:rsid w:val="00456034"/>
    <w:rsid w:val="0045662B"/>
    <w:rsid w:val="004567EA"/>
    <w:rsid w:val="004568A8"/>
    <w:rsid w:val="004568F4"/>
    <w:rsid w:val="00456992"/>
    <w:rsid w:val="00456DE6"/>
    <w:rsid w:val="00456FA1"/>
    <w:rsid w:val="0045716D"/>
    <w:rsid w:val="0045716F"/>
    <w:rsid w:val="004571CB"/>
    <w:rsid w:val="00457248"/>
    <w:rsid w:val="00457461"/>
    <w:rsid w:val="004574EC"/>
    <w:rsid w:val="0045763C"/>
    <w:rsid w:val="00457BD3"/>
    <w:rsid w:val="00457E84"/>
    <w:rsid w:val="00457F3B"/>
    <w:rsid w:val="0045BBBA"/>
    <w:rsid w:val="00460129"/>
    <w:rsid w:val="0046016E"/>
    <w:rsid w:val="0046034A"/>
    <w:rsid w:val="0046058D"/>
    <w:rsid w:val="00460CFA"/>
    <w:rsid w:val="00460DB3"/>
    <w:rsid w:val="00460E27"/>
    <w:rsid w:val="00460F76"/>
    <w:rsid w:val="004612F4"/>
    <w:rsid w:val="00461578"/>
    <w:rsid w:val="004617AA"/>
    <w:rsid w:val="004618E5"/>
    <w:rsid w:val="00461947"/>
    <w:rsid w:val="00461D21"/>
    <w:rsid w:val="00461D71"/>
    <w:rsid w:val="00461FF5"/>
    <w:rsid w:val="00462292"/>
    <w:rsid w:val="00462A5B"/>
    <w:rsid w:val="00462BD8"/>
    <w:rsid w:val="00462FDA"/>
    <w:rsid w:val="0046312A"/>
    <w:rsid w:val="00463215"/>
    <w:rsid w:val="00463787"/>
    <w:rsid w:val="00463ADB"/>
    <w:rsid w:val="00463D18"/>
    <w:rsid w:val="00463D40"/>
    <w:rsid w:val="00463E4D"/>
    <w:rsid w:val="00463F60"/>
    <w:rsid w:val="00464044"/>
    <w:rsid w:val="0046421D"/>
    <w:rsid w:val="00464523"/>
    <w:rsid w:val="00464DE6"/>
    <w:rsid w:val="00464ED1"/>
    <w:rsid w:val="00464F52"/>
    <w:rsid w:val="00464FC3"/>
    <w:rsid w:val="004655DC"/>
    <w:rsid w:val="0046575E"/>
    <w:rsid w:val="00465B41"/>
    <w:rsid w:val="00465B68"/>
    <w:rsid w:val="00465CDA"/>
    <w:rsid w:val="00466061"/>
    <w:rsid w:val="00466231"/>
    <w:rsid w:val="0046634C"/>
    <w:rsid w:val="004664A8"/>
    <w:rsid w:val="00466801"/>
    <w:rsid w:val="004668E7"/>
    <w:rsid w:val="00466B2F"/>
    <w:rsid w:val="00466DEE"/>
    <w:rsid w:val="00466E6D"/>
    <w:rsid w:val="00466F4C"/>
    <w:rsid w:val="00466FF2"/>
    <w:rsid w:val="004677DF"/>
    <w:rsid w:val="00467869"/>
    <w:rsid w:val="00467CA0"/>
    <w:rsid w:val="00467DBA"/>
    <w:rsid w:val="00467FEF"/>
    <w:rsid w:val="00470057"/>
    <w:rsid w:val="004705AA"/>
    <w:rsid w:val="004706DD"/>
    <w:rsid w:val="00470820"/>
    <w:rsid w:val="00470900"/>
    <w:rsid w:val="00470B3B"/>
    <w:rsid w:val="00470C9D"/>
    <w:rsid w:val="0047124E"/>
    <w:rsid w:val="004713A4"/>
    <w:rsid w:val="004716F0"/>
    <w:rsid w:val="00471755"/>
    <w:rsid w:val="00471811"/>
    <w:rsid w:val="00471819"/>
    <w:rsid w:val="0047181B"/>
    <w:rsid w:val="00471889"/>
    <w:rsid w:val="00471B10"/>
    <w:rsid w:val="00471CC1"/>
    <w:rsid w:val="0047207F"/>
    <w:rsid w:val="004721C5"/>
    <w:rsid w:val="00472296"/>
    <w:rsid w:val="00472A05"/>
    <w:rsid w:val="00472BC1"/>
    <w:rsid w:val="00472CD5"/>
    <w:rsid w:val="00472EA8"/>
    <w:rsid w:val="0047303F"/>
    <w:rsid w:val="0047305A"/>
    <w:rsid w:val="0047336F"/>
    <w:rsid w:val="004734E1"/>
    <w:rsid w:val="0047361E"/>
    <w:rsid w:val="00473980"/>
    <w:rsid w:val="00473A3B"/>
    <w:rsid w:val="00473C84"/>
    <w:rsid w:val="00473E47"/>
    <w:rsid w:val="00473F57"/>
    <w:rsid w:val="00473F58"/>
    <w:rsid w:val="00474043"/>
    <w:rsid w:val="0047426E"/>
    <w:rsid w:val="00474502"/>
    <w:rsid w:val="00474551"/>
    <w:rsid w:val="004745C3"/>
    <w:rsid w:val="00474670"/>
    <w:rsid w:val="00474801"/>
    <w:rsid w:val="00474812"/>
    <w:rsid w:val="00474A70"/>
    <w:rsid w:val="00474AC7"/>
    <w:rsid w:val="00474C49"/>
    <w:rsid w:val="00474D2C"/>
    <w:rsid w:val="00474E73"/>
    <w:rsid w:val="00474F54"/>
    <w:rsid w:val="00474F58"/>
    <w:rsid w:val="004750CA"/>
    <w:rsid w:val="0047529E"/>
    <w:rsid w:val="0047591A"/>
    <w:rsid w:val="004759B3"/>
    <w:rsid w:val="00475C44"/>
    <w:rsid w:val="00475D52"/>
    <w:rsid w:val="00475EFD"/>
    <w:rsid w:val="00475F08"/>
    <w:rsid w:val="004762D9"/>
    <w:rsid w:val="004765FD"/>
    <w:rsid w:val="004767BA"/>
    <w:rsid w:val="004769B0"/>
    <w:rsid w:val="00476B6E"/>
    <w:rsid w:val="0047704C"/>
    <w:rsid w:val="00477082"/>
    <w:rsid w:val="004771DA"/>
    <w:rsid w:val="004771F3"/>
    <w:rsid w:val="00477ADB"/>
    <w:rsid w:val="00477CC7"/>
    <w:rsid w:val="00477D2D"/>
    <w:rsid w:val="00477D55"/>
    <w:rsid w:val="00477F0C"/>
    <w:rsid w:val="004803CF"/>
    <w:rsid w:val="0048055C"/>
    <w:rsid w:val="0048062D"/>
    <w:rsid w:val="0048099F"/>
    <w:rsid w:val="00480B98"/>
    <w:rsid w:val="00481073"/>
    <w:rsid w:val="00481138"/>
    <w:rsid w:val="0048114F"/>
    <w:rsid w:val="0048135C"/>
    <w:rsid w:val="004813DE"/>
    <w:rsid w:val="00481493"/>
    <w:rsid w:val="00481829"/>
    <w:rsid w:val="00481A4D"/>
    <w:rsid w:val="00481A69"/>
    <w:rsid w:val="00481D69"/>
    <w:rsid w:val="00482054"/>
    <w:rsid w:val="00482321"/>
    <w:rsid w:val="00482354"/>
    <w:rsid w:val="0048236F"/>
    <w:rsid w:val="00482536"/>
    <w:rsid w:val="00482906"/>
    <w:rsid w:val="00482D41"/>
    <w:rsid w:val="00482E5E"/>
    <w:rsid w:val="004830C2"/>
    <w:rsid w:val="004830CC"/>
    <w:rsid w:val="00483176"/>
    <w:rsid w:val="0048332E"/>
    <w:rsid w:val="004833B5"/>
    <w:rsid w:val="0048347D"/>
    <w:rsid w:val="004837EC"/>
    <w:rsid w:val="00483972"/>
    <w:rsid w:val="004839C9"/>
    <w:rsid w:val="00483A02"/>
    <w:rsid w:val="00483A40"/>
    <w:rsid w:val="00483B1D"/>
    <w:rsid w:val="00484115"/>
    <w:rsid w:val="00484396"/>
    <w:rsid w:val="004845D6"/>
    <w:rsid w:val="004846F4"/>
    <w:rsid w:val="004847CA"/>
    <w:rsid w:val="00484854"/>
    <w:rsid w:val="00484871"/>
    <w:rsid w:val="00484C70"/>
    <w:rsid w:val="00484CDE"/>
    <w:rsid w:val="00484D74"/>
    <w:rsid w:val="00484F2D"/>
    <w:rsid w:val="0048506A"/>
    <w:rsid w:val="004855CE"/>
    <w:rsid w:val="0048571F"/>
    <w:rsid w:val="004857AF"/>
    <w:rsid w:val="00485B1D"/>
    <w:rsid w:val="00485ECE"/>
    <w:rsid w:val="0048613F"/>
    <w:rsid w:val="004864AF"/>
    <w:rsid w:val="0048655C"/>
    <w:rsid w:val="00486752"/>
    <w:rsid w:val="004869D9"/>
    <w:rsid w:val="00486CD3"/>
    <w:rsid w:val="00486ED9"/>
    <w:rsid w:val="00486FBC"/>
    <w:rsid w:val="00487189"/>
    <w:rsid w:val="00487346"/>
    <w:rsid w:val="004876E7"/>
    <w:rsid w:val="00487A31"/>
    <w:rsid w:val="00487A64"/>
    <w:rsid w:val="00487AB0"/>
    <w:rsid w:val="00487CF2"/>
    <w:rsid w:val="00487F12"/>
    <w:rsid w:val="004903AB"/>
    <w:rsid w:val="0049040A"/>
    <w:rsid w:val="0049048E"/>
    <w:rsid w:val="004905D1"/>
    <w:rsid w:val="00490D10"/>
    <w:rsid w:val="004910CC"/>
    <w:rsid w:val="0049111E"/>
    <w:rsid w:val="0049132A"/>
    <w:rsid w:val="00491367"/>
    <w:rsid w:val="004914C6"/>
    <w:rsid w:val="004914D6"/>
    <w:rsid w:val="00491552"/>
    <w:rsid w:val="00491729"/>
    <w:rsid w:val="00491891"/>
    <w:rsid w:val="004919AB"/>
    <w:rsid w:val="00491A06"/>
    <w:rsid w:val="00491AB0"/>
    <w:rsid w:val="00491B55"/>
    <w:rsid w:val="00491F00"/>
    <w:rsid w:val="00492071"/>
    <w:rsid w:val="00492089"/>
    <w:rsid w:val="004922D2"/>
    <w:rsid w:val="0049240E"/>
    <w:rsid w:val="004927AF"/>
    <w:rsid w:val="00492ACB"/>
    <w:rsid w:val="00492B68"/>
    <w:rsid w:val="00492BA2"/>
    <w:rsid w:val="00492BFE"/>
    <w:rsid w:val="00492C21"/>
    <w:rsid w:val="00492E45"/>
    <w:rsid w:val="00492E64"/>
    <w:rsid w:val="0049300B"/>
    <w:rsid w:val="0049384C"/>
    <w:rsid w:val="0049390B"/>
    <w:rsid w:val="00493DD0"/>
    <w:rsid w:val="00493F78"/>
    <w:rsid w:val="00494078"/>
    <w:rsid w:val="0049426D"/>
    <w:rsid w:val="00494593"/>
    <w:rsid w:val="00494C10"/>
    <w:rsid w:val="00494E5E"/>
    <w:rsid w:val="0049500D"/>
    <w:rsid w:val="004950D7"/>
    <w:rsid w:val="004953FD"/>
    <w:rsid w:val="00495682"/>
    <w:rsid w:val="00495886"/>
    <w:rsid w:val="004958B7"/>
    <w:rsid w:val="00495E2E"/>
    <w:rsid w:val="00495EA0"/>
    <w:rsid w:val="00495FB6"/>
    <w:rsid w:val="0049601D"/>
    <w:rsid w:val="00496254"/>
    <w:rsid w:val="004962AC"/>
    <w:rsid w:val="004962EF"/>
    <w:rsid w:val="004965BE"/>
    <w:rsid w:val="00496726"/>
    <w:rsid w:val="00496742"/>
    <w:rsid w:val="00496A05"/>
    <w:rsid w:val="00496CF9"/>
    <w:rsid w:val="00496E5F"/>
    <w:rsid w:val="00497625"/>
    <w:rsid w:val="0049762A"/>
    <w:rsid w:val="004976A6"/>
    <w:rsid w:val="00497874"/>
    <w:rsid w:val="004978E9"/>
    <w:rsid w:val="00497929"/>
    <w:rsid w:val="00497CC9"/>
    <w:rsid w:val="00497D0E"/>
    <w:rsid w:val="00497D76"/>
    <w:rsid w:val="004A033A"/>
    <w:rsid w:val="004A03B7"/>
    <w:rsid w:val="004A0487"/>
    <w:rsid w:val="004A0678"/>
    <w:rsid w:val="004A091C"/>
    <w:rsid w:val="004A0F5A"/>
    <w:rsid w:val="004A13FE"/>
    <w:rsid w:val="004A159C"/>
    <w:rsid w:val="004A1F8C"/>
    <w:rsid w:val="004A1FDC"/>
    <w:rsid w:val="004A200E"/>
    <w:rsid w:val="004A205F"/>
    <w:rsid w:val="004A24FB"/>
    <w:rsid w:val="004A2966"/>
    <w:rsid w:val="004A298F"/>
    <w:rsid w:val="004A2AE2"/>
    <w:rsid w:val="004A2C15"/>
    <w:rsid w:val="004A2C2B"/>
    <w:rsid w:val="004A2C3C"/>
    <w:rsid w:val="004A2D56"/>
    <w:rsid w:val="004A2D83"/>
    <w:rsid w:val="004A3093"/>
    <w:rsid w:val="004A3AAE"/>
    <w:rsid w:val="004A49FE"/>
    <w:rsid w:val="004A4DF2"/>
    <w:rsid w:val="004A4EF4"/>
    <w:rsid w:val="004A5084"/>
    <w:rsid w:val="004A538F"/>
    <w:rsid w:val="004A57FC"/>
    <w:rsid w:val="004A584C"/>
    <w:rsid w:val="004A5C9B"/>
    <w:rsid w:val="004A5CD9"/>
    <w:rsid w:val="004A5E50"/>
    <w:rsid w:val="004A5FEF"/>
    <w:rsid w:val="004A6090"/>
    <w:rsid w:val="004A626A"/>
    <w:rsid w:val="004A6300"/>
    <w:rsid w:val="004A6303"/>
    <w:rsid w:val="004A6441"/>
    <w:rsid w:val="004A64E6"/>
    <w:rsid w:val="004A671B"/>
    <w:rsid w:val="004A67E3"/>
    <w:rsid w:val="004A6A59"/>
    <w:rsid w:val="004A6B5F"/>
    <w:rsid w:val="004A6FAF"/>
    <w:rsid w:val="004A70EA"/>
    <w:rsid w:val="004A7220"/>
    <w:rsid w:val="004A749D"/>
    <w:rsid w:val="004A759A"/>
    <w:rsid w:val="004A76E2"/>
    <w:rsid w:val="004A7712"/>
    <w:rsid w:val="004A792F"/>
    <w:rsid w:val="004A79AA"/>
    <w:rsid w:val="004A7AA9"/>
    <w:rsid w:val="004A7C6E"/>
    <w:rsid w:val="004B0060"/>
    <w:rsid w:val="004B029A"/>
    <w:rsid w:val="004B043F"/>
    <w:rsid w:val="004B06C7"/>
    <w:rsid w:val="004B088A"/>
    <w:rsid w:val="004B0918"/>
    <w:rsid w:val="004B0C35"/>
    <w:rsid w:val="004B0E1C"/>
    <w:rsid w:val="004B0FD3"/>
    <w:rsid w:val="004B11A3"/>
    <w:rsid w:val="004B124A"/>
    <w:rsid w:val="004B12A2"/>
    <w:rsid w:val="004B13C0"/>
    <w:rsid w:val="004B15BE"/>
    <w:rsid w:val="004B16EF"/>
    <w:rsid w:val="004B17F3"/>
    <w:rsid w:val="004B188B"/>
    <w:rsid w:val="004B1B45"/>
    <w:rsid w:val="004B1BEB"/>
    <w:rsid w:val="004B1F0B"/>
    <w:rsid w:val="004B22FE"/>
    <w:rsid w:val="004B2339"/>
    <w:rsid w:val="004B2426"/>
    <w:rsid w:val="004B2AE9"/>
    <w:rsid w:val="004B2B4C"/>
    <w:rsid w:val="004B2E5A"/>
    <w:rsid w:val="004B2E5C"/>
    <w:rsid w:val="004B30D4"/>
    <w:rsid w:val="004B316C"/>
    <w:rsid w:val="004B32FE"/>
    <w:rsid w:val="004B3727"/>
    <w:rsid w:val="004B378B"/>
    <w:rsid w:val="004B38AC"/>
    <w:rsid w:val="004B399C"/>
    <w:rsid w:val="004B3B77"/>
    <w:rsid w:val="004B3C64"/>
    <w:rsid w:val="004B3D6B"/>
    <w:rsid w:val="004B3D84"/>
    <w:rsid w:val="004B4240"/>
    <w:rsid w:val="004B42C4"/>
    <w:rsid w:val="004B43A8"/>
    <w:rsid w:val="004B45E1"/>
    <w:rsid w:val="004B4801"/>
    <w:rsid w:val="004B4C14"/>
    <w:rsid w:val="004B4C36"/>
    <w:rsid w:val="004B4DBC"/>
    <w:rsid w:val="004B4E9A"/>
    <w:rsid w:val="004B4F74"/>
    <w:rsid w:val="004B50C4"/>
    <w:rsid w:val="004B51CF"/>
    <w:rsid w:val="004B521A"/>
    <w:rsid w:val="004B5433"/>
    <w:rsid w:val="004B5452"/>
    <w:rsid w:val="004B545D"/>
    <w:rsid w:val="004B5637"/>
    <w:rsid w:val="004B580B"/>
    <w:rsid w:val="004B5B92"/>
    <w:rsid w:val="004B610D"/>
    <w:rsid w:val="004B6252"/>
    <w:rsid w:val="004B628B"/>
    <w:rsid w:val="004B6424"/>
    <w:rsid w:val="004B6474"/>
    <w:rsid w:val="004B6532"/>
    <w:rsid w:val="004B658C"/>
    <w:rsid w:val="004B65C0"/>
    <w:rsid w:val="004B6738"/>
    <w:rsid w:val="004B6886"/>
    <w:rsid w:val="004B6A65"/>
    <w:rsid w:val="004B6E47"/>
    <w:rsid w:val="004B6E72"/>
    <w:rsid w:val="004B76EA"/>
    <w:rsid w:val="004B7733"/>
    <w:rsid w:val="004B7C44"/>
    <w:rsid w:val="004B7C5B"/>
    <w:rsid w:val="004B7C5C"/>
    <w:rsid w:val="004B7DB1"/>
    <w:rsid w:val="004B7DE6"/>
    <w:rsid w:val="004C03BD"/>
    <w:rsid w:val="004C0409"/>
    <w:rsid w:val="004C0415"/>
    <w:rsid w:val="004C0694"/>
    <w:rsid w:val="004C0986"/>
    <w:rsid w:val="004C0E6A"/>
    <w:rsid w:val="004C1310"/>
    <w:rsid w:val="004C1501"/>
    <w:rsid w:val="004C18BC"/>
    <w:rsid w:val="004C1919"/>
    <w:rsid w:val="004C1934"/>
    <w:rsid w:val="004C1A81"/>
    <w:rsid w:val="004C2037"/>
    <w:rsid w:val="004C224E"/>
    <w:rsid w:val="004C294C"/>
    <w:rsid w:val="004C297E"/>
    <w:rsid w:val="004C2BDE"/>
    <w:rsid w:val="004C2BE0"/>
    <w:rsid w:val="004C3008"/>
    <w:rsid w:val="004C300F"/>
    <w:rsid w:val="004C3958"/>
    <w:rsid w:val="004C3975"/>
    <w:rsid w:val="004C3B76"/>
    <w:rsid w:val="004C3BE6"/>
    <w:rsid w:val="004C3E9F"/>
    <w:rsid w:val="004C3EA6"/>
    <w:rsid w:val="004C4712"/>
    <w:rsid w:val="004C4860"/>
    <w:rsid w:val="004C4913"/>
    <w:rsid w:val="004C4D41"/>
    <w:rsid w:val="004C4EF0"/>
    <w:rsid w:val="004C4FD3"/>
    <w:rsid w:val="004C5252"/>
    <w:rsid w:val="004C5335"/>
    <w:rsid w:val="004C534E"/>
    <w:rsid w:val="004C5352"/>
    <w:rsid w:val="004C53F0"/>
    <w:rsid w:val="004C54B1"/>
    <w:rsid w:val="004C598B"/>
    <w:rsid w:val="004C5AD7"/>
    <w:rsid w:val="004C5BA0"/>
    <w:rsid w:val="004C604A"/>
    <w:rsid w:val="004C6470"/>
    <w:rsid w:val="004C64C6"/>
    <w:rsid w:val="004C6670"/>
    <w:rsid w:val="004C6764"/>
    <w:rsid w:val="004C6769"/>
    <w:rsid w:val="004C6E51"/>
    <w:rsid w:val="004C71AC"/>
    <w:rsid w:val="004C71D9"/>
    <w:rsid w:val="004C726F"/>
    <w:rsid w:val="004C7641"/>
    <w:rsid w:val="004C7782"/>
    <w:rsid w:val="004C77A0"/>
    <w:rsid w:val="004C77BA"/>
    <w:rsid w:val="004C7B5E"/>
    <w:rsid w:val="004C7D0B"/>
    <w:rsid w:val="004C7DA1"/>
    <w:rsid w:val="004C7DD7"/>
    <w:rsid w:val="004D028F"/>
    <w:rsid w:val="004D0B61"/>
    <w:rsid w:val="004D1229"/>
    <w:rsid w:val="004D13C2"/>
    <w:rsid w:val="004D1495"/>
    <w:rsid w:val="004D17DF"/>
    <w:rsid w:val="004D1B13"/>
    <w:rsid w:val="004D1BCD"/>
    <w:rsid w:val="004D1D2B"/>
    <w:rsid w:val="004D204A"/>
    <w:rsid w:val="004D2272"/>
    <w:rsid w:val="004D29B1"/>
    <w:rsid w:val="004D2A0E"/>
    <w:rsid w:val="004D2A18"/>
    <w:rsid w:val="004D2A38"/>
    <w:rsid w:val="004D2A46"/>
    <w:rsid w:val="004D2B56"/>
    <w:rsid w:val="004D2C4B"/>
    <w:rsid w:val="004D2CAE"/>
    <w:rsid w:val="004D2DE3"/>
    <w:rsid w:val="004D3014"/>
    <w:rsid w:val="004D3118"/>
    <w:rsid w:val="004D3655"/>
    <w:rsid w:val="004D3774"/>
    <w:rsid w:val="004D3923"/>
    <w:rsid w:val="004D3B5C"/>
    <w:rsid w:val="004D3BC7"/>
    <w:rsid w:val="004D3C44"/>
    <w:rsid w:val="004D3CB1"/>
    <w:rsid w:val="004D3D02"/>
    <w:rsid w:val="004D3F00"/>
    <w:rsid w:val="004D4142"/>
    <w:rsid w:val="004D4329"/>
    <w:rsid w:val="004D4391"/>
    <w:rsid w:val="004D458A"/>
    <w:rsid w:val="004D4750"/>
    <w:rsid w:val="004D4958"/>
    <w:rsid w:val="004D49A7"/>
    <w:rsid w:val="004D4BDE"/>
    <w:rsid w:val="004D4F53"/>
    <w:rsid w:val="004D5035"/>
    <w:rsid w:val="004D5106"/>
    <w:rsid w:val="004D53BF"/>
    <w:rsid w:val="004D556A"/>
    <w:rsid w:val="004D5662"/>
    <w:rsid w:val="004D571B"/>
    <w:rsid w:val="004D587A"/>
    <w:rsid w:val="004D5AC5"/>
    <w:rsid w:val="004D5F62"/>
    <w:rsid w:val="004D6306"/>
    <w:rsid w:val="004D6843"/>
    <w:rsid w:val="004D68AA"/>
    <w:rsid w:val="004D6C98"/>
    <w:rsid w:val="004D6E52"/>
    <w:rsid w:val="004D71E1"/>
    <w:rsid w:val="004D7436"/>
    <w:rsid w:val="004D78EA"/>
    <w:rsid w:val="004D7C8A"/>
    <w:rsid w:val="004D7D79"/>
    <w:rsid w:val="004E00BC"/>
    <w:rsid w:val="004E0136"/>
    <w:rsid w:val="004E0270"/>
    <w:rsid w:val="004E05E6"/>
    <w:rsid w:val="004E065D"/>
    <w:rsid w:val="004E08A5"/>
    <w:rsid w:val="004E08D7"/>
    <w:rsid w:val="004E09F0"/>
    <w:rsid w:val="004E0D2C"/>
    <w:rsid w:val="004E0F3D"/>
    <w:rsid w:val="004E0FF2"/>
    <w:rsid w:val="004E12F3"/>
    <w:rsid w:val="004E15B4"/>
    <w:rsid w:val="004E15F8"/>
    <w:rsid w:val="004E179B"/>
    <w:rsid w:val="004E1856"/>
    <w:rsid w:val="004E1B54"/>
    <w:rsid w:val="004E1D4C"/>
    <w:rsid w:val="004E20A2"/>
    <w:rsid w:val="004E22E4"/>
    <w:rsid w:val="004E252D"/>
    <w:rsid w:val="004E254A"/>
    <w:rsid w:val="004E26B5"/>
    <w:rsid w:val="004E2841"/>
    <w:rsid w:val="004E33E6"/>
    <w:rsid w:val="004E34ED"/>
    <w:rsid w:val="004E36DA"/>
    <w:rsid w:val="004E3739"/>
    <w:rsid w:val="004E395E"/>
    <w:rsid w:val="004E3B13"/>
    <w:rsid w:val="004E3BA1"/>
    <w:rsid w:val="004E3D0A"/>
    <w:rsid w:val="004E3D62"/>
    <w:rsid w:val="004E445D"/>
    <w:rsid w:val="004E49E1"/>
    <w:rsid w:val="004E4A0D"/>
    <w:rsid w:val="004E4B17"/>
    <w:rsid w:val="004E4B61"/>
    <w:rsid w:val="004E4BDC"/>
    <w:rsid w:val="004E5298"/>
    <w:rsid w:val="004E580F"/>
    <w:rsid w:val="004E58FE"/>
    <w:rsid w:val="004E5997"/>
    <w:rsid w:val="004E59F1"/>
    <w:rsid w:val="004E5A83"/>
    <w:rsid w:val="004E5AFB"/>
    <w:rsid w:val="004E5C21"/>
    <w:rsid w:val="004E5C2B"/>
    <w:rsid w:val="004E5D5B"/>
    <w:rsid w:val="004E5DD4"/>
    <w:rsid w:val="004E5E17"/>
    <w:rsid w:val="004E6206"/>
    <w:rsid w:val="004E63B3"/>
    <w:rsid w:val="004E6544"/>
    <w:rsid w:val="004E669A"/>
    <w:rsid w:val="004E6763"/>
    <w:rsid w:val="004E6927"/>
    <w:rsid w:val="004E6AFE"/>
    <w:rsid w:val="004E6C4A"/>
    <w:rsid w:val="004E7228"/>
    <w:rsid w:val="004E72E8"/>
    <w:rsid w:val="004E7527"/>
    <w:rsid w:val="004E761E"/>
    <w:rsid w:val="004E770A"/>
    <w:rsid w:val="004E7B14"/>
    <w:rsid w:val="004E7BA7"/>
    <w:rsid w:val="004E7BC9"/>
    <w:rsid w:val="004E7DDC"/>
    <w:rsid w:val="004F00E3"/>
    <w:rsid w:val="004F048D"/>
    <w:rsid w:val="004F0704"/>
    <w:rsid w:val="004F0862"/>
    <w:rsid w:val="004F093E"/>
    <w:rsid w:val="004F09C4"/>
    <w:rsid w:val="004F0A50"/>
    <w:rsid w:val="004F0B1A"/>
    <w:rsid w:val="004F0D2F"/>
    <w:rsid w:val="004F11F2"/>
    <w:rsid w:val="004F174C"/>
    <w:rsid w:val="004F19D4"/>
    <w:rsid w:val="004F1BFF"/>
    <w:rsid w:val="004F2196"/>
    <w:rsid w:val="004F21A6"/>
    <w:rsid w:val="004F22CF"/>
    <w:rsid w:val="004F2376"/>
    <w:rsid w:val="004F27EC"/>
    <w:rsid w:val="004F29A6"/>
    <w:rsid w:val="004F29CC"/>
    <w:rsid w:val="004F2A19"/>
    <w:rsid w:val="004F2A2C"/>
    <w:rsid w:val="004F2AB3"/>
    <w:rsid w:val="004F2D3A"/>
    <w:rsid w:val="004F3330"/>
    <w:rsid w:val="004F333A"/>
    <w:rsid w:val="004F35F5"/>
    <w:rsid w:val="004F371D"/>
    <w:rsid w:val="004F3853"/>
    <w:rsid w:val="004F38A2"/>
    <w:rsid w:val="004F3BCC"/>
    <w:rsid w:val="004F3D88"/>
    <w:rsid w:val="004F3E8B"/>
    <w:rsid w:val="004F3EF0"/>
    <w:rsid w:val="004F425A"/>
    <w:rsid w:val="004F434E"/>
    <w:rsid w:val="004F4486"/>
    <w:rsid w:val="004F457F"/>
    <w:rsid w:val="004F4839"/>
    <w:rsid w:val="004F4AB6"/>
    <w:rsid w:val="004F4CC7"/>
    <w:rsid w:val="004F4D33"/>
    <w:rsid w:val="004F5271"/>
    <w:rsid w:val="004F5A3A"/>
    <w:rsid w:val="004F5AA4"/>
    <w:rsid w:val="004F5CB8"/>
    <w:rsid w:val="004F638E"/>
    <w:rsid w:val="004F63B3"/>
    <w:rsid w:val="004F63DA"/>
    <w:rsid w:val="004F660B"/>
    <w:rsid w:val="004F682B"/>
    <w:rsid w:val="004F68D8"/>
    <w:rsid w:val="004F6933"/>
    <w:rsid w:val="004F69F4"/>
    <w:rsid w:val="004F6C58"/>
    <w:rsid w:val="004F6D7D"/>
    <w:rsid w:val="004F6FC4"/>
    <w:rsid w:val="004F7390"/>
    <w:rsid w:val="004F78C6"/>
    <w:rsid w:val="004F7C11"/>
    <w:rsid w:val="004F7CB3"/>
    <w:rsid w:val="004F7DDC"/>
    <w:rsid w:val="0050000F"/>
    <w:rsid w:val="0050033B"/>
    <w:rsid w:val="0050041B"/>
    <w:rsid w:val="0050064B"/>
    <w:rsid w:val="0050088F"/>
    <w:rsid w:val="00500A62"/>
    <w:rsid w:val="00500DCA"/>
    <w:rsid w:val="00500EC0"/>
    <w:rsid w:val="0050110B"/>
    <w:rsid w:val="0050114C"/>
    <w:rsid w:val="0050128F"/>
    <w:rsid w:val="005014C6"/>
    <w:rsid w:val="00501692"/>
    <w:rsid w:val="00501850"/>
    <w:rsid w:val="0050197E"/>
    <w:rsid w:val="00501B42"/>
    <w:rsid w:val="00501CCA"/>
    <w:rsid w:val="00501D70"/>
    <w:rsid w:val="00501E31"/>
    <w:rsid w:val="00501F60"/>
    <w:rsid w:val="00501F80"/>
    <w:rsid w:val="0050208D"/>
    <w:rsid w:val="005025AC"/>
    <w:rsid w:val="005026E0"/>
    <w:rsid w:val="00502746"/>
    <w:rsid w:val="005028B5"/>
    <w:rsid w:val="005028EF"/>
    <w:rsid w:val="00502AC7"/>
    <w:rsid w:val="00502AF2"/>
    <w:rsid w:val="00502CB0"/>
    <w:rsid w:val="00502D70"/>
    <w:rsid w:val="0050314D"/>
    <w:rsid w:val="005032E4"/>
    <w:rsid w:val="0050332F"/>
    <w:rsid w:val="005033A1"/>
    <w:rsid w:val="00503535"/>
    <w:rsid w:val="00503744"/>
    <w:rsid w:val="0050377A"/>
    <w:rsid w:val="005037FA"/>
    <w:rsid w:val="00503938"/>
    <w:rsid w:val="00503A99"/>
    <w:rsid w:val="00503B52"/>
    <w:rsid w:val="00503B7F"/>
    <w:rsid w:val="00503C6D"/>
    <w:rsid w:val="00503CEB"/>
    <w:rsid w:val="005045AE"/>
    <w:rsid w:val="00504B94"/>
    <w:rsid w:val="00504B97"/>
    <w:rsid w:val="00504CEA"/>
    <w:rsid w:val="00504D2F"/>
    <w:rsid w:val="005050F7"/>
    <w:rsid w:val="00505193"/>
    <w:rsid w:val="005053F7"/>
    <w:rsid w:val="0050545C"/>
    <w:rsid w:val="005054E5"/>
    <w:rsid w:val="0050554A"/>
    <w:rsid w:val="005057A6"/>
    <w:rsid w:val="005057DC"/>
    <w:rsid w:val="00505886"/>
    <w:rsid w:val="00505C92"/>
    <w:rsid w:val="00505EE6"/>
    <w:rsid w:val="005060F4"/>
    <w:rsid w:val="00506119"/>
    <w:rsid w:val="005062D5"/>
    <w:rsid w:val="0050653F"/>
    <w:rsid w:val="00506786"/>
    <w:rsid w:val="00506A6A"/>
    <w:rsid w:val="00506B90"/>
    <w:rsid w:val="00506C75"/>
    <w:rsid w:val="00506CB1"/>
    <w:rsid w:val="00506D68"/>
    <w:rsid w:val="00506DD2"/>
    <w:rsid w:val="00506DDB"/>
    <w:rsid w:val="00506EBE"/>
    <w:rsid w:val="005070D8"/>
    <w:rsid w:val="0050718D"/>
    <w:rsid w:val="005071B9"/>
    <w:rsid w:val="005071E5"/>
    <w:rsid w:val="0050735A"/>
    <w:rsid w:val="005073B8"/>
    <w:rsid w:val="005077E3"/>
    <w:rsid w:val="005079F0"/>
    <w:rsid w:val="005079F3"/>
    <w:rsid w:val="00507BE6"/>
    <w:rsid w:val="00507E3E"/>
    <w:rsid w:val="00507EBE"/>
    <w:rsid w:val="0051006A"/>
    <w:rsid w:val="005107FD"/>
    <w:rsid w:val="00510DFE"/>
    <w:rsid w:val="005110AB"/>
    <w:rsid w:val="0051134D"/>
    <w:rsid w:val="00511481"/>
    <w:rsid w:val="005114CF"/>
    <w:rsid w:val="0051157C"/>
    <w:rsid w:val="005116E2"/>
    <w:rsid w:val="0051172E"/>
    <w:rsid w:val="00511878"/>
    <w:rsid w:val="00511A62"/>
    <w:rsid w:val="00511D4E"/>
    <w:rsid w:val="00511D86"/>
    <w:rsid w:val="00511FA4"/>
    <w:rsid w:val="0051228C"/>
    <w:rsid w:val="005122B6"/>
    <w:rsid w:val="0051232C"/>
    <w:rsid w:val="00512B30"/>
    <w:rsid w:val="00512B7C"/>
    <w:rsid w:val="00512E01"/>
    <w:rsid w:val="00512E44"/>
    <w:rsid w:val="00512EAC"/>
    <w:rsid w:val="00512EE2"/>
    <w:rsid w:val="00513042"/>
    <w:rsid w:val="005134C5"/>
    <w:rsid w:val="00513549"/>
    <w:rsid w:val="00513A12"/>
    <w:rsid w:val="00513ACF"/>
    <w:rsid w:val="00513F78"/>
    <w:rsid w:val="00513F9E"/>
    <w:rsid w:val="005140BC"/>
    <w:rsid w:val="0051438E"/>
    <w:rsid w:val="0051442A"/>
    <w:rsid w:val="00514486"/>
    <w:rsid w:val="00514557"/>
    <w:rsid w:val="0051472B"/>
    <w:rsid w:val="005147F8"/>
    <w:rsid w:val="00514CC1"/>
    <w:rsid w:val="00515267"/>
    <w:rsid w:val="005153C7"/>
    <w:rsid w:val="00515447"/>
    <w:rsid w:val="005154EE"/>
    <w:rsid w:val="00515659"/>
    <w:rsid w:val="00515AF8"/>
    <w:rsid w:val="00515CFC"/>
    <w:rsid w:val="005160BF"/>
    <w:rsid w:val="0051613C"/>
    <w:rsid w:val="005161DC"/>
    <w:rsid w:val="00516283"/>
    <w:rsid w:val="00516367"/>
    <w:rsid w:val="0051646C"/>
    <w:rsid w:val="0051648D"/>
    <w:rsid w:val="005169F1"/>
    <w:rsid w:val="00516B06"/>
    <w:rsid w:val="00516CE0"/>
    <w:rsid w:val="00516FA0"/>
    <w:rsid w:val="00516FE3"/>
    <w:rsid w:val="005171E5"/>
    <w:rsid w:val="0051742E"/>
    <w:rsid w:val="00517635"/>
    <w:rsid w:val="0051763B"/>
    <w:rsid w:val="00517711"/>
    <w:rsid w:val="00517E10"/>
    <w:rsid w:val="00520037"/>
    <w:rsid w:val="00520068"/>
    <w:rsid w:val="00520305"/>
    <w:rsid w:val="00520358"/>
    <w:rsid w:val="005203C7"/>
    <w:rsid w:val="0052054E"/>
    <w:rsid w:val="00520619"/>
    <w:rsid w:val="00520652"/>
    <w:rsid w:val="00520944"/>
    <w:rsid w:val="005209B5"/>
    <w:rsid w:val="00520AB4"/>
    <w:rsid w:val="00520AD7"/>
    <w:rsid w:val="00520B3B"/>
    <w:rsid w:val="00520D7D"/>
    <w:rsid w:val="00520E9E"/>
    <w:rsid w:val="00520F16"/>
    <w:rsid w:val="00520F1E"/>
    <w:rsid w:val="00521307"/>
    <w:rsid w:val="0052165D"/>
    <w:rsid w:val="005217AF"/>
    <w:rsid w:val="00521863"/>
    <w:rsid w:val="00521DE3"/>
    <w:rsid w:val="00521F33"/>
    <w:rsid w:val="00522063"/>
    <w:rsid w:val="005220EE"/>
    <w:rsid w:val="00522181"/>
    <w:rsid w:val="0052220E"/>
    <w:rsid w:val="00522331"/>
    <w:rsid w:val="0052250B"/>
    <w:rsid w:val="005227E2"/>
    <w:rsid w:val="00522919"/>
    <w:rsid w:val="00522CFA"/>
    <w:rsid w:val="00522F29"/>
    <w:rsid w:val="005231D0"/>
    <w:rsid w:val="0052337E"/>
    <w:rsid w:val="00523F62"/>
    <w:rsid w:val="00523FE4"/>
    <w:rsid w:val="00524128"/>
    <w:rsid w:val="00524290"/>
    <w:rsid w:val="005244F1"/>
    <w:rsid w:val="005246B0"/>
    <w:rsid w:val="005246B4"/>
    <w:rsid w:val="005248D3"/>
    <w:rsid w:val="00524D37"/>
    <w:rsid w:val="00524D85"/>
    <w:rsid w:val="00524EA4"/>
    <w:rsid w:val="00524FE4"/>
    <w:rsid w:val="0052500F"/>
    <w:rsid w:val="00525229"/>
    <w:rsid w:val="0052558E"/>
    <w:rsid w:val="005256C4"/>
    <w:rsid w:val="005256F7"/>
    <w:rsid w:val="00525AB2"/>
    <w:rsid w:val="00525C28"/>
    <w:rsid w:val="00526273"/>
    <w:rsid w:val="00526296"/>
    <w:rsid w:val="005263AC"/>
    <w:rsid w:val="0052640D"/>
    <w:rsid w:val="0052666F"/>
    <w:rsid w:val="005266C2"/>
    <w:rsid w:val="005268C2"/>
    <w:rsid w:val="0052691D"/>
    <w:rsid w:val="00526A12"/>
    <w:rsid w:val="00526CB7"/>
    <w:rsid w:val="00526E14"/>
    <w:rsid w:val="00526E73"/>
    <w:rsid w:val="0052735A"/>
    <w:rsid w:val="00527498"/>
    <w:rsid w:val="00527651"/>
    <w:rsid w:val="00527907"/>
    <w:rsid w:val="00527D9C"/>
    <w:rsid w:val="00527E61"/>
    <w:rsid w:val="00527F32"/>
    <w:rsid w:val="005300B5"/>
    <w:rsid w:val="00530120"/>
    <w:rsid w:val="0053021F"/>
    <w:rsid w:val="005303DD"/>
    <w:rsid w:val="005305D1"/>
    <w:rsid w:val="005306BE"/>
    <w:rsid w:val="00530895"/>
    <w:rsid w:val="0053094C"/>
    <w:rsid w:val="00530961"/>
    <w:rsid w:val="00530AC0"/>
    <w:rsid w:val="00530B1B"/>
    <w:rsid w:val="00530DEE"/>
    <w:rsid w:val="00530E3E"/>
    <w:rsid w:val="00530E66"/>
    <w:rsid w:val="00530F0D"/>
    <w:rsid w:val="00530F4D"/>
    <w:rsid w:val="00530FDE"/>
    <w:rsid w:val="00531320"/>
    <w:rsid w:val="00531431"/>
    <w:rsid w:val="00531889"/>
    <w:rsid w:val="005319FC"/>
    <w:rsid w:val="00531B3F"/>
    <w:rsid w:val="00531E02"/>
    <w:rsid w:val="00531FD9"/>
    <w:rsid w:val="0053210F"/>
    <w:rsid w:val="0053218D"/>
    <w:rsid w:val="005321F9"/>
    <w:rsid w:val="0053224D"/>
    <w:rsid w:val="00532431"/>
    <w:rsid w:val="0053246D"/>
    <w:rsid w:val="0053280C"/>
    <w:rsid w:val="0053284E"/>
    <w:rsid w:val="00532964"/>
    <w:rsid w:val="005329F4"/>
    <w:rsid w:val="00532A88"/>
    <w:rsid w:val="00532BA3"/>
    <w:rsid w:val="00532BF6"/>
    <w:rsid w:val="00532CD7"/>
    <w:rsid w:val="00532E4D"/>
    <w:rsid w:val="00533156"/>
    <w:rsid w:val="00533195"/>
    <w:rsid w:val="005334F4"/>
    <w:rsid w:val="00533606"/>
    <w:rsid w:val="00533690"/>
    <w:rsid w:val="00533837"/>
    <w:rsid w:val="00533A94"/>
    <w:rsid w:val="00533BF5"/>
    <w:rsid w:val="00533D93"/>
    <w:rsid w:val="00534031"/>
    <w:rsid w:val="00534337"/>
    <w:rsid w:val="00534383"/>
    <w:rsid w:val="00534650"/>
    <w:rsid w:val="005346D6"/>
    <w:rsid w:val="00534957"/>
    <w:rsid w:val="00534A76"/>
    <w:rsid w:val="00534AE3"/>
    <w:rsid w:val="005352E8"/>
    <w:rsid w:val="00535503"/>
    <w:rsid w:val="00535604"/>
    <w:rsid w:val="005356F5"/>
    <w:rsid w:val="00535772"/>
    <w:rsid w:val="005359C5"/>
    <w:rsid w:val="00535A19"/>
    <w:rsid w:val="00535A78"/>
    <w:rsid w:val="00535BB1"/>
    <w:rsid w:val="00535C9C"/>
    <w:rsid w:val="00536046"/>
    <w:rsid w:val="00536372"/>
    <w:rsid w:val="0053682C"/>
    <w:rsid w:val="00536866"/>
    <w:rsid w:val="0053689C"/>
    <w:rsid w:val="005368FA"/>
    <w:rsid w:val="0053695B"/>
    <w:rsid w:val="00536980"/>
    <w:rsid w:val="00536AF8"/>
    <w:rsid w:val="00536B5C"/>
    <w:rsid w:val="00536C12"/>
    <w:rsid w:val="00536C3B"/>
    <w:rsid w:val="0053741F"/>
    <w:rsid w:val="005375BF"/>
    <w:rsid w:val="005375D1"/>
    <w:rsid w:val="005376DD"/>
    <w:rsid w:val="005379FF"/>
    <w:rsid w:val="00537A28"/>
    <w:rsid w:val="005400A5"/>
    <w:rsid w:val="00540134"/>
    <w:rsid w:val="0054035B"/>
    <w:rsid w:val="00540445"/>
    <w:rsid w:val="00540961"/>
    <w:rsid w:val="00540E05"/>
    <w:rsid w:val="00541183"/>
    <w:rsid w:val="005412B0"/>
    <w:rsid w:val="00541495"/>
    <w:rsid w:val="00541661"/>
    <w:rsid w:val="00541CDD"/>
    <w:rsid w:val="00541D5B"/>
    <w:rsid w:val="00541F9A"/>
    <w:rsid w:val="00542080"/>
    <w:rsid w:val="005420CD"/>
    <w:rsid w:val="0054259B"/>
    <w:rsid w:val="00542613"/>
    <w:rsid w:val="00542756"/>
    <w:rsid w:val="0054289F"/>
    <w:rsid w:val="00542A46"/>
    <w:rsid w:val="00542AD3"/>
    <w:rsid w:val="00542CAA"/>
    <w:rsid w:val="0054307A"/>
    <w:rsid w:val="0054316F"/>
    <w:rsid w:val="005431E5"/>
    <w:rsid w:val="005431FA"/>
    <w:rsid w:val="00543266"/>
    <w:rsid w:val="005433E6"/>
    <w:rsid w:val="00543504"/>
    <w:rsid w:val="005436B4"/>
    <w:rsid w:val="005438A4"/>
    <w:rsid w:val="005438DF"/>
    <w:rsid w:val="00543BAF"/>
    <w:rsid w:val="00543BB1"/>
    <w:rsid w:val="00543CB0"/>
    <w:rsid w:val="00543EF7"/>
    <w:rsid w:val="005441E1"/>
    <w:rsid w:val="00544243"/>
    <w:rsid w:val="00544327"/>
    <w:rsid w:val="00544470"/>
    <w:rsid w:val="005444AA"/>
    <w:rsid w:val="005444AC"/>
    <w:rsid w:val="00544756"/>
    <w:rsid w:val="00544C32"/>
    <w:rsid w:val="00544C86"/>
    <w:rsid w:val="00544D76"/>
    <w:rsid w:val="00545299"/>
    <w:rsid w:val="0054565D"/>
    <w:rsid w:val="00545761"/>
    <w:rsid w:val="005457D5"/>
    <w:rsid w:val="00545847"/>
    <w:rsid w:val="00545A25"/>
    <w:rsid w:val="00545AD8"/>
    <w:rsid w:val="00545D45"/>
    <w:rsid w:val="00545D88"/>
    <w:rsid w:val="00545DA2"/>
    <w:rsid w:val="00545E3C"/>
    <w:rsid w:val="00545E65"/>
    <w:rsid w:val="00545F7E"/>
    <w:rsid w:val="00546157"/>
    <w:rsid w:val="005461D4"/>
    <w:rsid w:val="00546201"/>
    <w:rsid w:val="0054641B"/>
    <w:rsid w:val="005467BD"/>
    <w:rsid w:val="00546808"/>
    <w:rsid w:val="005468CF"/>
    <w:rsid w:val="00546A29"/>
    <w:rsid w:val="00546C89"/>
    <w:rsid w:val="00546CB5"/>
    <w:rsid w:val="00546DB5"/>
    <w:rsid w:val="00546E10"/>
    <w:rsid w:val="00546E73"/>
    <w:rsid w:val="005473AB"/>
    <w:rsid w:val="005473EB"/>
    <w:rsid w:val="00547448"/>
    <w:rsid w:val="005474AF"/>
    <w:rsid w:val="005476BE"/>
    <w:rsid w:val="0054779C"/>
    <w:rsid w:val="00547847"/>
    <w:rsid w:val="00547896"/>
    <w:rsid w:val="00547928"/>
    <w:rsid w:val="00547973"/>
    <w:rsid w:val="005479E4"/>
    <w:rsid w:val="0055006B"/>
    <w:rsid w:val="00550074"/>
    <w:rsid w:val="00550195"/>
    <w:rsid w:val="005501A2"/>
    <w:rsid w:val="005505F9"/>
    <w:rsid w:val="00550789"/>
    <w:rsid w:val="00550CC0"/>
    <w:rsid w:val="00551080"/>
    <w:rsid w:val="005510A4"/>
    <w:rsid w:val="00551265"/>
    <w:rsid w:val="005512CD"/>
    <w:rsid w:val="00551370"/>
    <w:rsid w:val="005513D3"/>
    <w:rsid w:val="0055170B"/>
    <w:rsid w:val="00551938"/>
    <w:rsid w:val="00551A97"/>
    <w:rsid w:val="00551D3F"/>
    <w:rsid w:val="00551D6B"/>
    <w:rsid w:val="00551DB2"/>
    <w:rsid w:val="00551DBF"/>
    <w:rsid w:val="00551E7B"/>
    <w:rsid w:val="00551EE8"/>
    <w:rsid w:val="0055258D"/>
    <w:rsid w:val="00553595"/>
    <w:rsid w:val="005539D5"/>
    <w:rsid w:val="00553B84"/>
    <w:rsid w:val="00553CA1"/>
    <w:rsid w:val="0055404E"/>
    <w:rsid w:val="0055410D"/>
    <w:rsid w:val="005543DD"/>
    <w:rsid w:val="00554924"/>
    <w:rsid w:val="005549DA"/>
    <w:rsid w:val="00554A26"/>
    <w:rsid w:val="00554A98"/>
    <w:rsid w:val="00554C11"/>
    <w:rsid w:val="00554CD0"/>
    <w:rsid w:val="00554E2D"/>
    <w:rsid w:val="0055500A"/>
    <w:rsid w:val="0055529E"/>
    <w:rsid w:val="0055551B"/>
    <w:rsid w:val="00555546"/>
    <w:rsid w:val="0055555F"/>
    <w:rsid w:val="00555647"/>
    <w:rsid w:val="005557A7"/>
    <w:rsid w:val="00555839"/>
    <w:rsid w:val="0055599A"/>
    <w:rsid w:val="00555AD8"/>
    <w:rsid w:val="00555E19"/>
    <w:rsid w:val="00555E2B"/>
    <w:rsid w:val="00555EE5"/>
    <w:rsid w:val="00555FBA"/>
    <w:rsid w:val="005560F5"/>
    <w:rsid w:val="0055647D"/>
    <w:rsid w:val="0055663C"/>
    <w:rsid w:val="00556845"/>
    <w:rsid w:val="005569CE"/>
    <w:rsid w:val="00556A06"/>
    <w:rsid w:val="00556E18"/>
    <w:rsid w:val="00557014"/>
    <w:rsid w:val="005573CF"/>
    <w:rsid w:val="00557413"/>
    <w:rsid w:val="005574BA"/>
    <w:rsid w:val="00557564"/>
    <w:rsid w:val="005575A8"/>
    <w:rsid w:val="005578DA"/>
    <w:rsid w:val="00557A2D"/>
    <w:rsid w:val="00557BD6"/>
    <w:rsid w:val="00557CF7"/>
    <w:rsid w:val="00557D0B"/>
    <w:rsid w:val="00557E6E"/>
    <w:rsid w:val="005604E6"/>
    <w:rsid w:val="005608FF"/>
    <w:rsid w:val="00560ABC"/>
    <w:rsid w:val="00560B24"/>
    <w:rsid w:val="00560B7E"/>
    <w:rsid w:val="00560CC3"/>
    <w:rsid w:val="00560EA4"/>
    <w:rsid w:val="005611A9"/>
    <w:rsid w:val="005613FA"/>
    <w:rsid w:val="00561557"/>
    <w:rsid w:val="005616FD"/>
    <w:rsid w:val="00561729"/>
    <w:rsid w:val="0056173A"/>
    <w:rsid w:val="00561741"/>
    <w:rsid w:val="00561787"/>
    <w:rsid w:val="00561857"/>
    <w:rsid w:val="00561879"/>
    <w:rsid w:val="00561BBC"/>
    <w:rsid w:val="00562100"/>
    <w:rsid w:val="0056231F"/>
    <w:rsid w:val="0056238F"/>
    <w:rsid w:val="0056246B"/>
    <w:rsid w:val="0056249A"/>
    <w:rsid w:val="005624BE"/>
    <w:rsid w:val="00562950"/>
    <w:rsid w:val="00562971"/>
    <w:rsid w:val="00562AC9"/>
    <w:rsid w:val="00562BA3"/>
    <w:rsid w:val="00562BF6"/>
    <w:rsid w:val="00562DB0"/>
    <w:rsid w:val="00563173"/>
    <w:rsid w:val="005631C6"/>
    <w:rsid w:val="005632BF"/>
    <w:rsid w:val="00563341"/>
    <w:rsid w:val="00563540"/>
    <w:rsid w:val="005635DB"/>
    <w:rsid w:val="005635FA"/>
    <w:rsid w:val="005636A8"/>
    <w:rsid w:val="00563AD8"/>
    <w:rsid w:val="00563BA7"/>
    <w:rsid w:val="00563D24"/>
    <w:rsid w:val="00563D5A"/>
    <w:rsid w:val="00563FA3"/>
    <w:rsid w:val="0056433C"/>
    <w:rsid w:val="00564516"/>
    <w:rsid w:val="0056454A"/>
    <w:rsid w:val="00564595"/>
    <w:rsid w:val="00564BE8"/>
    <w:rsid w:val="00564C55"/>
    <w:rsid w:val="00564D4A"/>
    <w:rsid w:val="00564EB8"/>
    <w:rsid w:val="00564ECC"/>
    <w:rsid w:val="00564F6C"/>
    <w:rsid w:val="00565117"/>
    <w:rsid w:val="00565217"/>
    <w:rsid w:val="0056534D"/>
    <w:rsid w:val="005656DA"/>
    <w:rsid w:val="0056586B"/>
    <w:rsid w:val="0056592D"/>
    <w:rsid w:val="00565C82"/>
    <w:rsid w:val="00565E33"/>
    <w:rsid w:val="00565E55"/>
    <w:rsid w:val="00565EEF"/>
    <w:rsid w:val="0056651B"/>
    <w:rsid w:val="0056662B"/>
    <w:rsid w:val="00566675"/>
    <w:rsid w:val="0056684B"/>
    <w:rsid w:val="0056694C"/>
    <w:rsid w:val="00566991"/>
    <w:rsid w:val="005669D1"/>
    <w:rsid w:val="00566E20"/>
    <w:rsid w:val="005672F1"/>
    <w:rsid w:val="0056755D"/>
    <w:rsid w:val="005675F4"/>
    <w:rsid w:val="00567A60"/>
    <w:rsid w:val="00567AFD"/>
    <w:rsid w:val="00567B86"/>
    <w:rsid w:val="00567B8F"/>
    <w:rsid w:val="00567BA9"/>
    <w:rsid w:val="00567BEC"/>
    <w:rsid w:val="00567CAC"/>
    <w:rsid w:val="00567D20"/>
    <w:rsid w:val="005704D6"/>
    <w:rsid w:val="00570535"/>
    <w:rsid w:val="00570956"/>
    <w:rsid w:val="00570D6D"/>
    <w:rsid w:val="00570E5B"/>
    <w:rsid w:val="00570EF5"/>
    <w:rsid w:val="00570F49"/>
    <w:rsid w:val="00571016"/>
    <w:rsid w:val="005719C2"/>
    <w:rsid w:val="00571A20"/>
    <w:rsid w:val="00571A28"/>
    <w:rsid w:val="00571A2E"/>
    <w:rsid w:val="00571A5E"/>
    <w:rsid w:val="00571D16"/>
    <w:rsid w:val="00571EA6"/>
    <w:rsid w:val="00571EBC"/>
    <w:rsid w:val="00572144"/>
    <w:rsid w:val="00572427"/>
    <w:rsid w:val="00572504"/>
    <w:rsid w:val="005728ED"/>
    <w:rsid w:val="00572908"/>
    <w:rsid w:val="00572967"/>
    <w:rsid w:val="00572A54"/>
    <w:rsid w:val="00572C4C"/>
    <w:rsid w:val="0057333B"/>
    <w:rsid w:val="00573416"/>
    <w:rsid w:val="005734C5"/>
    <w:rsid w:val="0057371B"/>
    <w:rsid w:val="00573AB3"/>
    <w:rsid w:val="00573B5D"/>
    <w:rsid w:val="00573BE3"/>
    <w:rsid w:val="00573DFF"/>
    <w:rsid w:val="00573EBE"/>
    <w:rsid w:val="0057400B"/>
    <w:rsid w:val="0057423A"/>
    <w:rsid w:val="00574298"/>
    <w:rsid w:val="005743CF"/>
    <w:rsid w:val="005743D8"/>
    <w:rsid w:val="00574512"/>
    <w:rsid w:val="005748DC"/>
    <w:rsid w:val="00574AA7"/>
    <w:rsid w:val="00574B8D"/>
    <w:rsid w:val="00574C2E"/>
    <w:rsid w:val="00574F08"/>
    <w:rsid w:val="00574F0C"/>
    <w:rsid w:val="005750D4"/>
    <w:rsid w:val="00575266"/>
    <w:rsid w:val="00575278"/>
    <w:rsid w:val="00575393"/>
    <w:rsid w:val="00575549"/>
    <w:rsid w:val="0057578E"/>
    <w:rsid w:val="00575819"/>
    <w:rsid w:val="00575895"/>
    <w:rsid w:val="00575A82"/>
    <w:rsid w:val="00575F06"/>
    <w:rsid w:val="0057607C"/>
    <w:rsid w:val="00576278"/>
    <w:rsid w:val="0057628D"/>
    <w:rsid w:val="005765AD"/>
    <w:rsid w:val="00576840"/>
    <w:rsid w:val="00576A42"/>
    <w:rsid w:val="00576DE0"/>
    <w:rsid w:val="00577066"/>
    <w:rsid w:val="0057714E"/>
    <w:rsid w:val="005772FB"/>
    <w:rsid w:val="005778D9"/>
    <w:rsid w:val="00577A7B"/>
    <w:rsid w:val="00577B46"/>
    <w:rsid w:val="00577CD3"/>
    <w:rsid w:val="00577E55"/>
    <w:rsid w:val="00577F31"/>
    <w:rsid w:val="00580231"/>
    <w:rsid w:val="00580379"/>
    <w:rsid w:val="005803AF"/>
    <w:rsid w:val="0058046B"/>
    <w:rsid w:val="00580818"/>
    <w:rsid w:val="00580A5E"/>
    <w:rsid w:val="00580DD1"/>
    <w:rsid w:val="00580E76"/>
    <w:rsid w:val="005810D4"/>
    <w:rsid w:val="005814B9"/>
    <w:rsid w:val="00581589"/>
    <w:rsid w:val="005818CC"/>
    <w:rsid w:val="00581B66"/>
    <w:rsid w:val="00581B7A"/>
    <w:rsid w:val="00581BB9"/>
    <w:rsid w:val="00581C14"/>
    <w:rsid w:val="00581DA9"/>
    <w:rsid w:val="0058211A"/>
    <w:rsid w:val="0058247A"/>
    <w:rsid w:val="0058247C"/>
    <w:rsid w:val="0058247E"/>
    <w:rsid w:val="00582547"/>
    <w:rsid w:val="0058267C"/>
    <w:rsid w:val="00582762"/>
    <w:rsid w:val="00582ADF"/>
    <w:rsid w:val="00582B20"/>
    <w:rsid w:val="00582C98"/>
    <w:rsid w:val="00582FA3"/>
    <w:rsid w:val="005830FB"/>
    <w:rsid w:val="00583493"/>
    <w:rsid w:val="00583749"/>
    <w:rsid w:val="00583D2F"/>
    <w:rsid w:val="00584032"/>
    <w:rsid w:val="00584228"/>
    <w:rsid w:val="0058452C"/>
    <w:rsid w:val="005850D0"/>
    <w:rsid w:val="005851C1"/>
    <w:rsid w:val="0058540B"/>
    <w:rsid w:val="00585428"/>
    <w:rsid w:val="00585849"/>
    <w:rsid w:val="005858D5"/>
    <w:rsid w:val="00585AC8"/>
    <w:rsid w:val="00585B38"/>
    <w:rsid w:val="00585B88"/>
    <w:rsid w:val="00585C29"/>
    <w:rsid w:val="00585D28"/>
    <w:rsid w:val="00585D97"/>
    <w:rsid w:val="00585EE3"/>
    <w:rsid w:val="005863DC"/>
    <w:rsid w:val="0058641C"/>
    <w:rsid w:val="0058645B"/>
    <w:rsid w:val="005865B3"/>
    <w:rsid w:val="005867A1"/>
    <w:rsid w:val="005867CB"/>
    <w:rsid w:val="00586959"/>
    <w:rsid w:val="0058696C"/>
    <w:rsid w:val="00586983"/>
    <w:rsid w:val="005871F0"/>
    <w:rsid w:val="005873D6"/>
    <w:rsid w:val="005874D9"/>
    <w:rsid w:val="005877F4"/>
    <w:rsid w:val="00587B77"/>
    <w:rsid w:val="00587BD4"/>
    <w:rsid w:val="00587F13"/>
    <w:rsid w:val="00587F1D"/>
    <w:rsid w:val="00590235"/>
    <w:rsid w:val="005903C8"/>
    <w:rsid w:val="00590669"/>
    <w:rsid w:val="00590D49"/>
    <w:rsid w:val="00590F69"/>
    <w:rsid w:val="00590FEA"/>
    <w:rsid w:val="005910D1"/>
    <w:rsid w:val="0059143C"/>
    <w:rsid w:val="00591612"/>
    <w:rsid w:val="00591CAE"/>
    <w:rsid w:val="00592622"/>
    <w:rsid w:val="00592932"/>
    <w:rsid w:val="00592AF4"/>
    <w:rsid w:val="00592BD3"/>
    <w:rsid w:val="00592E71"/>
    <w:rsid w:val="00593367"/>
    <w:rsid w:val="005934EF"/>
    <w:rsid w:val="00593667"/>
    <w:rsid w:val="00593992"/>
    <w:rsid w:val="00593D1F"/>
    <w:rsid w:val="00593FFD"/>
    <w:rsid w:val="00594068"/>
    <w:rsid w:val="005943AB"/>
    <w:rsid w:val="005944CE"/>
    <w:rsid w:val="005945B1"/>
    <w:rsid w:val="0059495B"/>
    <w:rsid w:val="00594A9F"/>
    <w:rsid w:val="00594BF3"/>
    <w:rsid w:val="00594CA5"/>
    <w:rsid w:val="00594E41"/>
    <w:rsid w:val="00594F8D"/>
    <w:rsid w:val="00595092"/>
    <w:rsid w:val="00595257"/>
    <w:rsid w:val="005952D4"/>
    <w:rsid w:val="005955A4"/>
    <w:rsid w:val="005957A3"/>
    <w:rsid w:val="005958B0"/>
    <w:rsid w:val="00595AB5"/>
    <w:rsid w:val="00595C48"/>
    <w:rsid w:val="00595C9B"/>
    <w:rsid w:val="00596045"/>
    <w:rsid w:val="00596328"/>
    <w:rsid w:val="00596A11"/>
    <w:rsid w:val="00596B4C"/>
    <w:rsid w:val="00596BA5"/>
    <w:rsid w:val="00596C4C"/>
    <w:rsid w:val="00596C7D"/>
    <w:rsid w:val="00596E65"/>
    <w:rsid w:val="005970B8"/>
    <w:rsid w:val="00597234"/>
    <w:rsid w:val="005975A9"/>
    <w:rsid w:val="005975B6"/>
    <w:rsid w:val="005978EE"/>
    <w:rsid w:val="00597AD0"/>
    <w:rsid w:val="00597B10"/>
    <w:rsid w:val="00597B34"/>
    <w:rsid w:val="00597C49"/>
    <w:rsid w:val="00597F25"/>
    <w:rsid w:val="00597F73"/>
    <w:rsid w:val="005A0167"/>
    <w:rsid w:val="005A034A"/>
    <w:rsid w:val="005A0365"/>
    <w:rsid w:val="005A03EC"/>
    <w:rsid w:val="005A044D"/>
    <w:rsid w:val="005A0557"/>
    <w:rsid w:val="005A05F3"/>
    <w:rsid w:val="005A06F9"/>
    <w:rsid w:val="005A081C"/>
    <w:rsid w:val="005A083E"/>
    <w:rsid w:val="005A0A19"/>
    <w:rsid w:val="005A0B3D"/>
    <w:rsid w:val="005A0DFE"/>
    <w:rsid w:val="005A0F15"/>
    <w:rsid w:val="005A1106"/>
    <w:rsid w:val="005A1255"/>
    <w:rsid w:val="005A1443"/>
    <w:rsid w:val="005A1F74"/>
    <w:rsid w:val="005A2072"/>
    <w:rsid w:val="005A209B"/>
    <w:rsid w:val="005A20E3"/>
    <w:rsid w:val="005A259F"/>
    <w:rsid w:val="005A274B"/>
    <w:rsid w:val="005A2761"/>
    <w:rsid w:val="005A2FAC"/>
    <w:rsid w:val="005A3080"/>
    <w:rsid w:val="005A309B"/>
    <w:rsid w:val="005A343B"/>
    <w:rsid w:val="005A3503"/>
    <w:rsid w:val="005A35D4"/>
    <w:rsid w:val="005A39AC"/>
    <w:rsid w:val="005A3B59"/>
    <w:rsid w:val="005A3E3B"/>
    <w:rsid w:val="005A3EA4"/>
    <w:rsid w:val="005A3F49"/>
    <w:rsid w:val="005A40E6"/>
    <w:rsid w:val="005A42EF"/>
    <w:rsid w:val="005A43A2"/>
    <w:rsid w:val="005A4642"/>
    <w:rsid w:val="005A46A9"/>
    <w:rsid w:val="005A4747"/>
    <w:rsid w:val="005A4B7E"/>
    <w:rsid w:val="005A4BC5"/>
    <w:rsid w:val="005A4E78"/>
    <w:rsid w:val="005A4FF4"/>
    <w:rsid w:val="005A523E"/>
    <w:rsid w:val="005A523F"/>
    <w:rsid w:val="005A528F"/>
    <w:rsid w:val="005A53F8"/>
    <w:rsid w:val="005A5449"/>
    <w:rsid w:val="005A55AB"/>
    <w:rsid w:val="005A55EE"/>
    <w:rsid w:val="005A5609"/>
    <w:rsid w:val="005A5D3F"/>
    <w:rsid w:val="005A5FF6"/>
    <w:rsid w:val="005A6052"/>
    <w:rsid w:val="005A6074"/>
    <w:rsid w:val="005A6098"/>
    <w:rsid w:val="005A6378"/>
    <w:rsid w:val="005A663C"/>
    <w:rsid w:val="005A67CC"/>
    <w:rsid w:val="005A68C1"/>
    <w:rsid w:val="005A6A1C"/>
    <w:rsid w:val="005A6B97"/>
    <w:rsid w:val="005A6DEB"/>
    <w:rsid w:val="005A7B22"/>
    <w:rsid w:val="005B0006"/>
    <w:rsid w:val="005B0269"/>
    <w:rsid w:val="005B04C8"/>
    <w:rsid w:val="005B0593"/>
    <w:rsid w:val="005B0667"/>
    <w:rsid w:val="005B076C"/>
    <w:rsid w:val="005B0803"/>
    <w:rsid w:val="005B0A27"/>
    <w:rsid w:val="005B0C29"/>
    <w:rsid w:val="005B0F0B"/>
    <w:rsid w:val="005B1104"/>
    <w:rsid w:val="005B12F1"/>
    <w:rsid w:val="005B13C5"/>
    <w:rsid w:val="005B1611"/>
    <w:rsid w:val="005B1689"/>
    <w:rsid w:val="005B195D"/>
    <w:rsid w:val="005B19A2"/>
    <w:rsid w:val="005B1A78"/>
    <w:rsid w:val="005B1B3F"/>
    <w:rsid w:val="005B1D05"/>
    <w:rsid w:val="005B209A"/>
    <w:rsid w:val="005B21B5"/>
    <w:rsid w:val="005B287A"/>
    <w:rsid w:val="005B28A2"/>
    <w:rsid w:val="005B294E"/>
    <w:rsid w:val="005B2B0D"/>
    <w:rsid w:val="005B339D"/>
    <w:rsid w:val="005B342E"/>
    <w:rsid w:val="005B36A9"/>
    <w:rsid w:val="005B37A4"/>
    <w:rsid w:val="005B38C9"/>
    <w:rsid w:val="005B39BD"/>
    <w:rsid w:val="005B3A12"/>
    <w:rsid w:val="005B3B29"/>
    <w:rsid w:val="005B40FC"/>
    <w:rsid w:val="005B4207"/>
    <w:rsid w:val="005B4234"/>
    <w:rsid w:val="005B42A5"/>
    <w:rsid w:val="005B4587"/>
    <w:rsid w:val="005B4B61"/>
    <w:rsid w:val="005B4C6B"/>
    <w:rsid w:val="005B4F14"/>
    <w:rsid w:val="005B4F37"/>
    <w:rsid w:val="005B5133"/>
    <w:rsid w:val="005B542D"/>
    <w:rsid w:val="005B577C"/>
    <w:rsid w:val="005B5813"/>
    <w:rsid w:val="005B60A8"/>
    <w:rsid w:val="005B63CA"/>
    <w:rsid w:val="005B63DC"/>
    <w:rsid w:val="005B671F"/>
    <w:rsid w:val="005B67DD"/>
    <w:rsid w:val="005B6836"/>
    <w:rsid w:val="005B687B"/>
    <w:rsid w:val="005B6AD1"/>
    <w:rsid w:val="005B6DFD"/>
    <w:rsid w:val="005B6E3C"/>
    <w:rsid w:val="005B6F2F"/>
    <w:rsid w:val="005B6F7B"/>
    <w:rsid w:val="005B7300"/>
    <w:rsid w:val="005B73C6"/>
    <w:rsid w:val="005B755E"/>
    <w:rsid w:val="005B763F"/>
    <w:rsid w:val="005B7799"/>
    <w:rsid w:val="005B77B3"/>
    <w:rsid w:val="005B7A71"/>
    <w:rsid w:val="005B7BB1"/>
    <w:rsid w:val="005C0180"/>
    <w:rsid w:val="005C0205"/>
    <w:rsid w:val="005C02BF"/>
    <w:rsid w:val="005C0402"/>
    <w:rsid w:val="005C0531"/>
    <w:rsid w:val="005C064A"/>
    <w:rsid w:val="005C073C"/>
    <w:rsid w:val="005C0966"/>
    <w:rsid w:val="005C0A1B"/>
    <w:rsid w:val="005C0AE5"/>
    <w:rsid w:val="005C0C8C"/>
    <w:rsid w:val="005C10F8"/>
    <w:rsid w:val="005C1184"/>
    <w:rsid w:val="005C154D"/>
    <w:rsid w:val="005C1581"/>
    <w:rsid w:val="005C1616"/>
    <w:rsid w:val="005C1669"/>
    <w:rsid w:val="005C182B"/>
    <w:rsid w:val="005C1B56"/>
    <w:rsid w:val="005C1F0A"/>
    <w:rsid w:val="005C1F50"/>
    <w:rsid w:val="005C2108"/>
    <w:rsid w:val="005C2359"/>
    <w:rsid w:val="005C2709"/>
    <w:rsid w:val="005C272D"/>
    <w:rsid w:val="005C2789"/>
    <w:rsid w:val="005C27FB"/>
    <w:rsid w:val="005C281C"/>
    <w:rsid w:val="005C29CF"/>
    <w:rsid w:val="005C2D4A"/>
    <w:rsid w:val="005C3227"/>
    <w:rsid w:val="005C3278"/>
    <w:rsid w:val="005C35E8"/>
    <w:rsid w:val="005C38B4"/>
    <w:rsid w:val="005C3959"/>
    <w:rsid w:val="005C3DB1"/>
    <w:rsid w:val="005C3F6A"/>
    <w:rsid w:val="005C404E"/>
    <w:rsid w:val="005C419E"/>
    <w:rsid w:val="005C449F"/>
    <w:rsid w:val="005C45F2"/>
    <w:rsid w:val="005C4718"/>
    <w:rsid w:val="005C4880"/>
    <w:rsid w:val="005C49AA"/>
    <w:rsid w:val="005C4B93"/>
    <w:rsid w:val="005C4DB9"/>
    <w:rsid w:val="005C4EF8"/>
    <w:rsid w:val="005C5118"/>
    <w:rsid w:val="005C5209"/>
    <w:rsid w:val="005C52B0"/>
    <w:rsid w:val="005C54AE"/>
    <w:rsid w:val="005C5652"/>
    <w:rsid w:val="005C584D"/>
    <w:rsid w:val="005C5959"/>
    <w:rsid w:val="005C5A35"/>
    <w:rsid w:val="005C5B36"/>
    <w:rsid w:val="005C5D3E"/>
    <w:rsid w:val="005C61E1"/>
    <w:rsid w:val="005C6288"/>
    <w:rsid w:val="005C62A3"/>
    <w:rsid w:val="005C6374"/>
    <w:rsid w:val="005C6390"/>
    <w:rsid w:val="005C64A4"/>
    <w:rsid w:val="005C64A8"/>
    <w:rsid w:val="005C6579"/>
    <w:rsid w:val="005C69E3"/>
    <w:rsid w:val="005C6BA9"/>
    <w:rsid w:val="005C6C15"/>
    <w:rsid w:val="005C6DD1"/>
    <w:rsid w:val="005C6E04"/>
    <w:rsid w:val="005C6E3E"/>
    <w:rsid w:val="005C7127"/>
    <w:rsid w:val="005C71B7"/>
    <w:rsid w:val="005C7462"/>
    <w:rsid w:val="005C7725"/>
    <w:rsid w:val="005C792F"/>
    <w:rsid w:val="005C7C69"/>
    <w:rsid w:val="005C7E47"/>
    <w:rsid w:val="005C7F59"/>
    <w:rsid w:val="005D0278"/>
    <w:rsid w:val="005D02D5"/>
    <w:rsid w:val="005D0342"/>
    <w:rsid w:val="005D039D"/>
    <w:rsid w:val="005D03DF"/>
    <w:rsid w:val="005D0610"/>
    <w:rsid w:val="005D06CB"/>
    <w:rsid w:val="005D0861"/>
    <w:rsid w:val="005D0A72"/>
    <w:rsid w:val="005D0EFA"/>
    <w:rsid w:val="005D14AC"/>
    <w:rsid w:val="005D175F"/>
    <w:rsid w:val="005D1890"/>
    <w:rsid w:val="005D18A5"/>
    <w:rsid w:val="005D190A"/>
    <w:rsid w:val="005D1952"/>
    <w:rsid w:val="005D1A8E"/>
    <w:rsid w:val="005D1BF7"/>
    <w:rsid w:val="005D1C22"/>
    <w:rsid w:val="005D1C24"/>
    <w:rsid w:val="005D1C9D"/>
    <w:rsid w:val="005D1D68"/>
    <w:rsid w:val="005D1E81"/>
    <w:rsid w:val="005D22E9"/>
    <w:rsid w:val="005D239D"/>
    <w:rsid w:val="005D23FF"/>
    <w:rsid w:val="005D2445"/>
    <w:rsid w:val="005D25C2"/>
    <w:rsid w:val="005D279E"/>
    <w:rsid w:val="005D2933"/>
    <w:rsid w:val="005D2A68"/>
    <w:rsid w:val="005D2C91"/>
    <w:rsid w:val="005D2D22"/>
    <w:rsid w:val="005D2DD1"/>
    <w:rsid w:val="005D2EB7"/>
    <w:rsid w:val="005D3017"/>
    <w:rsid w:val="005D31E3"/>
    <w:rsid w:val="005D3558"/>
    <w:rsid w:val="005D36A2"/>
    <w:rsid w:val="005D3781"/>
    <w:rsid w:val="005D3AA2"/>
    <w:rsid w:val="005D3AB1"/>
    <w:rsid w:val="005D3C83"/>
    <w:rsid w:val="005D3CD3"/>
    <w:rsid w:val="005D3E1C"/>
    <w:rsid w:val="005D3FAF"/>
    <w:rsid w:val="005D411C"/>
    <w:rsid w:val="005D42DB"/>
    <w:rsid w:val="005D44E8"/>
    <w:rsid w:val="005D44E9"/>
    <w:rsid w:val="005D4994"/>
    <w:rsid w:val="005D4A64"/>
    <w:rsid w:val="005D4C45"/>
    <w:rsid w:val="005D4E7D"/>
    <w:rsid w:val="005D4FAC"/>
    <w:rsid w:val="005D50CD"/>
    <w:rsid w:val="005D510A"/>
    <w:rsid w:val="005D53C2"/>
    <w:rsid w:val="005D55A2"/>
    <w:rsid w:val="005D569B"/>
    <w:rsid w:val="005D57BC"/>
    <w:rsid w:val="005D5825"/>
    <w:rsid w:val="005D5BCA"/>
    <w:rsid w:val="005D5C36"/>
    <w:rsid w:val="005D5C7C"/>
    <w:rsid w:val="005D5D31"/>
    <w:rsid w:val="005D5D96"/>
    <w:rsid w:val="005D600E"/>
    <w:rsid w:val="005D6210"/>
    <w:rsid w:val="005D6268"/>
    <w:rsid w:val="005D6497"/>
    <w:rsid w:val="005D654E"/>
    <w:rsid w:val="005D676C"/>
    <w:rsid w:val="005D686F"/>
    <w:rsid w:val="005D6908"/>
    <w:rsid w:val="005D6980"/>
    <w:rsid w:val="005D6A7B"/>
    <w:rsid w:val="005D6B00"/>
    <w:rsid w:val="005D6EEA"/>
    <w:rsid w:val="005D7070"/>
    <w:rsid w:val="005D7161"/>
    <w:rsid w:val="005D74DB"/>
    <w:rsid w:val="005D7598"/>
    <w:rsid w:val="005D792E"/>
    <w:rsid w:val="005D7963"/>
    <w:rsid w:val="005D7B62"/>
    <w:rsid w:val="005D7CBE"/>
    <w:rsid w:val="005D7EEF"/>
    <w:rsid w:val="005E0114"/>
    <w:rsid w:val="005E02EF"/>
    <w:rsid w:val="005E043A"/>
    <w:rsid w:val="005E05C8"/>
    <w:rsid w:val="005E064F"/>
    <w:rsid w:val="005E0804"/>
    <w:rsid w:val="005E09AB"/>
    <w:rsid w:val="005E0C91"/>
    <w:rsid w:val="005E0E14"/>
    <w:rsid w:val="005E0F55"/>
    <w:rsid w:val="005E0F57"/>
    <w:rsid w:val="005E10DB"/>
    <w:rsid w:val="005E138A"/>
    <w:rsid w:val="005E1565"/>
    <w:rsid w:val="005E16AD"/>
    <w:rsid w:val="005E1726"/>
    <w:rsid w:val="005E17B9"/>
    <w:rsid w:val="005E1CFC"/>
    <w:rsid w:val="005E1E55"/>
    <w:rsid w:val="005E1E5B"/>
    <w:rsid w:val="005E201E"/>
    <w:rsid w:val="005E22D1"/>
    <w:rsid w:val="005E2415"/>
    <w:rsid w:val="005E2473"/>
    <w:rsid w:val="005E25A3"/>
    <w:rsid w:val="005E282F"/>
    <w:rsid w:val="005E2A78"/>
    <w:rsid w:val="005E2BAA"/>
    <w:rsid w:val="005E2D5F"/>
    <w:rsid w:val="005E2E03"/>
    <w:rsid w:val="005E2E70"/>
    <w:rsid w:val="005E2EE5"/>
    <w:rsid w:val="005E3012"/>
    <w:rsid w:val="005E3413"/>
    <w:rsid w:val="005E356E"/>
    <w:rsid w:val="005E35FB"/>
    <w:rsid w:val="005E36A1"/>
    <w:rsid w:val="005E3B61"/>
    <w:rsid w:val="005E3BB1"/>
    <w:rsid w:val="005E3CE9"/>
    <w:rsid w:val="005E4018"/>
    <w:rsid w:val="005E433E"/>
    <w:rsid w:val="005E434D"/>
    <w:rsid w:val="005E4655"/>
    <w:rsid w:val="005E4701"/>
    <w:rsid w:val="005E495C"/>
    <w:rsid w:val="005E4DA5"/>
    <w:rsid w:val="005E5002"/>
    <w:rsid w:val="005E5271"/>
    <w:rsid w:val="005E53B6"/>
    <w:rsid w:val="005E5537"/>
    <w:rsid w:val="005E55DB"/>
    <w:rsid w:val="005E56E3"/>
    <w:rsid w:val="005E57A8"/>
    <w:rsid w:val="005E57CF"/>
    <w:rsid w:val="005E585D"/>
    <w:rsid w:val="005E5B36"/>
    <w:rsid w:val="005E5ECB"/>
    <w:rsid w:val="005E61C5"/>
    <w:rsid w:val="005E620E"/>
    <w:rsid w:val="005E631A"/>
    <w:rsid w:val="005E644E"/>
    <w:rsid w:val="005E6813"/>
    <w:rsid w:val="005E6F4D"/>
    <w:rsid w:val="005E71C0"/>
    <w:rsid w:val="005E71D9"/>
    <w:rsid w:val="005E7217"/>
    <w:rsid w:val="005E72D6"/>
    <w:rsid w:val="005E7671"/>
    <w:rsid w:val="005E7735"/>
    <w:rsid w:val="005E7875"/>
    <w:rsid w:val="005E78B8"/>
    <w:rsid w:val="005E7991"/>
    <w:rsid w:val="005E7A62"/>
    <w:rsid w:val="005E7A7A"/>
    <w:rsid w:val="005F0264"/>
    <w:rsid w:val="005F0282"/>
    <w:rsid w:val="005F0359"/>
    <w:rsid w:val="005F0791"/>
    <w:rsid w:val="005F0AD0"/>
    <w:rsid w:val="005F0B11"/>
    <w:rsid w:val="005F0B87"/>
    <w:rsid w:val="005F0BB2"/>
    <w:rsid w:val="005F0C0E"/>
    <w:rsid w:val="005F0C7A"/>
    <w:rsid w:val="005F0E5C"/>
    <w:rsid w:val="005F0E9A"/>
    <w:rsid w:val="005F0F3C"/>
    <w:rsid w:val="005F1035"/>
    <w:rsid w:val="005F1323"/>
    <w:rsid w:val="005F181F"/>
    <w:rsid w:val="005F196E"/>
    <w:rsid w:val="005F1F6D"/>
    <w:rsid w:val="005F204C"/>
    <w:rsid w:val="005F212F"/>
    <w:rsid w:val="005F239C"/>
    <w:rsid w:val="005F24C5"/>
    <w:rsid w:val="005F2A69"/>
    <w:rsid w:val="005F2B3C"/>
    <w:rsid w:val="005F2C35"/>
    <w:rsid w:val="005F2D33"/>
    <w:rsid w:val="005F2F15"/>
    <w:rsid w:val="005F2F8C"/>
    <w:rsid w:val="005F33D2"/>
    <w:rsid w:val="005F3509"/>
    <w:rsid w:val="005F3B2D"/>
    <w:rsid w:val="005F3D90"/>
    <w:rsid w:val="005F3E7F"/>
    <w:rsid w:val="005F3EAA"/>
    <w:rsid w:val="005F3ED4"/>
    <w:rsid w:val="005F3FEF"/>
    <w:rsid w:val="005F4182"/>
    <w:rsid w:val="005F4285"/>
    <w:rsid w:val="005F45EF"/>
    <w:rsid w:val="005F4720"/>
    <w:rsid w:val="005F4730"/>
    <w:rsid w:val="005F49C7"/>
    <w:rsid w:val="005F4B83"/>
    <w:rsid w:val="005F4D7F"/>
    <w:rsid w:val="005F5182"/>
    <w:rsid w:val="005F54F8"/>
    <w:rsid w:val="005F5578"/>
    <w:rsid w:val="005F5A8E"/>
    <w:rsid w:val="005F5B09"/>
    <w:rsid w:val="005F5D9C"/>
    <w:rsid w:val="005F5ECE"/>
    <w:rsid w:val="005F5F26"/>
    <w:rsid w:val="005F5F75"/>
    <w:rsid w:val="005F6158"/>
    <w:rsid w:val="005F6704"/>
    <w:rsid w:val="005F6B72"/>
    <w:rsid w:val="005F6CDD"/>
    <w:rsid w:val="005F7027"/>
    <w:rsid w:val="005F7055"/>
    <w:rsid w:val="005F7062"/>
    <w:rsid w:val="005F7107"/>
    <w:rsid w:val="005F722A"/>
    <w:rsid w:val="005F782D"/>
    <w:rsid w:val="005F78A7"/>
    <w:rsid w:val="005F7957"/>
    <w:rsid w:val="005F7AD7"/>
    <w:rsid w:val="005F7C23"/>
    <w:rsid w:val="005F7C49"/>
    <w:rsid w:val="005F7E9E"/>
    <w:rsid w:val="00600463"/>
    <w:rsid w:val="006006E1"/>
    <w:rsid w:val="00600968"/>
    <w:rsid w:val="00600AAF"/>
    <w:rsid w:val="00600B95"/>
    <w:rsid w:val="00600ECC"/>
    <w:rsid w:val="00600ECF"/>
    <w:rsid w:val="00601314"/>
    <w:rsid w:val="00601319"/>
    <w:rsid w:val="0060162E"/>
    <w:rsid w:val="00601BD9"/>
    <w:rsid w:val="0060236F"/>
    <w:rsid w:val="00602612"/>
    <w:rsid w:val="00602834"/>
    <w:rsid w:val="00602922"/>
    <w:rsid w:val="00602A45"/>
    <w:rsid w:val="00602AA8"/>
    <w:rsid w:val="00602D90"/>
    <w:rsid w:val="00602E52"/>
    <w:rsid w:val="00602E97"/>
    <w:rsid w:val="0060308D"/>
    <w:rsid w:val="006030BD"/>
    <w:rsid w:val="00603110"/>
    <w:rsid w:val="00603286"/>
    <w:rsid w:val="0060331D"/>
    <w:rsid w:val="00603550"/>
    <w:rsid w:val="00603626"/>
    <w:rsid w:val="006037E0"/>
    <w:rsid w:val="00603814"/>
    <w:rsid w:val="006038A3"/>
    <w:rsid w:val="006039A7"/>
    <w:rsid w:val="00603AB8"/>
    <w:rsid w:val="00603F53"/>
    <w:rsid w:val="006040C4"/>
    <w:rsid w:val="006043F9"/>
    <w:rsid w:val="00604623"/>
    <w:rsid w:val="0060463C"/>
    <w:rsid w:val="0060472B"/>
    <w:rsid w:val="00604923"/>
    <w:rsid w:val="0060500E"/>
    <w:rsid w:val="00605151"/>
    <w:rsid w:val="006051C7"/>
    <w:rsid w:val="00605619"/>
    <w:rsid w:val="006057FB"/>
    <w:rsid w:val="00605C87"/>
    <w:rsid w:val="00605DB2"/>
    <w:rsid w:val="00605E0E"/>
    <w:rsid w:val="00605E63"/>
    <w:rsid w:val="006060DC"/>
    <w:rsid w:val="006062DC"/>
    <w:rsid w:val="0060634F"/>
    <w:rsid w:val="0060637C"/>
    <w:rsid w:val="00606421"/>
    <w:rsid w:val="006066B1"/>
    <w:rsid w:val="00606830"/>
    <w:rsid w:val="00606933"/>
    <w:rsid w:val="006069E4"/>
    <w:rsid w:val="00606C43"/>
    <w:rsid w:val="006073E2"/>
    <w:rsid w:val="006075D5"/>
    <w:rsid w:val="00607722"/>
    <w:rsid w:val="0060798D"/>
    <w:rsid w:val="00607CD4"/>
    <w:rsid w:val="00607D99"/>
    <w:rsid w:val="006101A5"/>
    <w:rsid w:val="006101BD"/>
    <w:rsid w:val="00610553"/>
    <w:rsid w:val="006109D8"/>
    <w:rsid w:val="00610BCA"/>
    <w:rsid w:val="00610EA2"/>
    <w:rsid w:val="00610ED3"/>
    <w:rsid w:val="00610FFA"/>
    <w:rsid w:val="00611026"/>
    <w:rsid w:val="00611170"/>
    <w:rsid w:val="006111E6"/>
    <w:rsid w:val="0061144A"/>
    <w:rsid w:val="006115C9"/>
    <w:rsid w:val="0061192F"/>
    <w:rsid w:val="006119D3"/>
    <w:rsid w:val="00611A2A"/>
    <w:rsid w:val="00611C08"/>
    <w:rsid w:val="00611E2F"/>
    <w:rsid w:val="00611EC9"/>
    <w:rsid w:val="00612145"/>
    <w:rsid w:val="00612173"/>
    <w:rsid w:val="00612194"/>
    <w:rsid w:val="0061219B"/>
    <w:rsid w:val="006122BF"/>
    <w:rsid w:val="006125B8"/>
    <w:rsid w:val="00612891"/>
    <w:rsid w:val="00612967"/>
    <w:rsid w:val="0061299B"/>
    <w:rsid w:val="00612E1C"/>
    <w:rsid w:val="00612FC8"/>
    <w:rsid w:val="006130DC"/>
    <w:rsid w:val="00613551"/>
    <w:rsid w:val="0061399A"/>
    <w:rsid w:val="00613CA7"/>
    <w:rsid w:val="0061420A"/>
    <w:rsid w:val="006142C9"/>
    <w:rsid w:val="00614320"/>
    <w:rsid w:val="006147A9"/>
    <w:rsid w:val="00614896"/>
    <w:rsid w:val="0061490A"/>
    <w:rsid w:val="00614988"/>
    <w:rsid w:val="00614CDD"/>
    <w:rsid w:val="00614EC3"/>
    <w:rsid w:val="00615236"/>
    <w:rsid w:val="0061543F"/>
    <w:rsid w:val="006154C6"/>
    <w:rsid w:val="006156A0"/>
    <w:rsid w:val="00615A91"/>
    <w:rsid w:val="00615BF7"/>
    <w:rsid w:val="00615C10"/>
    <w:rsid w:val="00615C49"/>
    <w:rsid w:val="00615E71"/>
    <w:rsid w:val="006162DB"/>
    <w:rsid w:val="0061631C"/>
    <w:rsid w:val="00616950"/>
    <w:rsid w:val="00616BBE"/>
    <w:rsid w:val="00616BC4"/>
    <w:rsid w:val="00616CF5"/>
    <w:rsid w:val="006170BB"/>
    <w:rsid w:val="006170CA"/>
    <w:rsid w:val="0061715A"/>
    <w:rsid w:val="006179ED"/>
    <w:rsid w:val="00617BD7"/>
    <w:rsid w:val="00620075"/>
    <w:rsid w:val="0062030B"/>
    <w:rsid w:val="006206FF"/>
    <w:rsid w:val="00620734"/>
    <w:rsid w:val="00620926"/>
    <w:rsid w:val="00620B56"/>
    <w:rsid w:val="00620CE3"/>
    <w:rsid w:val="00620D6F"/>
    <w:rsid w:val="00620DE7"/>
    <w:rsid w:val="00620E30"/>
    <w:rsid w:val="00621185"/>
    <w:rsid w:val="00621224"/>
    <w:rsid w:val="00621232"/>
    <w:rsid w:val="00621579"/>
    <w:rsid w:val="00621658"/>
    <w:rsid w:val="006217C7"/>
    <w:rsid w:val="0062189C"/>
    <w:rsid w:val="00621946"/>
    <w:rsid w:val="00621BDD"/>
    <w:rsid w:val="00621DF9"/>
    <w:rsid w:val="0062202F"/>
    <w:rsid w:val="0062218E"/>
    <w:rsid w:val="006221B6"/>
    <w:rsid w:val="00622302"/>
    <w:rsid w:val="00622403"/>
    <w:rsid w:val="0062255A"/>
    <w:rsid w:val="00622572"/>
    <w:rsid w:val="00622793"/>
    <w:rsid w:val="00622B1C"/>
    <w:rsid w:val="00622B66"/>
    <w:rsid w:val="00622B9A"/>
    <w:rsid w:val="00622C28"/>
    <w:rsid w:val="00622CF0"/>
    <w:rsid w:val="00622D6E"/>
    <w:rsid w:val="00622DC4"/>
    <w:rsid w:val="00622EB5"/>
    <w:rsid w:val="00622FFB"/>
    <w:rsid w:val="0062314A"/>
    <w:rsid w:val="0062335D"/>
    <w:rsid w:val="006238B0"/>
    <w:rsid w:val="00623B0A"/>
    <w:rsid w:val="00623CD4"/>
    <w:rsid w:val="00624218"/>
    <w:rsid w:val="006243F0"/>
    <w:rsid w:val="00624427"/>
    <w:rsid w:val="00624821"/>
    <w:rsid w:val="00624BE2"/>
    <w:rsid w:val="00624C8C"/>
    <w:rsid w:val="00624DAE"/>
    <w:rsid w:val="00624E16"/>
    <w:rsid w:val="00625055"/>
    <w:rsid w:val="006250FF"/>
    <w:rsid w:val="0062529E"/>
    <w:rsid w:val="00625333"/>
    <w:rsid w:val="006253F8"/>
    <w:rsid w:val="00625415"/>
    <w:rsid w:val="006254FB"/>
    <w:rsid w:val="00625509"/>
    <w:rsid w:val="006255FA"/>
    <w:rsid w:val="0062564C"/>
    <w:rsid w:val="00625873"/>
    <w:rsid w:val="00625A4D"/>
    <w:rsid w:val="00625C72"/>
    <w:rsid w:val="00625DB7"/>
    <w:rsid w:val="00626676"/>
    <w:rsid w:val="0062688C"/>
    <w:rsid w:val="00626A65"/>
    <w:rsid w:val="00626A86"/>
    <w:rsid w:val="00626A91"/>
    <w:rsid w:val="00626B1C"/>
    <w:rsid w:val="00626F66"/>
    <w:rsid w:val="00627077"/>
    <w:rsid w:val="006270C4"/>
    <w:rsid w:val="00627205"/>
    <w:rsid w:val="00627297"/>
    <w:rsid w:val="00627691"/>
    <w:rsid w:val="006278FE"/>
    <w:rsid w:val="00627B84"/>
    <w:rsid w:val="00627BC6"/>
    <w:rsid w:val="00627CA7"/>
    <w:rsid w:val="00627E60"/>
    <w:rsid w:val="0063009C"/>
    <w:rsid w:val="006300FD"/>
    <w:rsid w:val="00630119"/>
    <w:rsid w:val="006301EE"/>
    <w:rsid w:val="00630459"/>
    <w:rsid w:val="00630614"/>
    <w:rsid w:val="006309F8"/>
    <w:rsid w:val="00630A7E"/>
    <w:rsid w:val="00630D7C"/>
    <w:rsid w:val="00630DB2"/>
    <w:rsid w:val="00630E06"/>
    <w:rsid w:val="00630E8B"/>
    <w:rsid w:val="00630E8C"/>
    <w:rsid w:val="00631154"/>
    <w:rsid w:val="006312DC"/>
    <w:rsid w:val="006317B8"/>
    <w:rsid w:val="00631B9F"/>
    <w:rsid w:val="00631E3E"/>
    <w:rsid w:val="00632167"/>
    <w:rsid w:val="006327E3"/>
    <w:rsid w:val="0063289E"/>
    <w:rsid w:val="00632A52"/>
    <w:rsid w:val="00632FAC"/>
    <w:rsid w:val="00633068"/>
    <w:rsid w:val="00633102"/>
    <w:rsid w:val="0063311C"/>
    <w:rsid w:val="00633139"/>
    <w:rsid w:val="00633455"/>
    <w:rsid w:val="00633457"/>
    <w:rsid w:val="006334F0"/>
    <w:rsid w:val="0063361D"/>
    <w:rsid w:val="00633761"/>
    <w:rsid w:val="006339E8"/>
    <w:rsid w:val="00633DD1"/>
    <w:rsid w:val="00633FCC"/>
    <w:rsid w:val="006344AF"/>
    <w:rsid w:val="0063494B"/>
    <w:rsid w:val="006349C3"/>
    <w:rsid w:val="00634ADB"/>
    <w:rsid w:val="00635291"/>
    <w:rsid w:val="00635815"/>
    <w:rsid w:val="00635819"/>
    <w:rsid w:val="006358B5"/>
    <w:rsid w:val="00635D54"/>
    <w:rsid w:val="00635EB4"/>
    <w:rsid w:val="006360C2"/>
    <w:rsid w:val="00636262"/>
    <w:rsid w:val="00636397"/>
    <w:rsid w:val="00636566"/>
    <w:rsid w:val="006365EA"/>
    <w:rsid w:val="00636A39"/>
    <w:rsid w:val="00636D9B"/>
    <w:rsid w:val="00636E24"/>
    <w:rsid w:val="00636FDF"/>
    <w:rsid w:val="006370A7"/>
    <w:rsid w:val="006370C4"/>
    <w:rsid w:val="0063721F"/>
    <w:rsid w:val="0063734E"/>
    <w:rsid w:val="0063735E"/>
    <w:rsid w:val="00637873"/>
    <w:rsid w:val="00637A7B"/>
    <w:rsid w:val="00637C54"/>
    <w:rsid w:val="00637CED"/>
    <w:rsid w:val="00637F09"/>
    <w:rsid w:val="00637F88"/>
    <w:rsid w:val="0063C254"/>
    <w:rsid w:val="00640574"/>
    <w:rsid w:val="0064086D"/>
    <w:rsid w:val="00640E73"/>
    <w:rsid w:val="00640EC9"/>
    <w:rsid w:val="00640EDF"/>
    <w:rsid w:val="00640F3E"/>
    <w:rsid w:val="006412AB"/>
    <w:rsid w:val="00641490"/>
    <w:rsid w:val="006415DC"/>
    <w:rsid w:val="00641748"/>
    <w:rsid w:val="0064199F"/>
    <w:rsid w:val="00641C7E"/>
    <w:rsid w:val="00641D7B"/>
    <w:rsid w:val="0064214C"/>
    <w:rsid w:val="00642467"/>
    <w:rsid w:val="0064259E"/>
    <w:rsid w:val="006426D0"/>
    <w:rsid w:val="00642BD2"/>
    <w:rsid w:val="00642CB1"/>
    <w:rsid w:val="00642D2E"/>
    <w:rsid w:val="00642D80"/>
    <w:rsid w:val="0064306F"/>
    <w:rsid w:val="00643088"/>
    <w:rsid w:val="006437FF"/>
    <w:rsid w:val="006438D0"/>
    <w:rsid w:val="006439E8"/>
    <w:rsid w:val="00643C1B"/>
    <w:rsid w:val="00643F14"/>
    <w:rsid w:val="006440A1"/>
    <w:rsid w:val="006442FA"/>
    <w:rsid w:val="00644621"/>
    <w:rsid w:val="006446DB"/>
    <w:rsid w:val="006447CA"/>
    <w:rsid w:val="006447F0"/>
    <w:rsid w:val="00644C9D"/>
    <w:rsid w:val="006452D2"/>
    <w:rsid w:val="0064553B"/>
    <w:rsid w:val="00645587"/>
    <w:rsid w:val="006455DB"/>
    <w:rsid w:val="0064567C"/>
    <w:rsid w:val="00645870"/>
    <w:rsid w:val="00645A85"/>
    <w:rsid w:val="00645CBA"/>
    <w:rsid w:val="00645EB5"/>
    <w:rsid w:val="00645F2B"/>
    <w:rsid w:val="00645F4E"/>
    <w:rsid w:val="006463BE"/>
    <w:rsid w:val="00646451"/>
    <w:rsid w:val="006467F8"/>
    <w:rsid w:val="00646929"/>
    <w:rsid w:val="00646A4D"/>
    <w:rsid w:val="00646FDF"/>
    <w:rsid w:val="0064724D"/>
    <w:rsid w:val="00647342"/>
    <w:rsid w:val="00647468"/>
    <w:rsid w:val="0064762D"/>
    <w:rsid w:val="0064779C"/>
    <w:rsid w:val="006477EF"/>
    <w:rsid w:val="006479B9"/>
    <w:rsid w:val="00647C95"/>
    <w:rsid w:val="00647FB3"/>
    <w:rsid w:val="00650252"/>
    <w:rsid w:val="00650847"/>
    <w:rsid w:val="00650935"/>
    <w:rsid w:val="0065095E"/>
    <w:rsid w:val="00650A2E"/>
    <w:rsid w:val="00650B83"/>
    <w:rsid w:val="00650FE7"/>
    <w:rsid w:val="0065102B"/>
    <w:rsid w:val="00651225"/>
    <w:rsid w:val="0065122E"/>
    <w:rsid w:val="0065145D"/>
    <w:rsid w:val="00651718"/>
    <w:rsid w:val="0065175B"/>
    <w:rsid w:val="00651939"/>
    <w:rsid w:val="006521AD"/>
    <w:rsid w:val="006523C6"/>
    <w:rsid w:val="0065249E"/>
    <w:rsid w:val="00652A29"/>
    <w:rsid w:val="00652A86"/>
    <w:rsid w:val="00652CCB"/>
    <w:rsid w:val="00652DBC"/>
    <w:rsid w:val="006531B4"/>
    <w:rsid w:val="00653212"/>
    <w:rsid w:val="00653610"/>
    <w:rsid w:val="00653A8D"/>
    <w:rsid w:val="00653AFB"/>
    <w:rsid w:val="00653BB6"/>
    <w:rsid w:val="00653C53"/>
    <w:rsid w:val="00653F48"/>
    <w:rsid w:val="00654402"/>
    <w:rsid w:val="00654416"/>
    <w:rsid w:val="006544AF"/>
    <w:rsid w:val="00654672"/>
    <w:rsid w:val="006547B3"/>
    <w:rsid w:val="00654E67"/>
    <w:rsid w:val="0065524D"/>
    <w:rsid w:val="006553EA"/>
    <w:rsid w:val="006554E2"/>
    <w:rsid w:val="00655724"/>
    <w:rsid w:val="00655730"/>
    <w:rsid w:val="0065576F"/>
    <w:rsid w:val="006557E0"/>
    <w:rsid w:val="00655891"/>
    <w:rsid w:val="00655A5A"/>
    <w:rsid w:val="00655E63"/>
    <w:rsid w:val="00655F6A"/>
    <w:rsid w:val="006562A4"/>
    <w:rsid w:val="006563D2"/>
    <w:rsid w:val="00656581"/>
    <w:rsid w:val="00656636"/>
    <w:rsid w:val="00656651"/>
    <w:rsid w:val="006566F0"/>
    <w:rsid w:val="006567AE"/>
    <w:rsid w:val="006568DF"/>
    <w:rsid w:val="00656980"/>
    <w:rsid w:val="00656999"/>
    <w:rsid w:val="00656A46"/>
    <w:rsid w:val="00656BFF"/>
    <w:rsid w:val="00656C4E"/>
    <w:rsid w:val="00656DF6"/>
    <w:rsid w:val="00656F21"/>
    <w:rsid w:val="00656F3F"/>
    <w:rsid w:val="00657155"/>
    <w:rsid w:val="006572AD"/>
    <w:rsid w:val="00657408"/>
    <w:rsid w:val="006576E9"/>
    <w:rsid w:val="0065785E"/>
    <w:rsid w:val="00657CB1"/>
    <w:rsid w:val="00657D7D"/>
    <w:rsid w:val="00657E68"/>
    <w:rsid w:val="0066005A"/>
    <w:rsid w:val="006601A4"/>
    <w:rsid w:val="006603F8"/>
    <w:rsid w:val="006605F3"/>
    <w:rsid w:val="006607D8"/>
    <w:rsid w:val="00660C0D"/>
    <w:rsid w:val="00660D0E"/>
    <w:rsid w:val="00660E12"/>
    <w:rsid w:val="006611F1"/>
    <w:rsid w:val="00661A1B"/>
    <w:rsid w:val="00661C1B"/>
    <w:rsid w:val="00662136"/>
    <w:rsid w:val="006621EA"/>
    <w:rsid w:val="006623F9"/>
    <w:rsid w:val="0066250B"/>
    <w:rsid w:val="00662700"/>
    <w:rsid w:val="0066271E"/>
    <w:rsid w:val="00662CC6"/>
    <w:rsid w:val="00662CD3"/>
    <w:rsid w:val="00662DD4"/>
    <w:rsid w:val="00662EAE"/>
    <w:rsid w:val="006630B6"/>
    <w:rsid w:val="00663764"/>
    <w:rsid w:val="00663A16"/>
    <w:rsid w:val="00663F4C"/>
    <w:rsid w:val="006640A9"/>
    <w:rsid w:val="00664482"/>
    <w:rsid w:val="00664614"/>
    <w:rsid w:val="006647C5"/>
    <w:rsid w:val="00664849"/>
    <w:rsid w:val="00664ACB"/>
    <w:rsid w:val="00664C8C"/>
    <w:rsid w:val="00664DB5"/>
    <w:rsid w:val="00664E27"/>
    <w:rsid w:val="00664EE3"/>
    <w:rsid w:val="0066519F"/>
    <w:rsid w:val="006651E1"/>
    <w:rsid w:val="00665598"/>
    <w:rsid w:val="00665737"/>
    <w:rsid w:val="00665895"/>
    <w:rsid w:val="00665B52"/>
    <w:rsid w:val="00665DEA"/>
    <w:rsid w:val="00665FB0"/>
    <w:rsid w:val="00666190"/>
    <w:rsid w:val="00666363"/>
    <w:rsid w:val="0066656E"/>
    <w:rsid w:val="00666863"/>
    <w:rsid w:val="0066697A"/>
    <w:rsid w:val="006669B5"/>
    <w:rsid w:val="00666D84"/>
    <w:rsid w:val="0066719E"/>
    <w:rsid w:val="006673F7"/>
    <w:rsid w:val="00667532"/>
    <w:rsid w:val="006675B9"/>
    <w:rsid w:val="0066767B"/>
    <w:rsid w:val="00667844"/>
    <w:rsid w:val="006679FC"/>
    <w:rsid w:val="00667AE8"/>
    <w:rsid w:val="00667BA0"/>
    <w:rsid w:val="00667BEF"/>
    <w:rsid w:val="00667DCE"/>
    <w:rsid w:val="00667F3D"/>
    <w:rsid w:val="0067013D"/>
    <w:rsid w:val="0067023C"/>
    <w:rsid w:val="00670439"/>
    <w:rsid w:val="006704C7"/>
    <w:rsid w:val="006707C1"/>
    <w:rsid w:val="006708E8"/>
    <w:rsid w:val="00670AE1"/>
    <w:rsid w:val="00670B93"/>
    <w:rsid w:val="00670BC8"/>
    <w:rsid w:val="00670D92"/>
    <w:rsid w:val="00670D95"/>
    <w:rsid w:val="00670E7D"/>
    <w:rsid w:val="00671125"/>
    <w:rsid w:val="00671155"/>
    <w:rsid w:val="006711A8"/>
    <w:rsid w:val="006714A3"/>
    <w:rsid w:val="00671A92"/>
    <w:rsid w:val="00671AD4"/>
    <w:rsid w:val="0067226E"/>
    <w:rsid w:val="00672AD5"/>
    <w:rsid w:val="00672D02"/>
    <w:rsid w:val="00672EA4"/>
    <w:rsid w:val="00672F09"/>
    <w:rsid w:val="00672F4B"/>
    <w:rsid w:val="00673451"/>
    <w:rsid w:val="00673489"/>
    <w:rsid w:val="0067355B"/>
    <w:rsid w:val="00673AB0"/>
    <w:rsid w:val="00673E64"/>
    <w:rsid w:val="00674066"/>
    <w:rsid w:val="006741C6"/>
    <w:rsid w:val="006742AF"/>
    <w:rsid w:val="00674361"/>
    <w:rsid w:val="006746B0"/>
    <w:rsid w:val="00674808"/>
    <w:rsid w:val="00674EFC"/>
    <w:rsid w:val="0067520E"/>
    <w:rsid w:val="006753EF"/>
    <w:rsid w:val="006757DB"/>
    <w:rsid w:val="00675963"/>
    <w:rsid w:val="00675A95"/>
    <w:rsid w:val="00675EE7"/>
    <w:rsid w:val="0067603E"/>
    <w:rsid w:val="006762DC"/>
    <w:rsid w:val="0067646B"/>
    <w:rsid w:val="0067651D"/>
    <w:rsid w:val="00676701"/>
    <w:rsid w:val="0067699F"/>
    <w:rsid w:val="00676C3E"/>
    <w:rsid w:val="00676E86"/>
    <w:rsid w:val="00676FCB"/>
    <w:rsid w:val="0067713C"/>
    <w:rsid w:val="0067719D"/>
    <w:rsid w:val="006773CB"/>
    <w:rsid w:val="0067743C"/>
    <w:rsid w:val="00677820"/>
    <w:rsid w:val="00677936"/>
    <w:rsid w:val="00677AA9"/>
    <w:rsid w:val="00677B75"/>
    <w:rsid w:val="00677BBB"/>
    <w:rsid w:val="006800BF"/>
    <w:rsid w:val="0068045C"/>
    <w:rsid w:val="0068050A"/>
    <w:rsid w:val="00680B3D"/>
    <w:rsid w:val="00680ED0"/>
    <w:rsid w:val="006810E6"/>
    <w:rsid w:val="0068113B"/>
    <w:rsid w:val="00681621"/>
    <w:rsid w:val="00681712"/>
    <w:rsid w:val="0068179E"/>
    <w:rsid w:val="006817B0"/>
    <w:rsid w:val="006817C3"/>
    <w:rsid w:val="006817F5"/>
    <w:rsid w:val="0068184C"/>
    <w:rsid w:val="006818B9"/>
    <w:rsid w:val="00681AEC"/>
    <w:rsid w:val="00681B6C"/>
    <w:rsid w:val="00681FC0"/>
    <w:rsid w:val="00681FE5"/>
    <w:rsid w:val="00682389"/>
    <w:rsid w:val="00682456"/>
    <w:rsid w:val="006824EA"/>
    <w:rsid w:val="0068277D"/>
    <w:rsid w:val="0068278D"/>
    <w:rsid w:val="006827B5"/>
    <w:rsid w:val="00682877"/>
    <w:rsid w:val="00682B41"/>
    <w:rsid w:val="00682BA2"/>
    <w:rsid w:val="0068338D"/>
    <w:rsid w:val="006836C6"/>
    <w:rsid w:val="006837A0"/>
    <w:rsid w:val="00683BE1"/>
    <w:rsid w:val="00683EE5"/>
    <w:rsid w:val="006843E3"/>
    <w:rsid w:val="00684435"/>
    <w:rsid w:val="006845D5"/>
    <w:rsid w:val="00684621"/>
    <w:rsid w:val="00684854"/>
    <w:rsid w:val="006848A4"/>
    <w:rsid w:val="00684B72"/>
    <w:rsid w:val="00684BFE"/>
    <w:rsid w:val="00684DE1"/>
    <w:rsid w:val="00684F05"/>
    <w:rsid w:val="00684FCD"/>
    <w:rsid w:val="006850F4"/>
    <w:rsid w:val="0068523F"/>
    <w:rsid w:val="0068535B"/>
    <w:rsid w:val="006854E7"/>
    <w:rsid w:val="006856CF"/>
    <w:rsid w:val="00685737"/>
    <w:rsid w:val="006857DD"/>
    <w:rsid w:val="00685885"/>
    <w:rsid w:val="00685E14"/>
    <w:rsid w:val="006860B4"/>
    <w:rsid w:val="0068612B"/>
    <w:rsid w:val="0068628E"/>
    <w:rsid w:val="00686867"/>
    <w:rsid w:val="006868FF"/>
    <w:rsid w:val="00686FD4"/>
    <w:rsid w:val="006871C1"/>
    <w:rsid w:val="0068763B"/>
    <w:rsid w:val="0068787F"/>
    <w:rsid w:val="0068794E"/>
    <w:rsid w:val="006879EF"/>
    <w:rsid w:val="00687A10"/>
    <w:rsid w:val="00687D81"/>
    <w:rsid w:val="00687DCC"/>
    <w:rsid w:val="00690068"/>
    <w:rsid w:val="0069033C"/>
    <w:rsid w:val="00690494"/>
    <w:rsid w:val="00690653"/>
    <w:rsid w:val="006907AE"/>
    <w:rsid w:val="006907C8"/>
    <w:rsid w:val="00690B2F"/>
    <w:rsid w:val="00690C57"/>
    <w:rsid w:val="00690C95"/>
    <w:rsid w:val="00691062"/>
    <w:rsid w:val="0069151C"/>
    <w:rsid w:val="00691571"/>
    <w:rsid w:val="00691B57"/>
    <w:rsid w:val="00691D9B"/>
    <w:rsid w:val="00691DE1"/>
    <w:rsid w:val="00691F82"/>
    <w:rsid w:val="00691F88"/>
    <w:rsid w:val="00692033"/>
    <w:rsid w:val="00692182"/>
    <w:rsid w:val="00692250"/>
    <w:rsid w:val="00692311"/>
    <w:rsid w:val="00692398"/>
    <w:rsid w:val="00692517"/>
    <w:rsid w:val="006925A2"/>
    <w:rsid w:val="006928F3"/>
    <w:rsid w:val="00692938"/>
    <w:rsid w:val="00692987"/>
    <w:rsid w:val="006929A5"/>
    <w:rsid w:val="00692A78"/>
    <w:rsid w:val="00692AB1"/>
    <w:rsid w:val="00692C1E"/>
    <w:rsid w:val="00692DD9"/>
    <w:rsid w:val="00692F2E"/>
    <w:rsid w:val="006933F1"/>
    <w:rsid w:val="006939B2"/>
    <w:rsid w:val="006939C8"/>
    <w:rsid w:val="00693E33"/>
    <w:rsid w:val="00693EB8"/>
    <w:rsid w:val="00693FE1"/>
    <w:rsid w:val="00694487"/>
    <w:rsid w:val="0069457C"/>
    <w:rsid w:val="006946FA"/>
    <w:rsid w:val="0069474B"/>
    <w:rsid w:val="006947EC"/>
    <w:rsid w:val="0069483C"/>
    <w:rsid w:val="00694B2C"/>
    <w:rsid w:val="00694BAF"/>
    <w:rsid w:val="00694BC5"/>
    <w:rsid w:val="00694D6F"/>
    <w:rsid w:val="00694F2A"/>
    <w:rsid w:val="00694F5A"/>
    <w:rsid w:val="006950CC"/>
    <w:rsid w:val="00695140"/>
    <w:rsid w:val="006951E3"/>
    <w:rsid w:val="0069548C"/>
    <w:rsid w:val="00695577"/>
    <w:rsid w:val="006956E5"/>
    <w:rsid w:val="0069590D"/>
    <w:rsid w:val="00695959"/>
    <w:rsid w:val="00695F9F"/>
    <w:rsid w:val="0069632D"/>
    <w:rsid w:val="006966C9"/>
    <w:rsid w:val="006968A2"/>
    <w:rsid w:val="00696B9A"/>
    <w:rsid w:val="00696D14"/>
    <w:rsid w:val="00696ED7"/>
    <w:rsid w:val="00696F9E"/>
    <w:rsid w:val="00697214"/>
    <w:rsid w:val="0069723B"/>
    <w:rsid w:val="00697248"/>
    <w:rsid w:val="0069732B"/>
    <w:rsid w:val="00697331"/>
    <w:rsid w:val="00697415"/>
    <w:rsid w:val="00697756"/>
    <w:rsid w:val="00697854"/>
    <w:rsid w:val="00697A22"/>
    <w:rsid w:val="00697A37"/>
    <w:rsid w:val="006A00D6"/>
    <w:rsid w:val="006A032B"/>
    <w:rsid w:val="006A03FF"/>
    <w:rsid w:val="006A05D2"/>
    <w:rsid w:val="006A090B"/>
    <w:rsid w:val="006A0999"/>
    <w:rsid w:val="006A0B19"/>
    <w:rsid w:val="006A0CAF"/>
    <w:rsid w:val="006A0D1E"/>
    <w:rsid w:val="006A0FAC"/>
    <w:rsid w:val="006A138E"/>
    <w:rsid w:val="006A156B"/>
    <w:rsid w:val="006A16DD"/>
    <w:rsid w:val="006A1965"/>
    <w:rsid w:val="006A1A98"/>
    <w:rsid w:val="006A1D90"/>
    <w:rsid w:val="006A1F71"/>
    <w:rsid w:val="006A1FC9"/>
    <w:rsid w:val="006A227C"/>
    <w:rsid w:val="006A24C7"/>
    <w:rsid w:val="006A2B5A"/>
    <w:rsid w:val="006A2DE0"/>
    <w:rsid w:val="006A2E5A"/>
    <w:rsid w:val="006A2FA3"/>
    <w:rsid w:val="006A3013"/>
    <w:rsid w:val="006A321F"/>
    <w:rsid w:val="006A32D9"/>
    <w:rsid w:val="006A35E7"/>
    <w:rsid w:val="006A3864"/>
    <w:rsid w:val="006A3B41"/>
    <w:rsid w:val="006A3D03"/>
    <w:rsid w:val="006A3E04"/>
    <w:rsid w:val="006A4134"/>
    <w:rsid w:val="006A5130"/>
    <w:rsid w:val="006A5186"/>
    <w:rsid w:val="006A51B0"/>
    <w:rsid w:val="006A553E"/>
    <w:rsid w:val="006A5575"/>
    <w:rsid w:val="006A55B4"/>
    <w:rsid w:val="006A5699"/>
    <w:rsid w:val="006A5718"/>
    <w:rsid w:val="006A5797"/>
    <w:rsid w:val="006A5AF8"/>
    <w:rsid w:val="006A5D1F"/>
    <w:rsid w:val="006A615B"/>
    <w:rsid w:val="006A61D0"/>
    <w:rsid w:val="006A6398"/>
    <w:rsid w:val="006A6548"/>
    <w:rsid w:val="006A6866"/>
    <w:rsid w:val="006A686B"/>
    <w:rsid w:val="006A6874"/>
    <w:rsid w:val="006A6D84"/>
    <w:rsid w:val="006A6E67"/>
    <w:rsid w:val="006A7532"/>
    <w:rsid w:val="006A7568"/>
    <w:rsid w:val="006A757D"/>
    <w:rsid w:val="006A7B09"/>
    <w:rsid w:val="006A7C8E"/>
    <w:rsid w:val="006A7F05"/>
    <w:rsid w:val="006B0274"/>
    <w:rsid w:val="006B029A"/>
    <w:rsid w:val="006B045F"/>
    <w:rsid w:val="006B0509"/>
    <w:rsid w:val="006B0688"/>
    <w:rsid w:val="006B07EA"/>
    <w:rsid w:val="006B0C4F"/>
    <w:rsid w:val="006B0DA6"/>
    <w:rsid w:val="006B0E9B"/>
    <w:rsid w:val="006B10A2"/>
    <w:rsid w:val="006B10A7"/>
    <w:rsid w:val="006B115E"/>
    <w:rsid w:val="006B1174"/>
    <w:rsid w:val="006B15DF"/>
    <w:rsid w:val="006B1627"/>
    <w:rsid w:val="006B1A0E"/>
    <w:rsid w:val="006B1B41"/>
    <w:rsid w:val="006B1E62"/>
    <w:rsid w:val="006B1E6A"/>
    <w:rsid w:val="006B1FC7"/>
    <w:rsid w:val="006B21C4"/>
    <w:rsid w:val="006B2818"/>
    <w:rsid w:val="006B2892"/>
    <w:rsid w:val="006B2901"/>
    <w:rsid w:val="006B2945"/>
    <w:rsid w:val="006B2A29"/>
    <w:rsid w:val="006B2AB9"/>
    <w:rsid w:val="006B2B02"/>
    <w:rsid w:val="006B2FC8"/>
    <w:rsid w:val="006B2FEA"/>
    <w:rsid w:val="006B32C6"/>
    <w:rsid w:val="006B3374"/>
    <w:rsid w:val="006B3488"/>
    <w:rsid w:val="006B34FF"/>
    <w:rsid w:val="006B350B"/>
    <w:rsid w:val="006B380E"/>
    <w:rsid w:val="006B388E"/>
    <w:rsid w:val="006B38CE"/>
    <w:rsid w:val="006B3ACA"/>
    <w:rsid w:val="006B3BF6"/>
    <w:rsid w:val="006B3CE7"/>
    <w:rsid w:val="006B3D2E"/>
    <w:rsid w:val="006B41F4"/>
    <w:rsid w:val="006B4252"/>
    <w:rsid w:val="006B42BC"/>
    <w:rsid w:val="006B47CF"/>
    <w:rsid w:val="006B4A9B"/>
    <w:rsid w:val="006B4C66"/>
    <w:rsid w:val="006B512B"/>
    <w:rsid w:val="006B5144"/>
    <w:rsid w:val="006B5654"/>
    <w:rsid w:val="006B56EC"/>
    <w:rsid w:val="006B57BC"/>
    <w:rsid w:val="006B580E"/>
    <w:rsid w:val="006B598C"/>
    <w:rsid w:val="006B59D4"/>
    <w:rsid w:val="006B59FB"/>
    <w:rsid w:val="006B5D76"/>
    <w:rsid w:val="006B5EFA"/>
    <w:rsid w:val="006B5F33"/>
    <w:rsid w:val="006B62B8"/>
    <w:rsid w:val="006B6300"/>
    <w:rsid w:val="006B6630"/>
    <w:rsid w:val="006B6A00"/>
    <w:rsid w:val="006B6B53"/>
    <w:rsid w:val="006B6D33"/>
    <w:rsid w:val="006B7052"/>
    <w:rsid w:val="006B73A9"/>
    <w:rsid w:val="006B7472"/>
    <w:rsid w:val="006B79AF"/>
    <w:rsid w:val="006B7B12"/>
    <w:rsid w:val="006B7DE3"/>
    <w:rsid w:val="006B7EB5"/>
    <w:rsid w:val="006B7F22"/>
    <w:rsid w:val="006C00A6"/>
    <w:rsid w:val="006C04A7"/>
    <w:rsid w:val="006C0575"/>
    <w:rsid w:val="006C06A6"/>
    <w:rsid w:val="006C0797"/>
    <w:rsid w:val="006C0853"/>
    <w:rsid w:val="006C09DB"/>
    <w:rsid w:val="006C0AD4"/>
    <w:rsid w:val="006C0B92"/>
    <w:rsid w:val="006C0E1F"/>
    <w:rsid w:val="006C1200"/>
    <w:rsid w:val="006C1219"/>
    <w:rsid w:val="006C12C2"/>
    <w:rsid w:val="006C12D1"/>
    <w:rsid w:val="006C1340"/>
    <w:rsid w:val="006C16BE"/>
    <w:rsid w:val="006C1A16"/>
    <w:rsid w:val="006C1AA6"/>
    <w:rsid w:val="006C1D1F"/>
    <w:rsid w:val="006C1E08"/>
    <w:rsid w:val="006C1FA4"/>
    <w:rsid w:val="006C207D"/>
    <w:rsid w:val="006C2398"/>
    <w:rsid w:val="006C25F4"/>
    <w:rsid w:val="006C2668"/>
    <w:rsid w:val="006C26F6"/>
    <w:rsid w:val="006C2BB9"/>
    <w:rsid w:val="006C2CB2"/>
    <w:rsid w:val="006C2F56"/>
    <w:rsid w:val="006C316C"/>
    <w:rsid w:val="006C329F"/>
    <w:rsid w:val="006C3450"/>
    <w:rsid w:val="006C36D5"/>
    <w:rsid w:val="006C382F"/>
    <w:rsid w:val="006C3BF6"/>
    <w:rsid w:val="006C3C6B"/>
    <w:rsid w:val="006C3DCF"/>
    <w:rsid w:val="006C40BA"/>
    <w:rsid w:val="006C4876"/>
    <w:rsid w:val="006C4904"/>
    <w:rsid w:val="006C4997"/>
    <w:rsid w:val="006C49C4"/>
    <w:rsid w:val="006C4AC0"/>
    <w:rsid w:val="006C4D7E"/>
    <w:rsid w:val="006C4DA6"/>
    <w:rsid w:val="006C4EED"/>
    <w:rsid w:val="006C4F69"/>
    <w:rsid w:val="006C4FAF"/>
    <w:rsid w:val="006C512B"/>
    <w:rsid w:val="006C5135"/>
    <w:rsid w:val="006C529E"/>
    <w:rsid w:val="006C54E4"/>
    <w:rsid w:val="006C57BE"/>
    <w:rsid w:val="006C58D7"/>
    <w:rsid w:val="006C5C6E"/>
    <w:rsid w:val="006C5E55"/>
    <w:rsid w:val="006C5F13"/>
    <w:rsid w:val="006C6262"/>
    <w:rsid w:val="006C63A1"/>
    <w:rsid w:val="006C65F1"/>
    <w:rsid w:val="006C6718"/>
    <w:rsid w:val="006C6953"/>
    <w:rsid w:val="006C763A"/>
    <w:rsid w:val="006C786C"/>
    <w:rsid w:val="006C7AA9"/>
    <w:rsid w:val="006C7B3E"/>
    <w:rsid w:val="006C7E3D"/>
    <w:rsid w:val="006D03F4"/>
    <w:rsid w:val="006D05F0"/>
    <w:rsid w:val="006D06D0"/>
    <w:rsid w:val="006D07B4"/>
    <w:rsid w:val="006D08BE"/>
    <w:rsid w:val="006D08EA"/>
    <w:rsid w:val="006D08F3"/>
    <w:rsid w:val="006D0A5E"/>
    <w:rsid w:val="006D0B18"/>
    <w:rsid w:val="006D0E5B"/>
    <w:rsid w:val="006D1104"/>
    <w:rsid w:val="006D1195"/>
    <w:rsid w:val="006D11B1"/>
    <w:rsid w:val="006D1731"/>
    <w:rsid w:val="006D1939"/>
    <w:rsid w:val="006D1F5D"/>
    <w:rsid w:val="006D1F60"/>
    <w:rsid w:val="006D2071"/>
    <w:rsid w:val="006D22B3"/>
    <w:rsid w:val="006D24D4"/>
    <w:rsid w:val="006D253B"/>
    <w:rsid w:val="006D2694"/>
    <w:rsid w:val="006D2724"/>
    <w:rsid w:val="006D299E"/>
    <w:rsid w:val="006D2BD1"/>
    <w:rsid w:val="006D2CE3"/>
    <w:rsid w:val="006D2D78"/>
    <w:rsid w:val="006D2F0A"/>
    <w:rsid w:val="006D30AD"/>
    <w:rsid w:val="006D348A"/>
    <w:rsid w:val="006D34D9"/>
    <w:rsid w:val="006D3596"/>
    <w:rsid w:val="006D35CD"/>
    <w:rsid w:val="006D3633"/>
    <w:rsid w:val="006D37DE"/>
    <w:rsid w:val="006D3E63"/>
    <w:rsid w:val="006D3FF6"/>
    <w:rsid w:val="006D4019"/>
    <w:rsid w:val="006D4C87"/>
    <w:rsid w:val="006D4CD9"/>
    <w:rsid w:val="006D4E42"/>
    <w:rsid w:val="006D5165"/>
    <w:rsid w:val="006D52A2"/>
    <w:rsid w:val="006D5314"/>
    <w:rsid w:val="006D5A2E"/>
    <w:rsid w:val="006D5F28"/>
    <w:rsid w:val="006D5F29"/>
    <w:rsid w:val="006D5F30"/>
    <w:rsid w:val="006D5F37"/>
    <w:rsid w:val="006D6156"/>
    <w:rsid w:val="006D6594"/>
    <w:rsid w:val="006D6782"/>
    <w:rsid w:val="006D67D9"/>
    <w:rsid w:val="006D6982"/>
    <w:rsid w:val="006D69F7"/>
    <w:rsid w:val="006D6C77"/>
    <w:rsid w:val="006D6E43"/>
    <w:rsid w:val="006D6ECC"/>
    <w:rsid w:val="006D6FF1"/>
    <w:rsid w:val="006D7197"/>
    <w:rsid w:val="006D7322"/>
    <w:rsid w:val="006D73F8"/>
    <w:rsid w:val="006D786E"/>
    <w:rsid w:val="006D7967"/>
    <w:rsid w:val="006D7BB3"/>
    <w:rsid w:val="006D7BE1"/>
    <w:rsid w:val="006D7E94"/>
    <w:rsid w:val="006D7EC3"/>
    <w:rsid w:val="006D7F85"/>
    <w:rsid w:val="006D7FA1"/>
    <w:rsid w:val="006E0076"/>
    <w:rsid w:val="006E026A"/>
    <w:rsid w:val="006E04FA"/>
    <w:rsid w:val="006E052F"/>
    <w:rsid w:val="006E056F"/>
    <w:rsid w:val="006E059A"/>
    <w:rsid w:val="006E05C1"/>
    <w:rsid w:val="006E0738"/>
    <w:rsid w:val="006E0865"/>
    <w:rsid w:val="006E0956"/>
    <w:rsid w:val="006E0975"/>
    <w:rsid w:val="006E0BFD"/>
    <w:rsid w:val="006E0CDE"/>
    <w:rsid w:val="006E0EDC"/>
    <w:rsid w:val="006E0F8A"/>
    <w:rsid w:val="006E10D7"/>
    <w:rsid w:val="006E1142"/>
    <w:rsid w:val="006E122E"/>
    <w:rsid w:val="006E1586"/>
    <w:rsid w:val="006E1726"/>
    <w:rsid w:val="006E1900"/>
    <w:rsid w:val="006E1AD7"/>
    <w:rsid w:val="006E1C3E"/>
    <w:rsid w:val="006E1FA6"/>
    <w:rsid w:val="006E214C"/>
    <w:rsid w:val="006E2184"/>
    <w:rsid w:val="006E2367"/>
    <w:rsid w:val="006E278E"/>
    <w:rsid w:val="006E2975"/>
    <w:rsid w:val="006E2A45"/>
    <w:rsid w:val="006E2BF0"/>
    <w:rsid w:val="006E2C40"/>
    <w:rsid w:val="006E2CCC"/>
    <w:rsid w:val="006E2D97"/>
    <w:rsid w:val="006E2F84"/>
    <w:rsid w:val="006E2FC4"/>
    <w:rsid w:val="006E31C4"/>
    <w:rsid w:val="006E33DB"/>
    <w:rsid w:val="006E3544"/>
    <w:rsid w:val="006E35F3"/>
    <w:rsid w:val="006E36D1"/>
    <w:rsid w:val="006E3810"/>
    <w:rsid w:val="006E38E8"/>
    <w:rsid w:val="006E3984"/>
    <w:rsid w:val="006E441C"/>
    <w:rsid w:val="006E495F"/>
    <w:rsid w:val="006E4BA8"/>
    <w:rsid w:val="006E4EDB"/>
    <w:rsid w:val="006E52ED"/>
    <w:rsid w:val="006E5665"/>
    <w:rsid w:val="006E56EB"/>
    <w:rsid w:val="006E574A"/>
    <w:rsid w:val="006E59A3"/>
    <w:rsid w:val="006E5C10"/>
    <w:rsid w:val="006E5CE3"/>
    <w:rsid w:val="006E5CFA"/>
    <w:rsid w:val="006E5E0E"/>
    <w:rsid w:val="006E5ED0"/>
    <w:rsid w:val="006E5F7C"/>
    <w:rsid w:val="006E6152"/>
    <w:rsid w:val="006E61AB"/>
    <w:rsid w:val="006E62E2"/>
    <w:rsid w:val="006E6549"/>
    <w:rsid w:val="006E6986"/>
    <w:rsid w:val="006E6B2B"/>
    <w:rsid w:val="006E6D79"/>
    <w:rsid w:val="006E6E79"/>
    <w:rsid w:val="006E6F64"/>
    <w:rsid w:val="006E702D"/>
    <w:rsid w:val="006E772C"/>
    <w:rsid w:val="006E79AD"/>
    <w:rsid w:val="006E79F6"/>
    <w:rsid w:val="006E7D93"/>
    <w:rsid w:val="006F002D"/>
    <w:rsid w:val="006F0049"/>
    <w:rsid w:val="006F03CE"/>
    <w:rsid w:val="006F0670"/>
    <w:rsid w:val="006F0791"/>
    <w:rsid w:val="006F0CA9"/>
    <w:rsid w:val="006F0E45"/>
    <w:rsid w:val="006F1278"/>
    <w:rsid w:val="006F1379"/>
    <w:rsid w:val="006F14B1"/>
    <w:rsid w:val="006F15EE"/>
    <w:rsid w:val="006F1A04"/>
    <w:rsid w:val="006F1BE7"/>
    <w:rsid w:val="006F1BF7"/>
    <w:rsid w:val="006F1CEF"/>
    <w:rsid w:val="006F1CF0"/>
    <w:rsid w:val="006F1E6D"/>
    <w:rsid w:val="006F1F8C"/>
    <w:rsid w:val="006F22CA"/>
    <w:rsid w:val="006F26AB"/>
    <w:rsid w:val="006F29EA"/>
    <w:rsid w:val="006F2CAA"/>
    <w:rsid w:val="006F2D68"/>
    <w:rsid w:val="006F2D82"/>
    <w:rsid w:val="006F2EDB"/>
    <w:rsid w:val="006F2F6D"/>
    <w:rsid w:val="006F303A"/>
    <w:rsid w:val="006F3070"/>
    <w:rsid w:val="006F30FB"/>
    <w:rsid w:val="006F31F2"/>
    <w:rsid w:val="006F358F"/>
    <w:rsid w:val="006F363E"/>
    <w:rsid w:val="006F3B1E"/>
    <w:rsid w:val="006F418C"/>
    <w:rsid w:val="006F4491"/>
    <w:rsid w:val="006F46B5"/>
    <w:rsid w:val="006F4843"/>
    <w:rsid w:val="006F4AB4"/>
    <w:rsid w:val="006F4F1F"/>
    <w:rsid w:val="006F5002"/>
    <w:rsid w:val="006F5229"/>
    <w:rsid w:val="006F572E"/>
    <w:rsid w:val="006F5829"/>
    <w:rsid w:val="006F58F4"/>
    <w:rsid w:val="006F59AA"/>
    <w:rsid w:val="006F5BE9"/>
    <w:rsid w:val="006F5C07"/>
    <w:rsid w:val="006F5CFD"/>
    <w:rsid w:val="006F5E02"/>
    <w:rsid w:val="006F5FE5"/>
    <w:rsid w:val="006F5FF8"/>
    <w:rsid w:val="006F6044"/>
    <w:rsid w:val="006F6248"/>
    <w:rsid w:val="006F63EF"/>
    <w:rsid w:val="006F6615"/>
    <w:rsid w:val="006F676E"/>
    <w:rsid w:val="006F6A41"/>
    <w:rsid w:val="006F6CD9"/>
    <w:rsid w:val="006F6E7F"/>
    <w:rsid w:val="006F6EE3"/>
    <w:rsid w:val="006F6EEA"/>
    <w:rsid w:val="006F7289"/>
    <w:rsid w:val="006F73F7"/>
    <w:rsid w:val="006F749A"/>
    <w:rsid w:val="006F74CA"/>
    <w:rsid w:val="006F7564"/>
    <w:rsid w:val="0070006A"/>
    <w:rsid w:val="007000A0"/>
    <w:rsid w:val="00700194"/>
    <w:rsid w:val="0070081E"/>
    <w:rsid w:val="00701249"/>
    <w:rsid w:val="0070143E"/>
    <w:rsid w:val="00701467"/>
    <w:rsid w:val="00701776"/>
    <w:rsid w:val="007019B3"/>
    <w:rsid w:val="00701ED6"/>
    <w:rsid w:val="00701FE7"/>
    <w:rsid w:val="00702078"/>
    <w:rsid w:val="007021BF"/>
    <w:rsid w:val="007023C5"/>
    <w:rsid w:val="007027D0"/>
    <w:rsid w:val="00703306"/>
    <w:rsid w:val="00703550"/>
    <w:rsid w:val="00703C67"/>
    <w:rsid w:val="00703CEF"/>
    <w:rsid w:val="007041D0"/>
    <w:rsid w:val="00704324"/>
    <w:rsid w:val="0070446E"/>
    <w:rsid w:val="0070454F"/>
    <w:rsid w:val="007045D6"/>
    <w:rsid w:val="00704865"/>
    <w:rsid w:val="007048B3"/>
    <w:rsid w:val="00704B82"/>
    <w:rsid w:val="00704C13"/>
    <w:rsid w:val="00704D1A"/>
    <w:rsid w:val="00705026"/>
    <w:rsid w:val="007050DC"/>
    <w:rsid w:val="00705844"/>
    <w:rsid w:val="0070584E"/>
    <w:rsid w:val="0070589E"/>
    <w:rsid w:val="00705DD9"/>
    <w:rsid w:val="00705F84"/>
    <w:rsid w:val="0070600A"/>
    <w:rsid w:val="0070603E"/>
    <w:rsid w:val="00706053"/>
    <w:rsid w:val="00706249"/>
    <w:rsid w:val="0070656E"/>
    <w:rsid w:val="00706577"/>
    <w:rsid w:val="00706656"/>
    <w:rsid w:val="007068F4"/>
    <w:rsid w:val="00706B01"/>
    <w:rsid w:val="00706B86"/>
    <w:rsid w:val="00706EB9"/>
    <w:rsid w:val="00707270"/>
    <w:rsid w:val="007073EA"/>
    <w:rsid w:val="00707792"/>
    <w:rsid w:val="00707901"/>
    <w:rsid w:val="00707982"/>
    <w:rsid w:val="00707AED"/>
    <w:rsid w:val="00707B2F"/>
    <w:rsid w:val="00707CEF"/>
    <w:rsid w:val="00707D05"/>
    <w:rsid w:val="00707D31"/>
    <w:rsid w:val="00707DD7"/>
    <w:rsid w:val="00707E9C"/>
    <w:rsid w:val="0071000C"/>
    <w:rsid w:val="007103B5"/>
    <w:rsid w:val="00710567"/>
    <w:rsid w:val="007105DE"/>
    <w:rsid w:val="00710605"/>
    <w:rsid w:val="00710792"/>
    <w:rsid w:val="007107B1"/>
    <w:rsid w:val="00710863"/>
    <w:rsid w:val="007108C3"/>
    <w:rsid w:val="007109AB"/>
    <w:rsid w:val="00710BE5"/>
    <w:rsid w:val="00710E47"/>
    <w:rsid w:val="007111BD"/>
    <w:rsid w:val="007111F6"/>
    <w:rsid w:val="0071125D"/>
    <w:rsid w:val="00711284"/>
    <w:rsid w:val="007114A2"/>
    <w:rsid w:val="007119CE"/>
    <w:rsid w:val="00711AC7"/>
    <w:rsid w:val="00711BA5"/>
    <w:rsid w:val="00711C0F"/>
    <w:rsid w:val="00711D61"/>
    <w:rsid w:val="00711EF7"/>
    <w:rsid w:val="00711EFC"/>
    <w:rsid w:val="007120DA"/>
    <w:rsid w:val="007121F9"/>
    <w:rsid w:val="00712282"/>
    <w:rsid w:val="007122B9"/>
    <w:rsid w:val="0071232E"/>
    <w:rsid w:val="007124EC"/>
    <w:rsid w:val="0071256C"/>
    <w:rsid w:val="007125F4"/>
    <w:rsid w:val="007125FC"/>
    <w:rsid w:val="00712770"/>
    <w:rsid w:val="007128FC"/>
    <w:rsid w:val="00712951"/>
    <w:rsid w:val="00712BAF"/>
    <w:rsid w:val="00712BB1"/>
    <w:rsid w:val="007130AE"/>
    <w:rsid w:val="0071320B"/>
    <w:rsid w:val="0071326D"/>
    <w:rsid w:val="007132EA"/>
    <w:rsid w:val="00713467"/>
    <w:rsid w:val="00713507"/>
    <w:rsid w:val="007136DF"/>
    <w:rsid w:val="007139B0"/>
    <w:rsid w:val="00713AE1"/>
    <w:rsid w:val="00713B7B"/>
    <w:rsid w:val="00713CB7"/>
    <w:rsid w:val="00714215"/>
    <w:rsid w:val="00714291"/>
    <w:rsid w:val="00714490"/>
    <w:rsid w:val="0071498A"/>
    <w:rsid w:val="00714D09"/>
    <w:rsid w:val="00715256"/>
    <w:rsid w:val="00715310"/>
    <w:rsid w:val="00715417"/>
    <w:rsid w:val="0071574F"/>
    <w:rsid w:val="007157B5"/>
    <w:rsid w:val="00715899"/>
    <w:rsid w:val="00715A4D"/>
    <w:rsid w:val="00715AF1"/>
    <w:rsid w:val="00715C73"/>
    <w:rsid w:val="007164E5"/>
    <w:rsid w:val="00716B12"/>
    <w:rsid w:val="00716CCB"/>
    <w:rsid w:val="007170A0"/>
    <w:rsid w:val="0071774C"/>
    <w:rsid w:val="007177EB"/>
    <w:rsid w:val="007177F1"/>
    <w:rsid w:val="0071799F"/>
    <w:rsid w:val="00717B0B"/>
    <w:rsid w:val="00717CCA"/>
    <w:rsid w:val="00717E5C"/>
    <w:rsid w:val="00717F54"/>
    <w:rsid w:val="0072001A"/>
    <w:rsid w:val="007202C6"/>
    <w:rsid w:val="007203CB"/>
    <w:rsid w:val="007203EC"/>
    <w:rsid w:val="007204F3"/>
    <w:rsid w:val="00720848"/>
    <w:rsid w:val="00720A37"/>
    <w:rsid w:val="00720B48"/>
    <w:rsid w:val="00720E2E"/>
    <w:rsid w:val="00720F06"/>
    <w:rsid w:val="007211E7"/>
    <w:rsid w:val="007219B1"/>
    <w:rsid w:val="007219BE"/>
    <w:rsid w:val="00721BB2"/>
    <w:rsid w:val="00721D37"/>
    <w:rsid w:val="00721F11"/>
    <w:rsid w:val="007223C9"/>
    <w:rsid w:val="00722420"/>
    <w:rsid w:val="00722465"/>
    <w:rsid w:val="00722704"/>
    <w:rsid w:val="0072276B"/>
    <w:rsid w:val="007227D5"/>
    <w:rsid w:val="0072281B"/>
    <w:rsid w:val="00722B9F"/>
    <w:rsid w:val="00722BA4"/>
    <w:rsid w:val="00723110"/>
    <w:rsid w:val="007235EA"/>
    <w:rsid w:val="007236F6"/>
    <w:rsid w:val="007238E1"/>
    <w:rsid w:val="00723A31"/>
    <w:rsid w:val="00723B91"/>
    <w:rsid w:val="00723C18"/>
    <w:rsid w:val="00723F76"/>
    <w:rsid w:val="00723FC1"/>
    <w:rsid w:val="00724255"/>
    <w:rsid w:val="007242BE"/>
    <w:rsid w:val="007242CC"/>
    <w:rsid w:val="007246EE"/>
    <w:rsid w:val="00724B26"/>
    <w:rsid w:val="00724B87"/>
    <w:rsid w:val="00724C3C"/>
    <w:rsid w:val="00724E98"/>
    <w:rsid w:val="00724F24"/>
    <w:rsid w:val="007250A5"/>
    <w:rsid w:val="007250C5"/>
    <w:rsid w:val="0072593A"/>
    <w:rsid w:val="0072597A"/>
    <w:rsid w:val="00725CFF"/>
    <w:rsid w:val="00725F4F"/>
    <w:rsid w:val="007261A4"/>
    <w:rsid w:val="007261EA"/>
    <w:rsid w:val="0072630B"/>
    <w:rsid w:val="00726316"/>
    <w:rsid w:val="0072697F"/>
    <w:rsid w:val="007269C4"/>
    <w:rsid w:val="007269F4"/>
    <w:rsid w:val="00726A4B"/>
    <w:rsid w:val="00726C05"/>
    <w:rsid w:val="00726C61"/>
    <w:rsid w:val="0072716D"/>
    <w:rsid w:val="007271A1"/>
    <w:rsid w:val="007271E7"/>
    <w:rsid w:val="0072756B"/>
    <w:rsid w:val="007276C4"/>
    <w:rsid w:val="00727733"/>
    <w:rsid w:val="00727A64"/>
    <w:rsid w:val="00727BD2"/>
    <w:rsid w:val="00727CA9"/>
    <w:rsid w:val="00727E91"/>
    <w:rsid w:val="00727F42"/>
    <w:rsid w:val="00730228"/>
    <w:rsid w:val="00730673"/>
    <w:rsid w:val="0073078F"/>
    <w:rsid w:val="007308AB"/>
    <w:rsid w:val="00730AB7"/>
    <w:rsid w:val="00730AF7"/>
    <w:rsid w:val="00730C78"/>
    <w:rsid w:val="00730C97"/>
    <w:rsid w:val="00730D8D"/>
    <w:rsid w:val="00730E2E"/>
    <w:rsid w:val="007315D8"/>
    <w:rsid w:val="0073160E"/>
    <w:rsid w:val="00731B35"/>
    <w:rsid w:val="00731B66"/>
    <w:rsid w:val="00731CE9"/>
    <w:rsid w:val="00731D46"/>
    <w:rsid w:val="00731D70"/>
    <w:rsid w:val="00731F89"/>
    <w:rsid w:val="00732151"/>
    <w:rsid w:val="007321E7"/>
    <w:rsid w:val="00732809"/>
    <w:rsid w:val="00732850"/>
    <w:rsid w:val="00732B33"/>
    <w:rsid w:val="00732C59"/>
    <w:rsid w:val="00732CDA"/>
    <w:rsid w:val="0073324E"/>
    <w:rsid w:val="00733276"/>
    <w:rsid w:val="007333E7"/>
    <w:rsid w:val="0073342D"/>
    <w:rsid w:val="0073352D"/>
    <w:rsid w:val="0073357B"/>
    <w:rsid w:val="0073393A"/>
    <w:rsid w:val="0073396B"/>
    <w:rsid w:val="00733A33"/>
    <w:rsid w:val="00733C23"/>
    <w:rsid w:val="00734176"/>
    <w:rsid w:val="007343B6"/>
    <w:rsid w:val="00734598"/>
    <w:rsid w:val="007346CF"/>
    <w:rsid w:val="00734C64"/>
    <w:rsid w:val="00734F2E"/>
    <w:rsid w:val="0073514A"/>
    <w:rsid w:val="00735274"/>
    <w:rsid w:val="007357E7"/>
    <w:rsid w:val="00735A1C"/>
    <w:rsid w:val="00735C35"/>
    <w:rsid w:val="00735EEB"/>
    <w:rsid w:val="00735FA9"/>
    <w:rsid w:val="007360EF"/>
    <w:rsid w:val="007361CA"/>
    <w:rsid w:val="007362F7"/>
    <w:rsid w:val="00736304"/>
    <w:rsid w:val="007365BF"/>
    <w:rsid w:val="00736715"/>
    <w:rsid w:val="00736814"/>
    <w:rsid w:val="00736BF7"/>
    <w:rsid w:val="00736C8F"/>
    <w:rsid w:val="00736CE5"/>
    <w:rsid w:val="00736EE9"/>
    <w:rsid w:val="007370C6"/>
    <w:rsid w:val="0073712F"/>
    <w:rsid w:val="007372DE"/>
    <w:rsid w:val="007372E1"/>
    <w:rsid w:val="0073755D"/>
    <w:rsid w:val="007375CC"/>
    <w:rsid w:val="00737681"/>
    <w:rsid w:val="007376DB"/>
    <w:rsid w:val="0073770A"/>
    <w:rsid w:val="00737C7C"/>
    <w:rsid w:val="00737C7F"/>
    <w:rsid w:val="00737E72"/>
    <w:rsid w:val="00740277"/>
    <w:rsid w:val="007403DB"/>
    <w:rsid w:val="007403F5"/>
    <w:rsid w:val="007405AE"/>
    <w:rsid w:val="00740720"/>
    <w:rsid w:val="007407CF"/>
    <w:rsid w:val="00740991"/>
    <w:rsid w:val="00740B51"/>
    <w:rsid w:val="00740C19"/>
    <w:rsid w:val="00740CE1"/>
    <w:rsid w:val="00740F9C"/>
    <w:rsid w:val="00741058"/>
    <w:rsid w:val="00741075"/>
    <w:rsid w:val="0074112C"/>
    <w:rsid w:val="00741149"/>
    <w:rsid w:val="007412C7"/>
    <w:rsid w:val="00741357"/>
    <w:rsid w:val="007413C9"/>
    <w:rsid w:val="007418ED"/>
    <w:rsid w:val="007419C0"/>
    <w:rsid w:val="00741AAC"/>
    <w:rsid w:val="00741C88"/>
    <w:rsid w:val="00742012"/>
    <w:rsid w:val="00742089"/>
    <w:rsid w:val="00742250"/>
    <w:rsid w:val="0074236C"/>
    <w:rsid w:val="00742491"/>
    <w:rsid w:val="00742497"/>
    <w:rsid w:val="00742826"/>
    <w:rsid w:val="00742955"/>
    <w:rsid w:val="00742C33"/>
    <w:rsid w:val="00742CFF"/>
    <w:rsid w:val="00742F21"/>
    <w:rsid w:val="00742F74"/>
    <w:rsid w:val="00743022"/>
    <w:rsid w:val="00743055"/>
    <w:rsid w:val="007430D5"/>
    <w:rsid w:val="007430F6"/>
    <w:rsid w:val="007431E9"/>
    <w:rsid w:val="0074321E"/>
    <w:rsid w:val="00743269"/>
    <w:rsid w:val="007433E2"/>
    <w:rsid w:val="00743AE7"/>
    <w:rsid w:val="00743F97"/>
    <w:rsid w:val="0074427A"/>
    <w:rsid w:val="007442FA"/>
    <w:rsid w:val="00744355"/>
    <w:rsid w:val="00744498"/>
    <w:rsid w:val="007448F1"/>
    <w:rsid w:val="00744989"/>
    <w:rsid w:val="00744BFF"/>
    <w:rsid w:val="00745050"/>
    <w:rsid w:val="00745780"/>
    <w:rsid w:val="00745BFA"/>
    <w:rsid w:val="00745C9F"/>
    <w:rsid w:val="00745D3B"/>
    <w:rsid w:val="00745D62"/>
    <w:rsid w:val="00745EB5"/>
    <w:rsid w:val="00745F7D"/>
    <w:rsid w:val="00745FC6"/>
    <w:rsid w:val="00746353"/>
    <w:rsid w:val="00746482"/>
    <w:rsid w:val="007464CC"/>
    <w:rsid w:val="007466AD"/>
    <w:rsid w:val="007466C2"/>
    <w:rsid w:val="0074676F"/>
    <w:rsid w:val="00746841"/>
    <w:rsid w:val="007468F3"/>
    <w:rsid w:val="00746BE3"/>
    <w:rsid w:val="00746E64"/>
    <w:rsid w:val="0074716D"/>
    <w:rsid w:val="0074717F"/>
    <w:rsid w:val="007472E5"/>
    <w:rsid w:val="0074754D"/>
    <w:rsid w:val="00747563"/>
    <w:rsid w:val="007478AF"/>
    <w:rsid w:val="00747A8D"/>
    <w:rsid w:val="00747C20"/>
    <w:rsid w:val="00747FA8"/>
    <w:rsid w:val="00747FCB"/>
    <w:rsid w:val="00750535"/>
    <w:rsid w:val="007509F2"/>
    <w:rsid w:val="00750B39"/>
    <w:rsid w:val="00750D8A"/>
    <w:rsid w:val="00750FEA"/>
    <w:rsid w:val="00751224"/>
    <w:rsid w:val="00751478"/>
    <w:rsid w:val="00751820"/>
    <w:rsid w:val="00751962"/>
    <w:rsid w:val="00751BC2"/>
    <w:rsid w:val="00751C12"/>
    <w:rsid w:val="007520D9"/>
    <w:rsid w:val="0075211E"/>
    <w:rsid w:val="007521A4"/>
    <w:rsid w:val="0075221E"/>
    <w:rsid w:val="00752249"/>
    <w:rsid w:val="007522E9"/>
    <w:rsid w:val="007526E6"/>
    <w:rsid w:val="007528B6"/>
    <w:rsid w:val="0075299D"/>
    <w:rsid w:val="00752CBC"/>
    <w:rsid w:val="00752D84"/>
    <w:rsid w:val="00752FDC"/>
    <w:rsid w:val="0075378C"/>
    <w:rsid w:val="00753824"/>
    <w:rsid w:val="0075385C"/>
    <w:rsid w:val="00753879"/>
    <w:rsid w:val="00753A3D"/>
    <w:rsid w:val="00753AF2"/>
    <w:rsid w:val="00753AF9"/>
    <w:rsid w:val="00753C5E"/>
    <w:rsid w:val="00753CFB"/>
    <w:rsid w:val="00753D23"/>
    <w:rsid w:val="007541BC"/>
    <w:rsid w:val="00754368"/>
    <w:rsid w:val="007543A9"/>
    <w:rsid w:val="0075444E"/>
    <w:rsid w:val="007544AC"/>
    <w:rsid w:val="007548CE"/>
    <w:rsid w:val="007549E5"/>
    <w:rsid w:val="007549F2"/>
    <w:rsid w:val="00754A26"/>
    <w:rsid w:val="007552C7"/>
    <w:rsid w:val="007552F7"/>
    <w:rsid w:val="00755312"/>
    <w:rsid w:val="0075538A"/>
    <w:rsid w:val="007553A8"/>
    <w:rsid w:val="007554AC"/>
    <w:rsid w:val="00755626"/>
    <w:rsid w:val="00755B39"/>
    <w:rsid w:val="00755D94"/>
    <w:rsid w:val="00755E41"/>
    <w:rsid w:val="00755F52"/>
    <w:rsid w:val="00755FBF"/>
    <w:rsid w:val="00755FDA"/>
    <w:rsid w:val="00756324"/>
    <w:rsid w:val="00756681"/>
    <w:rsid w:val="0075668D"/>
    <w:rsid w:val="00756B32"/>
    <w:rsid w:val="00756BD8"/>
    <w:rsid w:val="00757090"/>
    <w:rsid w:val="00757186"/>
    <w:rsid w:val="007571C8"/>
    <w:rsid w:val="00757301"/>
    <w:rsid w:val="00757330"/>
    <w:rsid w:val="007579B2"/>
    <w:rsid w:val="00757F7A"/>
    <w:rsid w:val="00760426"/>
    <w:rsid w:val="007604AA"/>
    <w:rsid w:val="007605FD"/>
    <w:rsid w:val="00760856"/>
    <w:rsid w:val="00760951"/>
    <w:rsid w:val="0076098E"/>
    <w:rsid w:val="00760A3E"/>
    <w:rsid w:val="00760A84"/>
    <w:rsid w:val="00760BB0"/>
    <w:rsid w:val="00760F1F"/>
    <w:rsid w:val="00761255"/>
    <w:rsid w:val="0076169A"/>
    <w:rsid w:val="007618DA"/>
    <w:rsid w:val="007618E6"/>
    <w:rsid w:val="00761E74"/>
    <w:rsid w:val="00761FE9"/>
    <w:rsid w:val="0076220F"/>
    <w:rsid w:val="007623AA"/>
    <w:rsid w:val="00762436"/>
    <w:rsid w:val="0076254A"/>
    <w:rsid w:val="0076256C"/>
    <w:rsid w:val="00762CC1"/>
    <w:rsid w:val="00762E45"/>
    <w:rsid w:val="00762EF3"/>
    <w:rsid w:val="00762F06"/>
    <w:rsid w:val="00762F65"/>
    <w:rsid w:val="007637ED"/>
    <w:rsid w:val="007637FC"/>
    <w:rsid w:val="00763963"/>
    <w:rsid w:val="007639CE"/>
    <w:rsid w:val="00763C44"/>
    <w:rsid w:val="0076403A"/>
    <w:rsid w:val="007640E0"/>
    <w:rsid w:val="00764333"/>
    <w:rsid w:val="00764422"/>
    <w:rsid w:val="007646C9"/>
    <w:rsid w:val="007646D1"/>
    <w:rsid w:val="007648E4"/>
    <w:rsid w:val="00764A0E"/>
    <w:rsid w:val="00764D04"/>
    <w:rsid w:val="00764D3F"/>
    <w:rsid w:val="00764DD1"/>
    <w:rsid w:val="00764E52"/>
    <w:rsid w:val="00764FA9"/>
    <w:rsid w:val="00765294"/>
    <w:rsid w:val="007652A2"/>
    <w:rsid w:val="007653A3"/>
    <w:rsid w:val="007653F2"/>
    <w:rsid w:val="007657B5"/>
    <w:rsid w:val="00765B3F"/>
    <w:rsid w:val="00765B87"/>
    <w:rsid w:val="00765C83"/>
    <w:rsid w:val="00765E57"/>
    <w:rsid w:val="0076645F"/>
    <w:rsid w:val="00766496"/>
    <w:rsid w:val="007664F6"/>
    <w:rsid w:val="007664FD"/>
    <w:rsid w:val="00766973"/>
    <w:rsid w:val="00766A0E"/>
    <w:rsid w:val="00766A23"/>
    <w:rsid w:val="00766A7C"/>
    <w:rsid w:val="00766D8B"/>
    <w:rsid w:val="00766E3D"/>
    <w:rsid w:val="00767004"/>
    <w:rsid w:val="0076719E"/>
    <w:rsid w:val="0076740A"/>
    <w:rsid w:val="007675A2"/>
    <w:rsid w:val="00767827"/>
    <w:rsid w:val="00767AD2"/>
    <w:rsid w:val="00767B75"/>
    <w:rsid w:val="00767CA3"/>
    <w:rsid w:val="0077038E"/>
    <w:rsid w:val="0077073B"/>
    <w:rsid w:val="007707A2"/>
    <w:rsid w:val="00770AA1"/>
    <w:rsid w:val="00770BDD"/>
    <w:rsid w:val="00770D28"/>
    <w:rsid w:val="00771092"/>
    <w:rsid w:val="007711E3"/>
    <w:rsid w:val="0077125D"/>
    <w:rsid w:val="00771613"/>
    <w:rsid w:val="00771630"/>
    <w:rsid w:val="00771697"/>
    <w:rsid w:val="007717DE"/>
    <w:rsid w:val="00771891"/>
    <w:rsid w:val="007718B1"/>
    <w:rsid w:val="00772444"/>
    <w:rsid w:val="00772528"/>
    <w:rsid w:val="0077264B"/>
    <w:rsid w:val="00772664"/>
    <w:rsid w:val="0077266D"/>
    <w:rsid w:val="007726DC"/>
    <w:rsid w:val="007729C7"/>
    <w:rsid w:val="007729EF"/>
    <w:rsid w:val="00772A86"/>
    <w:rsid w:val="00772B55"/>
    <w:rsid w:val="00772D12"/>
    <w:rsid w:val="00772E53"/>
    <w:rsid w:val="00772EB1"/>
    <w:rsid w:val="00772F59"/>
    <w:rsid w:val="00773245"/>
    <w:rsid w:val="00773450"/>
    <w:rsid w:val="007734CC"/>
    <w:rsid w:val="00773582"/>
    <w:rsid w:val="007735B7"/>
    <w:rsid w:val="007736D9"/>
    <w:rsid w:val="00773A7E"/>
    <w:rsid w:val="00773AD4"/>
    <w:rsid w:val="00773BF6"/>
    <w:rsid w:val="00773CD9"/>
    <w:rsid w:val="00773EBF"/>
    <w:rsid w:val="00773EFF"/>
    <w:rsid w:val="0077402B"/>
    <w:rsid w:val="00774057"/>
    <w:rsid w:val="0077412A"/>
    <w:rsid w:val="0077417A"/>
    <w:rsid w:val="007744A0"/>
    <w:rsid w:val="00774AFC"/>
    <w:rsid w:val="00774BBE"/>
    <w:rsid w:val="00775359"/>
    <w:rsid w:val="00775624"/>
    <w:rsid w:val="007756E0"/>
    <w:rsid w:val="0077572F"/>
    <w:rsid w:val="0077574B"/>
    <w:rsid w:val="0077591C"/>
    <w:rsid w:val="00775B6D"/>
    <w:rsid w:val="00775BD3"/>
    <w:rsid w:val="00775C36"/>
    <w:rsid w:val="00775D01"/>
    <w:rsid w:val="00775DD4"/>
    <w:rsid w:val="0077612E"/>
    <w:rsid w:val="00776385"/>
    <w:rsid w:val="00776393"/>
    <w:rsid w:val="0077646C"/>
    <w:rsid w:val="007767CD"/>
    <w:rsid w:val="00776C3F"/>
    <w:rsid w:val="00776CB8"/>
    <w:rsid w:val="00776F04"/>
    <w:rsid w:val="007770F3"/>
    <w:rsid w:val="00777705"/>
    <w:rsid w:val="0077771C"/>
    <w:rsid w:val="00777B26"/>
    <w:rsid w:val="00777FF1"/>
    <w:rsid w:val="00780030"/>
    <w:rsid w:val="007801BC"/>
    <w:rsid w:val="007802A5"/>
    <w:rsid w:val="00780354"/>
    <w:rsid w:val="00780503"/>
    <w:rsid w:val="0078064E"/>
    <w:rsid w:val="00780D3E"/>
    <w:rsid w:val="00781052"/>
    <w:rsid w:val="00781106"/>
    <w:rsid w:val="00781227"/>
    <w:rsid w:val="00781320"/>
    <w:rsid w:val="0078159C"/>
    <w:rsid w:val="007815CA"/>
    <w:rsid w:val="00781701"/>
    <w:rsid w:val="0078197A"/>
    <w:rsid w:val="00781B1A"/>
    <w:rsid w:val="00781B33"/>
    <w:rsid w:val="007823EE"/>
    <w:rsid w:val="007828C4"/>
    <w:rsid w:val="007828C8"/>
    <w:rsid w:val="00782B21"/>
    <w:rsid w:val="00782E3D"/>
    <w:rsid w:val="00782E55"/>
    <w:rsid w:val="00782EAF"/>
    <w:rsid w:val="00782F60"/>
    <w:rsid w:val="00783040"/>
    <w:rsid w:val="0078311A"/>
    <w:rsid w:val="007832C4"/>
    <w:rsid w:val="00783510"/>
    <w:rsid w:val="0078358E"/>
    <w:rsid w:val="0078368F"/>
    <w:rsid w:val="00783745"/>
    <w:rsid w:val="00783768"/>
    <w:rsid w:val="00783940"/>
    <w:rsid w:val="00783AC0"/>
    <w:rsid w:val="00783D1D"/>
    <w:rsid w:val="00783ED4"/>
    <w:rsid w:val="00784079"/>
    <w:rsid w:val="0078433B"/>
    <w:rsid w:val="007847E3"/>
    <w:rsid w:val="00784921"/>
    <w:rsid w:val="0078496B"/>
    <w:rsid w:val="00784B21"/>
    <w:rsid w:val="00784DC0"/>
    <w:rsid w:val="00784DEB"/>
    <w:rsid w:val="00784E9B"/>
    <w:rsid w:val="00784F4A"/>
    <w:rsid w:val="00784FA1"/>
    <w:rsid w:val="0078503E"/>
    <w:rsid w:val="007851FF"/>
    <w:rsid w:val="007854AB"/>
    <w:rsid w:val="00785521"/>
    <w:rsid w:val="0078565D"/>
    <w:rsid w:val="00785785"/>
    <w:rsid w:val="0078582A"/>
    <w:rsid w:val="0078599E"/>
    <w:rsid w:val="00785A60"/>
    <w:rsid w:val="00785C30"/>
    <w:rsid w:val="00785C46"/>
    <w:rsid w:val="00785CF5"/>
    <w:rsid w:val="00785D08"/>
    <w:rsid w:val="00785F13"/>
    <w:rsid w:val="0078603A"/>
    <w:rsid w:val="0078614B"/>
    <w:rsid w:val="0078617C"/>
    <w:rsid w:val="0078668B"/>
    <w:rsid w:val="0078678A"/>
    <w:rsid w:val="00786B74"/>
    <w:rsid w:val="00786BC0"/>
    <w:rsid w:val="0078733B"/>
    <w:rsid w:val="0078737A"/>
    <w:rsid w:val="007874D2"/>
    <w:rsid w:val="00787597"/>
    <w:rsid w:val="00787C48"/>
    <w:rsid w:val="00787CA0"/>
    <w:rsid w:val="00787DFE"/>
    <w:rsid w:val="00787F7E"/>
    <w:rsid w:val="00790263"/>
    <w:rsid w:val="0079029B"/>
    <w:rsid w:val="007902F6"/>
    <w:rsid w:val="0079059B"/>
    <w:rsid w:val="007907D3"/>
    <w:rsid w:val="0079099B"/>
    <w:rsid w:val="00790A58"/>
    <w:rsid w:val="00790D0E"/>
    <w:rsid w:val="00791006"/>
    <w:rsid w:val="0079110D"/>
    <w:rsid w:val="0079118A"/>
    <w:rsid w:val="00791621"/>
    <w:rsid w:val="00791649"/>
    <w:rsid w:val="00791821"/>
    <w:rsid w:val="007918DB"/>
    <w:rsid w:val="007918FD"/>
    <w:rsid w:val="00791C04"/>
    <w:rsid w:val="00791C2A"/>
    <w:rsid w:val="00791D89"/>
    <w:rsid w:val="00792031"/>
    <w:rsid w:val="00792145"/>
    <w:rsid w:val="0079227B"/>
    <w:rsid w:val="00792391"/>
    <w:rsid w:val="007925FC"/>
    <w:rsid w:val="00792AE3"/>
    <w:rsid w:val="00792B10"/>
    <w:rsid w:val="00792B71"/>
    <w:rsid w:val="00792BAB"/>
    <w:rsid w:val="00792C41"/>
    <w:rsid w:val="00792DE6"/>
    <w:rsid w:val="00792E94"/>
    <w:rsid w:val="00793086"/>
    <w:rsid w:val="0079328A"/>
    <w:rsid w:val="00793416"/>
    <w:rsid w:val="0079373A"/>
    <w:rsid w:val="0079381A"/>
    <w:rsid w:val="007938E3"/>
    <w:rsid w:val="00793CC1"/>
    <w:rsid w:val="00793D15"/>
    <w:rsid w:val="00793F80"/>
    <w:rsid w:val="00794004"/>
    <w:rsid w:val="00794239"/>
    <w:rsid w:val="00794257"/>
    <w:rsid w:val="007943B5"/>
    <w:rsid w:val="007943D8"/>
    <w:rsid w:val="00794533"/>
    <w:rsid w:val="00794687"/>
    <w:rsid w:val="007948B2"/>
    <w:rsid w:val="0079512E"/>
    <w:rsid w:val="0079563A"/>
    <w:rsid w:val="00795687"/>
    <w:rsid w:val="007958B8"/>
    <w:rsid w:val="00795AE3"/>
    <w:rsid w:val="00795CBF"/>
    <w:rsid w:val="00795F51"/>
    <w:rsid w:val="0079617B"/>
    <w:rsid w:val="007963F0"/>
    <w:rsid w:val="00796496"/>
    <w:rsid w:val="00796689"/>
    <w:rsid w:val="00796928"/>
    <w:rsid w:val="0079699D"/>
    <w:rsid w:val="007969B8"/>
    <w:rsid w:val="00796BD2"/>
    <w:rsid w:val="00796C66"/>
    <w:rsid w:val="00796E0C"/>
    <w:rsid w:val="00797001"/>
    <w:rsid w:val="00797040"/>
    <w:rsid w:val="00797113"/>
    <w:rsid w:val="00797BC0"/>
    <w:rsid w:val="007A024C"/>
    <w:rsid w:val="007A02FD"/>
    <w:rsid w:val="007A04A9"/>
    <w:rsid w:val="007A04D3"/>
    <w:rsid w:val="007A0523"/>
    <w:rsid w:val="007A0807"/>
    <w:rsid w:val="007A08DB"/>
    <w:rsid w:val="007A0ABD"/>
    <w:rsid w:val="007A0C2B"/>
    <w:rsid w:val="007A0C3E"/>
    <w:rsid w:val="007A0C6E"/>
    <w:rsid w:val="007A1034"/>
    <w:rsid w:val="007A1438"/>
    <w:rsid w:val="007A152E"/>
    <w:rsid w:val="007A1618"/>
    <w:rsid w:val="007A1A82"/>
    <w:rsid w:val="007A1B54"/>
    <w:rsid w:val="007A22CE"/>
    <w:rsid w:val="007A22E8"/>
    <w:rsid w:val="007A27F0"/>
    <w:rsid w:val="007A27FA"/>
    <w:rsid w:val="007A2971"/>
    <w:rsid w:val="007A2976"/>
    <w:rsid w:val="007A2D9E"/>
    <w:rsid w:val="007A2DB5"/>
    <w:rsid w:val="007A2DDD"/>
    <w:rsid w:val="007A2E96"/>
    <w:rsid w:val="007A3155"/>
    <w:rsid w:val="007A3507"/>
    <w:rsid w:val="007A3512"/>
    <w:rsid w:val="007A3595"/>
    <w:rsid w:val="007A368A"/>
    <w:rsid w:val="007A380D"/>
    <w:rsid w:val="007A3958"/>
    <w:rsid w:val="007A39C7"/>
    <w:rsid w:val="007A3AB3"/>
    <w:rsid w:val="007A3B1A"/>
    <w:rsid w:val="007A3E75"/>
    <w:rsid w:val="007A4631"/>
    <w:rsid w:val="007A46EE"/>
    <w:rsid w:val="007A489E"/>
    <w:rsid w:val="007A49D7"/>
    <w:rsid w:val="007A49E7"/>
    <w:rsid w:val="007A4E43"/>
    <w:rsid w:val="007A4FD7"/>
    <w:rsid w:val="007A50AB"/>
    <w:rsid w:val="007A52BC"/>
    <w:rsid w:val="007A5457"/>
    <w:rsid w:val="007A5626"/>
    <w:rsid w:val="007A5734"/>
    <w:rsid w:val="007A5764"/>
    <w:rsid w:val="007A58AD"/>
    <w:rsid w:val="007A5A29"/>
    <w:rsid w:val="007A5BEC"/>
    <w:rsid w:val="007A5C58"/>
    <w:rsid w:val="007A61C0"/>
    <w:rsid w:val="007A61D2"/>
    <w:rsid w:val="007A6599"/>
    <w:rsid w:val="007A66D2"/>
    <w:rsid w:val="007A67B1"/>
    <w:rsid w:val="007A6988"/>
    <w:rsid w:val="007A6CFA"/>
    <w:rsid w:val="007A6D08"/>
    <w:rsid w:val="007A7015"/>
    <w:rsid w:val="007A7138"/>
    <w:rsid w:val="007A74D9"/>
    <w:rsid w:val="007A76A1"/>
    <w:rsid w:val="007A77F2"/>
    <w:rsid w:val="007A7989"/>
    <w:rsid w:val="007A7FAA"/>
    <w:rsid w:val="007B00FD"/>
    <w:rsid w:val="007B01BC"/>
    <w:rsid w:val="007B04A2"/>
    <w:rsid w:val="007B056E"/>
    <w:rsid w:val="007B0598"/>
    <w:rsid w:val="007B06A0"/>
    <w:rsid w:val="007B0853"/>
    <w:rsid w:val="007B1769"/>
    <w:rsid w:val="007B1798"/>
    <w:rsid w:val="007B17D0"/>
    <w:rsid w:val="007B180D"/>
    <w:rsid w:val="007B1969"/>
    <w:rsid w:val="007B1C46"/>
    <w:rsid w:val="007B2056"/>
    <w:rsid w:val="007B21A5"/>
    <w:rsid w:val="007B22A2"/>
    <w:rsid w:val="007B2406"/>
    <w:rsid w:val="007B24E8"/>
    <w:rsid w:val="007B2FCE"/>
    <w:rsid w:val="007B300D"/>
    <w:rsid w:val="007B30D3"/>
    <w:rsid w:val="007B3299"/>
    <w:rsid w:val="007B32B9"/>
    <w:rsid w:val="007B333B"/>
    <w:rsid w:val="007B34E4"/>
    <w:rsid w:val="007B361F"/>
    <w:rsid w:val="007B38DA"/>
    <w:rsid w:val="007B38E8"/>
    <w:rsid w:val="007B3B8F"/>
    <w:rsid w:val="007B3BC0"/>
    <w:rsid w:val="007B3D5E"/>
    <w:rsid w:val="007B3EFC"/>
    <w:rsid w:val="007B4367"/>
    <w:rsid w:val="007B448E"/>
    <w:rsid w:val="007B459A"/>
    <w:rsid w:val="007B48E7"/>
    <w:rsid w:val="007B4B6F"/>
    <w:rsid w:val="007B4E1F"/>
    <w:rsid w:val="007B50A3"/>
    <w:rsid w:val="007B526F"/>
    <w:rsid w:val="007B52FA"/>
    <w:rsid w:val="007B565F"/>
    <w:rsid w:val="007B56A1"/>
    <w:rsid w:val="007B56DA"/>
    <w:rsid w:val="007B58A8"/>
    <w:rsid w:val="007B5987"/>
    <w:rsid w:val="007B5A00"/>
    <w:rsid w:val="007B5A08"/>
    <w:rsid w:val="007B5A4F"/>
    <w:rsid w:val="007B5BA2"/>
    <w:rsid w:val="007B5C1B"/>
    <w:rsid w:val="007B5C5D"/>
    <w:rsid w:val="007B5E86"/>
    <w:rsid w:val="007B5EFA"/>
    <w:rsid w:val="007B5FD6"/>
    <w:rsid w:val="007B6132"/>
    <w:rsid w:val="007B6209"/>
    <w:rsid w:val="007B65DC"/>
    <w:rsid w:val="007B6779"/>
    <w:rsid w:val="007B6827"/>
    <w:rsid w:val="007B6855"/>
    <w:rsid w:val="007B6897"/>
    <w:rsid w:val="007B68B9"/>
    <w:rsid w:val="007B6954"/>
    <w:rsid w:val="007B6C0D"/>
    <w:rsid w:val="007B6C8C"/>
    <w:rsid w:val="007B6EBB"/>
    <w:rsid w:val="007B7315"/>
    <w:rsid w:val="007B74C9"/>
    <w:rsid w:val="007B76F1"/>
    <w:rsid w:val="007B7837"/>
    <w:rsid w:val="007B7907"/>
    <w:rsid w:val="007B7951"/>
    <w:rsid w:val="007B7B27"/>
    <w:rsid w:val="007B7B52"/>
    <w:rsid w:val="007B7C25"/>
    <w:rsid w:val="007B7DCE"/>
    <w:rsid w:val="007C004F"/>
    <w:rsid w:val="007C02F6"/>
    <w:rsid w:val="007C072D"/>
    <w:rsid w:val="007C0868"/>
    <w:rsid w:val="007C0B6A"/>
    <w:rsid w:val="007C10E2"/>
    <w:rsid w:val="007C11B0"/>
    <w:rsid w:val="007C140A"/>
    <w:rsid w:val="007C1421"/>
    <w:rsid w:val="007C1460"/>
    <w:rsid w:val="007C16B5"/>
    <w:rsid w:val="007C1747"/>
    <w:rsid w:val="007C1762"/>
    <w:rsid w:val="007C1801"/>
    <w:rsid w:val="007C19BB"/>
    <w:rsid w:val="007C1A49"/>
    <w:rsid w:val="007C1C4E"/>
    <w:rsid w:val="007C1FCA"/>
    <w:rsid w:val="007C2007"/>
    <w:rsid w:val="007C208E"/>
    <w:rsid w:val="007C2592"/>
    <w:rsid w:val="007C2654"/>
    <w:rsid w:val="007C27B7"/>
    <w:rsid w:val="007C2911"/>
    <w:rsid w:val="007C2C59"/>
    <w:rsid w:val="007C344A"/>
    <w:rsid w:val="007C3493"/>
    <w:rsid w:val="007C349F"/>
    <w:rsid w:val="007C38B3"/>
    <w:rsid w:val="007C3CA7"/>
    <w:rsid w:val="007C409F"/>
    <w:rsid w:val="007C4416"/>
    <w:rsid w:val="007C44FA"/>
    <w:rsid w:val="007C4719"/>
    <w:rsid w:val="007C4903"/>
    <w:rsid w:val="007C4983"/>
    <w:rsid w:val="007C49B0"/>
    <w:rsid w:val="007C4D71"/>
    <w:rsid w:val="007C503E"/>
    <w:rsid w:val="007C53E2"/>
    <w:rsid w:val="007C54E1"/>
    <w:rsid w:val="007C5BC4"/>
    <w:rsid w:val="007C5C55"/>
    <w:rsid w:val="007C5EDB"/>
    <w:rsid w:val="007C604A"/>
    <w:rsid w:val="007C616C"/>
    <w:rsid w:val="007C62B6"/>
    <w:rsid w:val="007C62BA"/>
    <w:rsid w:val="007C649F"/>
    <w:rsid w:val="007C64BE"/>
    <w:rsid w:val="007C6554"/>
    <w:rsid w:val="007C6565"/>
    <w:rsid w:val="007C6864"/>
    <w:rsid w:val="007C6882"/>
    <w:rsid w:val="007C6ADE"/>
    <w:rsid w:val="007C6F4F"/>
    <w:rsid w:val="007C7199"/>
    <w:rsid w:val="007C7306"/>
    <w:rsid w:val="007C7473"/>
    <w:rsid w:val="007C747A"/>
    <w:rsid w:val="007C752B"/>
    <w:rsid w:val="007C76BA"/>
    <w:rsid w:val="007C783B"/>
    <w:rsid w:val="007C79A6"/>
    <w:rsid w:val="007C7C46"/>
    <w:rsid w:val="007C7E09"/>
    <w:rsid w:val="007C7E2D"/>
    <w:rsid w:val="007D01D3"/>
    <w:rsid w:val="007D01D4"/>
    <w:rsid w:val="007D03ED"/>
    <w:rsid w:val="007D075B"/>
    <w:rsid w:val="007D0DAF"/>
    <w:rsid w:val="007D0DE4"/>
    <w:rsid w:val="007D0E40"/>
    <w:rsid w:val="007D0E5B"/>
    <w:rsid w:val="007D0F9F"/>
    <w:rsid w:val="007D12B8"/>
    <w:rsid w:val="007D1A0C"/>
    <w:rsid w:val="007D1A76"/>
    <w:rsid w:val="007D1E53"/>
    <w:rsid w:val="007D1F06"/>
    <w:rsid w:val="007D1F2F"/>
    <w:rsid w:val="007D1F88"/>
    <w:rsid w:val="007D2085"/>
    <w:rsid w:val="007D20B6"/>
    <w:rsid w:val="007D221A"/>
    <w:rsid w:val="007D2423"/>
    <w:rsid w:val="007D24A8"/>
    <w:rsid w:val="007D25EA"/>
    <w:rsid w:val="007D25F6"/>
    <w:rsid w:val="007D282E"/>
    <w:rsid w:val="007D2A8E"/>
    <w:rsid w:val="007D2D69"/>
    <w:rsid w:val="007D2D8C"/>
    <w:rsid w:val="007D2DE7"/>
    <w:rsid w:val="007D2E76"/>
    <w:rsid w:val="007D303E"/>
    <w:rsid w:val="007D309A"/>
    <w:rsid w:val="007D3411"/>
    <w:rsid w:val="007D379F"/>
    <w:rsid w:val="007D3812"/>
    <w:rsid w:val="007D3822"/>
    <w:rsid w:val="007D39CB"/>
    <w:rsid w:val="007D3C27"/>
    <w:rsid w:val="007D4436"/>
    <w:rsid w:val="007D4600"/>
    <w:rsid w:val="007D495A"/>
    <w:rsid w:val="007D49DF"/>
    <w:rsid w:val="007D4A5D"/>
    <w:rsid w:val="007D4C2E"/>
    <w:rsid w:val="007D4D4E"/>
    <w:rsid w:val="007D4E9C"/>
    <w:rsid w:val="007D5109"/>
    <w:rsid w:val="007D5113"/>
    <w:rsid w:val="007D5687"/>
    <w:rsid w:val="007D571E"/>
    <w:rsid w:val="007D5778"/>
    <w:rsid w:val="007D595A"/>
    <w:rsid w:val="007D5A02"/>
    <w:rsid w:val="007D5A09"/>
    <w:rsid w:val="007D5A20"/>
    <w:rsid w:val="007D5CAB"/>
    <w:rsid w:val="007D5E31"/>
    <w:rsid w:val="007D6364"/>
    <w:rsid w:val="007D63CF"/>
    <w:rsid w:val="007D64EB"/>
    <w:rsid w:val="007D65B4"/>
    <w:rsid w:val="007D6997"/>
    <w:rsid w:val="007D69A0"/>
    <w:rsid w:val="007D6B14"/>
    <w:rsid w:val="007D6C5D"/>
    <w:rsid w:val="007D6C8E"/>
    <w:rsid w:val="007D6F84"/>
    <w:rsid w:val="007D724E"/>
    <w:rsid w:val="007D7254"/>
    <w:rsid w:val="007D744F"/>
    <w:rsid w:val="007D77C1"/>
    <w:rsid w:val="007D7A0B"/>
    <w:rsid w:val="007D7A5F"/>
    <w:rsid w:val="007D7AAF"/>
    <w:rsid w:val="007D7C1B"/>
    <w:rsid w:val="007D7D49"/>
    <w:rsid w:val="007D7F63"/>
    <w:rsid w:val="007E0043"/>
    <w:rsid w:val="007E06F0"/>
    <w:rsid w:val="007E08BA"/>
    <w:rsid w:val="007E09AE"/>
    <w:rsid w:val="007E0B02"/>
    <w:rsid w:val="007E0F2E"/>
    <w:rsid w:val="007E14D6"/>
    <w:rsid w:val="007E1738"/>
    <w:rsid w:val="007E1C01"/>
    <w:rsid w:val="007E1C4D"/>
    <w:rsid w:val="007E1EE8"/>
    <w:rsid w:val="007E1FBA"/>
    <w:rsid w:val="007E2012"/>
    <w:rsid w:val="007E2241"/>
    <w:rsid w:val="007E22D0"/>
    <w:rsid w:val="007E23BF"/>
    <w:rsid w:val="007E23F3"/>
    <w:rsid w:val="007E257B"/>
    <w:rsid w:val="007E2A47"/>
    <w:rsid w:val="007E2A84"/>
    <w:rsid w:val="007E2C6E"/>
    <w:rsid w:val="007E32AB"/>
    <w:rsid w:val="007E337F"/>
    <w:rsid w:val="007E356A"/>
    <w:rsid w:val="007E3BB6"/>
    <w:rsid w:val="007E3D7C"/>
    <w:rsid w:val="007E3E31"/>
    <w:rsid w:val="007E3EA5"/>
    <w:rsid w:val="007E3ECB"/>
    <w:rsid w:val="007E4040"/>
    <w:rsid w:val="007E441D"/>
    <w:rsid w:val="007E446F"/>
    <w:rsid w:val="007E47F7"/>
    <w:rsid w:val="007E4C58"/>
    <w:rsid w:val="007E4C77"/>
    <w:rsid w:val="007E4CBA"/>
    <w:rsid w:val="007E4D12"/>
    <w:rsid w:val="007E5004"/>
    <w:rsid w:val="007E51B9"/>
    <w:rsid w:val="007E52D6"/>
    <w:rsid w:val="007E5570"/>
    <w:rsid w:val="007E55A6"/>
    <w:rsid w:val="007E5649"/>
    <w:rsid w:val="007E5958"/>
    <w:rsid w:val="007E5A21"/>
    <w:rsid w:val="007E615B"/>
    <w:rsid w:val="007E6195"/>
    <w:rsid w:val="007E6201"/>
    <w:rsid w:val="007E63D9"/>
    <w:rsid w:val="007E66E1"/>
    <w:rsid w:val="007E6BC6"/>
    <w:rsid w:val="007E6DD5"/>
    <w:rsid w:val="007E7362"/>
    <w:rsid w:val="007E7387"/>
    <w:rsid w:val="007E739B"/>
    <w:rsid w:val="007E74BE"/>
    <w:rsid w:val="007E7ABE"/>
    <w:rsid w:val="007E7AE7"/>
    <w:rsid w:val="007F0139"/>
    <w:rsid w:val="007F016F"/>
    <w:rsid w:val="007F0185"/>
    <w:rsid w:val="007F02BF"/>
    <w:rsid w:val="007F0ADD"/>
    <w:rsid w:val="007F0B86"/>
    <w:rsid w:val="007F0C42"/>
    <w:rsid w:val="007F0E2B"/>
    <w:rsid w:val="007F0F45"/>
    <w:rsid w:val="007F1069"/>
    <w:rsid w:val="007F1098"/>
    <w:rsid w:val="007F122F"/>
    <w:rsid w:val="007F12DC"/>
    <w:rsid w:val="007F1464"/>
    <w:rsid w:val="007F158D"/>
    <w:rsid w:val="007F180B"/>
    <w:rsid w:val="007F1928"/>
    <w:rsid w:val="007F19DB"/>
    <w:rsid w:val="007F1A5F"/>
    <w:rsid w:val="007F1C4E"/>
    <w:rsid w:val="007F1D7E"/>
    <w:rsid w:val="007F20FE"/>
    <w:rsid w:val="007F2190"/>
    <w:rsid w:val="007F2497"/>
    <w:rsid w:val="007F2991"/>
    <w:rsid w:val="007F2A0C"/>
    <w:rsid w:val="007F2B62"/>
    <w:rsid w:val="007F2BC0"/>
    <w:rsid w:val="007F2EB7"/>
    <w:rsid w:val="007F32B7"/>
    <w:rsid w:val="007F3358"/>
    <w:rsid w:val="007F34BC"/>
    <w:rsid w:val="007F3513"/>
    <w:rsid w:val="007F36DF"/>
    <w:rsid w:val="007F3722"/>
    <w:rsid w:val="007F37F2"/>
    <w:rsid w:val="007F3843"/>
    <w:rsid w:val="007F392B"/>
    <w:rsid w:val="007F3A35"/>
    <w:rsid w:val="007F3BA1"/>
    <w:rsid w:val="007F3C38"/>
    <w:rsid w:val="007F3C55"/>
    <w:rsid w:val="007F3D75"/>
    <w:rsid w:val="007F3E52"/>
    <w:rsid w:val="007F4131"/>
    <w:rsid w:val="007F418F"/>
    <w:rsid w:val="007F433A"/>
    <w:rsid w:val="007F4455"/>
    <w:rsid w:val="007F49B0"/>
    <w:rsid w:val="007F4B12"/>
    <w:rsid w:val="007F4D01"/>
    <w:rsid w:val="007F5038"/>
    <w:rsid w:val="007F5119"/>
    <w:rsid w:val="007F5200"/>
    <w:rsid w:val="007F54FC"/>
    <w:rsid w:val="007F58FD"/>
    <w:rsid w:val="007F5A13"/>
    <w:rsid w:val="007F5A32"/>
    <w:rsid w:val="007F5AA2"/>
    <w:rsid w:val="007F5D3F"/>
    <w:rsid w:val="007F5D73"/>
    <w:rsid w:val="007F5EB4"/>
    <w:rsid w:val="007F5FAB"/>
    <w:rsid w:val="007F6323"/>
    <w:rsid w:val="007F650A"/>
    <w:rsid w:val="007F66E6"/>
    <w:rsid w:val="007F67CC"/>
    <w:rsid w:val="007F6932"/>
    <w:rsid w:val="007F6B40"/>
    <w:rsid w:val="007F6F99"/>
    <w:rsid w:val="007F7342"/>
    <w:rsid w:val="007F7481"/>
    <w:rsid w:val="007F74BF"/>
    <w:rsid w:val="007F75BB"/>
    <w:rsid w:val="007F75D9"/>
    <w:rsid w:val="007F7751"/>
    <w:rsid w:val="007F7834"/>
    <w:rsid w:val="007F79EC"/>
    <w:rsid w:val="007F7A3C"/>
    <w:rsid w:val="007F7A64"/>
    <w:rsid w:val="007F7C43"/>
    <w:rsid w:val="0080002E"/>
    <w:rsid w:val="008003F8"/>
    <w:rsid w:val="008005B5"/>
    <w:rsid w:val="0080063C"/>
    <w:rsid w:val="0080070B"/>
    <w:rsid w:val="0080093B"/>
    <w:rsid w:val="00800EC5"/>
    <w:rsid w:val="00800FB5"/>
    <w:rsid w:val="008011B9"/>
    <w:rsid w:val="00801620"/>
    <w:rsid w:val="0080166B"/>
    <w:rsid w:val="00801BB9"/>
    <w:rsid w:val="008025EB"/>
    <w:rsid w:val="008027B9"/>
    <w:rsid w:val="00802945"/>
    <w:rsid w:val="00802AED"/>
    <w:rsid w:val="00802DC4"/>
    <w:rsid w:val="00802E6B"/>
    <w:rsid w:val="00803072"/>
    <w:rsid w:val="00803444"/>
    <w:rsid w:val="00803571"/>
    <w:rsid w:val="008036A3"/>
    <w:rsid w:val="0080370A"/>
    <w:rsid w:val="00803808"/>
    <w:rsid w:val="00803809"/>
    <w:rsid w:val="00803938"/>
    <w:rsid w:val="00803B02"/>
    <w:rsid w:val="00803C44"/>
    <w:rsid w:val="00803FFC"/>
    <w:rsid w:val="00804598"/>
    <w:rsid w:val="00804669"/>
    <w:rsid w:val="00804A2B"/>
    <w:rsid w:val="00804C47"/>
    <w:rsid w:val="00804C98"/>
    <w:rsid w:val="00804D29"/>
    <w:rsid w:val="00804E22"/>
    <w:rsid w:val="00804F6F"/>
    <w:rsid w:val="008050D8"/>
    <w:rsid w:val="0080544F"/>
    <w:rsid w:val="008056BF"/>
    <w:rsid w:val="00805856"/>
    <w:rsid w:val="008058E5"/>
    <w:rsid w:val="00805A2D"/>
    <w:rsid w:val="00805AF6"/>
    <w:rsid w:val="00805B97"/>
    <w:rsid w:val="00805C37"/>
    <w:rsid w:val="00805D39"/>
    <w:rsid w:val="00805E18"/>
    <w:rsid w:val="00805F0B"/>
    <w:rsid w:val="00805F23"/>
    <w:rsid w:val="00806439"/>
    <w:rsid w:val="00806964"/>
    <w:rsid w:val="00806967"/>
    <w:rsid w:val="00806DA7"/>
    <w:rsid w:val="00807011"/>
    <w:rsid w:val="008070DA"/>
    <w:rsid w:val="008073CD"/>
    <w:rsid w:val="0080741B"/>
    <w:rsid w:val="00807523"/>
    <w:rsid w:val="008075FB"/>
    <w:rsid w:val="008078BC"/>
    <w:rsid w:val="00807918"/>
    <w:rsid w:val="008100AA"/>
    <w:rsid w:val="00810140"/>
    <w:rsid w:val="008106AD"/>
    <w:rsid w:val="00810FD0"/>
    <w:rsid w:val="00810FF5"/>
    <w:rsid w:val="0081114D"/>
    <w:rsid w:val="00811C2C"/>
    <w:rsid w:val="00811D6E"/>
    <w:rsid w:val="008120AD"/>
    <w:rsid w:val="0081241C"/>
    <w:rsid w:val="00812796"/>
    <w:rsid w:val="008128AB"/>
    <w:rsid w:val="008128DB"/>
    <w:rsid w:val="0081294C"/>
    <w:rsid w:val="00812BDF"/>
    <w:rsid w:val="00812C21"/>
    <w:rsid w:val="00812C5D"/>
    <w:rsid w:val="00812CDD"/>
    <w:rsid w:val="00812F14"/>
    <w:rsid w:val="00812F29"/>
    <w:rsid w:val="0081317F"/>
    <w:rsid w:val="00813410"/>
    <w:rsid w:val="008134FA"/>
    <w:rsid w:val="008136D3"/>
    <w:rsid w:val="00813741"/>
    <w:rsid w:val="00813A6F"/>
    <w:rsid w:val="00813E4C"/>
    <w:rsid w:val="00813E85"/>
    <w:rsid w:val="00813ED0"/>
    <w:rsid w:val="00813FAA"/>
    <w:rsid w:val="008144E2"/>
    <w:rsid w:val="00814562"/>
    <w:rsid w:val="0081481C"/>
    <w:rsid w:val="00814839"/>
    <w:rsid w:val="008148AE"/>
    <w:rsid w:val="00814CCF"/>
    <w:rsid w:val="00814D08"/>
    <w:rsid w:val="00814F09"/>
    <w:rsid w:val="00814F83"/>
    <w:rsid w:val="008150FD"/>
    <w:rsid w:val="00815215"/>
    <w:rsid w:val="0081531E"/>
    <w:rsid w:val="008153F9"/>
    <w:rsid w:val="008158D2"/>
    <w:rsid w:val="00815910"/>
    <w:rsid w:val="00815A45"/>
    <w:rsid w:val="00815C0A"/>
    <w:rsid w:val="00815D14"/>
    <w:rsid w:val="00815DCC"/>
    <w:rsid w:val="00816131"/>
    <w:rsid w:val="008162BE"/>
    <w:rsid w:val="00816328"/>
    <w:rsid w:val="0081647D"/>
    <w:rsid w:val="0081690D"/>
    <w:rsid w:val="0081695C"/>
    <w:rsid w:val="00816B0D"/>
    <w:rsid w:val="00816D9C"/>
    <w:rsid w:val="00816DA3"/>
    <w:rsid w:val="00816EBC"/>
    <w:rsid w:val="00817091"/>
    <w:rsid w:val="00817355"/>
    <w:rsid w:val="008173B6"/>
    <w:rsid w:val="00817759"/>
    <w:rsid w:val="0081775E"/>
    <w:rsid w:val="008177EA"/>
    <w:rsid w:val="00817DAC"/>
    <w:rsid w:val="00820122"/>
    <w:rsid w:val="0082019C"/>
    <w:rsid w:val="00820364"/>
    <w:rsid w:val="008203C4"/>
    <w:rsid w:val="00820E17"/>
    <w:rsid w:val="00820E76"/>
    <w:rsid w:val="008211A8"/>
    <w:rsid w:val="0082157A"/>
    <w:rsid w:val="008218AF"/>
    <w:rsid w:val="00821B37"/>
    <w:rsid w:val="00821DA1"/>
    <w:rsid w:val="00821EFC"/>
    <w:rsid w:val="0082218E"/>
    <w:rsid w:val="008223E0"/>
    <w:rsid w:val="008223E8"/>
    <w:rsid w:val="008224C4"/>
    <w:rsid w:val="008224F3"/>
    <w:rsid w:val="0082274D"/>
    <w:rsid w:val="008229EF"/>
    <w:rsid w:val="00822B48"/>
    <w:rsid w:val="00822C74"/>
    <w:rsid w:val="00822E00"/>
    <w:rsid w:val="00823265"/>
    <w:rsid w:val="008233CC"/>
    <w:rsid w:val="008234EE"/>
    <w:rsid w:val="00823794"/>
    <w:rsid w:val="00823AD9"/>
    <w:rsid w:val="00823DE8"/>
    <w:rsid w:val="00824107"/>
    <w:rsid w:val="008241F4"/>
    <w:rsid w:val="00824223"/>
    <w:rsid w:val="00824395"/>
    <w:rsid w:val="008245A9"/>
    <w:rsid w:val="00824689"/>
    <w:rsid w:val="008247AF"/>
    <w:rsid w:val="008247E5"/>
    <w:rsid w:val="00824AD2"/>
    <w:rsid w:val="00824E76"/>
    <w:rsid w:val="00825475"/>
    <w:rsid w:val="008254C0"/>
    <w:rsid w:val="0082555E"/>
    <w:rsid w:val="0082558A"/>
    <w:rsid w:val="0082558B"/>
    <w:rsid w:val="008256BF"/>
    <w:rsid w:val="00825713"/>
    <w:rsid w:val="00825807"/>
    <w:rsid w:val="00825940"/>
    <w:rsid w:val="008259CA"/>
    <w:rsid w:val="00825AA1"/>
    <w:rsid w:val="00825C3E"/>
    <w:rsid w:val="00825CCA"/>
    <w:rsid w:val="00825F5D"/>
    <w:rsid w:val="0082629B"/>
    <w:rsid w:val="008270F8"/>
    <w:rsid w:val="00827186"/>
    <w:rsid w:val="0082731B"/>
    <w:rsid w:val="0082739A"/>
    <w:rsid w:val="00827420"/>
    <w:rsid w:val="008274F0"/>
    <w:rsid w:val="00827625"/>
    <w:rsid w:val="0082786C"/>
    <w:rsid w:val="008279A7"/>
    <w:rsid w:val="00827CAC"/>
    <w:rsid w:val="00827D16"/>
    <w:rsid w:val="00827D66"/>
    <w:rsid w:val="00827EB5"/>
    <w:rsid w:val="00827F29"/>
    <w:rsid w:val="00827FD1"/>
    <w:rsid w:val="00830089"/>
    <w:rsid w:val="008300F9"/>
    <w:rsid w:val="00830454"/>
    <w:rsid w:val="008304DC"/>
    <w:rsid w:val="00830725"/>
    <w:rsid w:val="008309DE"/>
    <w:rsid w:val="00830A5C"/>
    <w:rsid w:val="00830B63"/>
    <w:rsid w:val="00830BF4"/>
    <w:rsid w:val="00830C83"/>
    <w:rsid w:val="00830F0B"/>
    <w:rsid w:val="00831203"/>
    <w:rsid w:val="00831348"/>
    <w:rsid w:val="00831722"/>
    <w:rsid w:val="00831D9C"/>
    <w:rsid w:val="00831F05"/>
    <w:rsid w:val="008321A7"/>
    <w:rsid w:val="00832397"/>
    <w:rsid w:val="008325CD"/>
    <w:rsid w:val="008329B3"/>
    <w:rsid w:val="00832A0D"/>
    <w:rsid w:val="00832B3D"/>
    <w:rsid w:val="00832DE2"/>
    <w:rsid w:val="00832DF6"/>
    <w:rsid w:val="00833905"/>
    <w:rsid w:val="00833914"/>
    <w:rsid w:val="008339EE"/>
    <w:rsid w:val="00833B35"/>
    <w:rsid w:val="00833CE3"/>
    <w:rsid w:val="00833ED8"/>
    <w:rsid w:val="008341A0"/>
    <w:rsid w:val="0083440F"/>
    <w:rsid w:val="008344E0"/>
    <w:rsid w:val="008346B6"/>
    <w:rsid w:val="00834956"/>
    <w:rsid w:val="00834964"/>
    <w:rsid w:val="00834B56"/>
    <w:rsid w:val="00834C20"/>
    <w:rsid w:val="00834EA4"/>
    <w:rsid w:val="00834EB0"/>
    <w:rsid w:val="008350ED"/>
    <w:rsid w:val="008351EA"/>
    <w:rsid w:val="008354E8"/>
    <w:rsid w:val="00835984"/>
    <w:rsid w:val="00835C8D"/>
    <w:rsid w:val="00835CDB"/>
    <w:rsid w:val="00836076"/>
    <w:rsid w:val="0083620F"/>
    <w:rsid w:val="0083621D"/>
    <w:rsid w:val="008362E0"/>
    <w:rsid w:val="008363F7"/>
    <w:rsid w:val="0083653A"/>
    <w:rsid w:val="008366F0"/>
    <w:rsid w:val="00836700"/>
    <w:rsid w:val="008367A8"/>
    <w:rsid w:val="008367D7"/>
    <w:rsid w:val="00836816"/>
    <w:rsid w:val="00836827"/>
    <w:rsid w:val="008368A8"/>
    <w:rsid w:val="008368DF"/>
    <w:rsid w:val="00836B02"/>
    <w:rsid w:val="00836B5A"/>
    <w:rsid w:val="00836DB5"/>
    <w:rsid w:val="00836E2D"/>
    <w:rsid w:val="00837101"/>
    <w:rsid w:val="00837158"/>
    <w:rsid w:val="008371C1"/>
    <w:rsid w:val="00837281"/>
    <w:rsid w:val="008373D2"/>
    <w:rsid w:val="0083751D"/>
    <w:rsid w:val="008377A8"/>
    <w:rsid w:val="00837937"/>
    <w:rsid w:val="008379AD"/>
    <w:rsid w:val="00837A53"/>
    <w:rsid w:val="00837B35"/>
    <w:rsid w:val="00837B7B"/>
    <w:rsid w:val="00837F3E"/>
    <w:rsid w:val="00837F88"/>
    <w:rsid w:val="008400DD"/>
    <w:rsid w:val="0084039E"/>
    <w:rsid w:val="008405D9"/>
    <w:rsid w:val="008406C2"/>
    <w:rsid w:val="00840765"/>
    <w:rsid w:val="0084095B"/>
    <w:rsid w:val="008411F9"/>
    <w:rsid w:val="00841320"/>
    <w:rsid w:val="00841AF9"/>
    <w:rsid w:val="00841B8E"/>
    <w:rsid w:val="00841E92"/>
    <w:rsid w:val="00841EDA"/>
    <w:rsid w:val="00841FCC"/>
    <w:rsid w:val="008421E3"/>
    <w:rsid w:val="00842721"/>
    <w:rsid w:val="008427AE"/>
    <w:rsid w:val="008428FE"/>
    <w:rsid w:val="00842954"/>
    <w:rsid w:val="00842BB3"/>
    <w:rsid w:val="00842BD8"/>
    <w:rsid w:val="00842F83"/>
    <w:rsid w:val="00843215"/>
    <w:rsid w:val="008433ED"/>
    <w:rsid w:val="008438FB"/>
    <w:rsid w:val="00843A3D"/>
    <w:rsid w:val="00843BAE"/>
    <w:rsid w:val="00843D53"/>
    <w:rsid w:val="0084426B"/>
    <w:rsid w:val="00844650"/>
    <w:rsid w:val="00844A43"/>
    <w:rsid w:val="00844A4F"/>
    <w:rsid w:val="00844D7B"/>
    <w:rsid w:val="00844F52"/>
    <w:rsid w:val="00844F5E"/>
    <w:rsid w:val="008452DD"/>
    <w:rsid w:val="0084541F"/>
    <w:rsid w:val="00845498"/>
    <w:rsid w:val="00845705"/>
    <w:rsid w:val="00845783"/>
    <w:rsid w:val="00845CAA"/>
    <w:rsid w:val="00845D03"/>
    <w:rsid w:val="00845F35"/>
    <w:rsid w:val="00846007"/>
    <w:rsid w:val="0084600F"/>
    <w:rsid w:val="008463DB"/>
    <w:rsid w:val="008466E3"/>
    <w:rsid w:val="0084684A"/>
    <w:rsid w:val="008468FC"/>
    <w:rsid w:val="00846A0A"/>
    <w:rsid w:val="00846BF4"/>
    <w:rsid w:val="00846DD6"/>
    <w:rsid w:val="00846F78"/>
    <w:rsid w:val="00846F8E"/>
    <w:rsid w:val="0084716C"/>
    <w:rsid w:val="00847337"/>
    <w:rsid w:val="0084747C"/>
    <w:rsid w:val="0084789D"/>
    <w:rsid w:val="00847AE1"/>
    <w:rsid w:val="00847CDF"/>
    <w:rsid w:val="00847DAC"/>
    <w:rsid w:val="00847FD3"/>
    <w:rsid w:val="00850330"/>
    <w:rsid w:val="008505F1"/>
    <w:rsid w:val="0085085F"/>
    <w:rsid w:val="00850B32"/>
    <w:rsid w:val="00850C96"/>
    <w:rsid w:val="00850C97"/>
    <w:rsid w:val="0085149F"/>
    <w:rsid w:val="00851829"/>
    <w:rsid w:val="00851918"/>
    <w:rsid w:val="008520E6"/>
    <w:rsid w:val="00852506"/>
    <w:rsid w:val="00852589"/>
    <w:rsid w:val="00852691"/>
    <w:rsid w:val="00852A7D"/>
    <w:rsid w:val="00852C2D"/>
    <w:rsid w:val="008532B1"/>
    <w:rsid w:val="0085362A"/>
    <w:rsid w:val="008536A1"/>
    <w:rsid w:val="008536DB"/>
    <w:rsid w:val="0085384F"/>
    <w:rsid w:val="008538C1"/>
    <w:rsid w:val="008539BB"/>
    <w:rsid w:val="008539C0"/>
    <w:rsid w:val="00853A70"/>
    <w:rsid w:val="00853E70"/>
    <w:rsid w:val="00853EA8"/>
    <w:rsid w:val="008540CC"/>
    <w:rsid w:val="008540D6"/>
    <w:rsid w:val="008542B5"/>
    <w:rsid w:val="008543F0"/>
    <w:rsid w:val="00854525"/>
    <w:rsid w:val="00854867"/>
    <w:rsid w:val="00854CAC"/>
    <w:rsid w:val="008552CE"/>
    <w:rsid w:val="00855320"/>
    <w:rsid w:val="00855350"/>
    <w:rsid w:val="0085542B"/>
    <w:rsid w:val="008554DC"/>
    <w:rsid w:val="00855671"/>
    <w:rsid w:val="0085569F"/>
    <w:rsid w:val="00855939"/>
    <w:rsid w:val="0085595D"/>
    <w:rsid w:val="00855965"/>
    <w:rsid w:val="00855AFB"/>
    <w:rsid w:val="00855C9F"/>
    <w:rsid w:val="00855E66"/>
    <w:rsid w:val="00855F9F"/>
    <w:rsid w:val="00856119"/>
    <w:rsid w:val="00856932"/>
    <w:rsid w:val="008569C0"/>
    <w:rsid w:val="00856A51"/>
    <w:rsid w:val="00856E96"/>
    <w:rsid w:val="00857218"/>
    <w:rsid w:val="00857367"/>
    <w:rsid w:val="008573C1"/>
    <w:rsid w:val="008573FF"/>
    <w:rsid w:val="008574A6"/>
    <w:rsid w:val="00857B99"/>
    <w:rsid w:val="00857C0D"/>
    <w:rsid w:val="00857E06"/>
    <w:rsid w:val="00857EA5"/>
    <w:rsid w:val="00860461"/>
    <w:rsid w:val="0086046C"/>
    <w:rsid w:val="00860515"/>
    <w:rsid w:val="00860521"/>
    <w:rsid w:val="00860538"/>
    <w:rsid w:val="008605EA"/>
    <w:rsid w:val="008607A0"/>
    <w:rsid w:val="00860944"/>
    <w:rsid w:val="00860A19"/>
    <w:rsid w:val="00860A41"/>
    <w:rsid w:val="00860B08"/>
    <w:rsid w:val="00860B56"/>
    <w:rsid w:val="00860F7D"/>
    <w:rsid w:val="00861390"/>
    <w:rsid w:val="00861499"/>
    <w:rsid w:val="0086149E"/>
    <w:rsid w:val="008619A6"/>
    <w:rsid w:val="00861CC6"/>
    <w:rsid w:val="00862484"/>
    <w:rsid w:val="00862536"/>
    <w:rsid w:val="00862627"/>
    <w:rsid w:val="008626DA"/>
    <w:rsid w:val="00862AE3"/>
    <w:rsid w:val="00862CC7"/>
    <w:rsid w:val="00862E95"/>
    <w:rsid w:val="00862EC3"/>
    <w:rsid w:val="00862F54"/>
    <w:rsid w:val="00863198"/>
    <w:rsid w:val="0086332B"/>
    <w:rsid w:val="00863391"/>
    <w:rsid w:val="00863460"/>
    <w:rsid w:val="00863596"/>
    <w:rsid w:val="008636EA"/>
    <w:rsid w:val="0086372D"/>
    <w:rsid w:val="008637D8"/>
    <w:rsid w:val="00863B34"/>
    <w:rsid w:val="00863C0B"/>
    <w:rsid w:val="00863C3E"/>
    <w:rsid w:val="008641F8"/>
    <w:rsid w:val="00864465"/>
    <w:rsid w:val="008644BD"/>
    <w:rsid w:val="008646A7"/>
    <w:rsid w:val="008647E5"/>
    <w:rsid w:val="00864A8D"/>
    <w:rsid w:val="00864BD0"/>
    <w:rsid w:val="00864CB6"/>
    <w:rsid w:val="00864DC7"/>
    <w:rsid w:val="00864F6A"/>
    <w:rsid w:val="00865024"/>
    <w:rsid w:val="0086529E"/>
    <w:rsid w:val="0086570E"/>
    <w:rsid w:val="00865818"/>
    <w:rsid w:val="008659D0"/>
    <w:rsid w:val="00865C65"/>
    <w:rsid w:val="00865ECE"/>
    <w:rsid w:val="00865F67"/>
    <w:rsid w:val="00865FC6"/>
    <w:rsid w:val="0086606B"/>
    <w:rsid w:val="008661B4"/>
    <w:rsid w:val="0086642F"/>
    <w:rsid w:val="008664D8"/>
    <w:rsid w:val="008665C1"/>
    <w:rsid w:val="008666E5"/>
    <w:rsid w:val="0086673F"/>
    <w:rsid w:val="00866C9B"/>
    <w:rsid w:val="00866D10"/>
    <w:rsid w:val="00867063"/>
    <w:rsid w:val="0086721F"/>
    <w:rsid w:val="00867490"/>
    <w:rsid w:val="0086760E"/>
    <w:rsid w:val="008679B1"/>
    <w:rsid w:val="00867AAD"/>
    <w:rsid w:val="00867B5A"/>
    <w:rsid w:val="00867EE1"/>
    <w:rsid w:val="00867FE9"/>
    <w:rsid w:val="00870099"/>
    <w:rsid w:val="008706AE"/>
    <w:rsid w:val="0087078F"/>
    <w:rsid w:val="00870890"/>
    <w:rsid w:val="008708AD"/>
    <w:rsid w:val="00870923"/>
    <w:rsid w:val="008709DF"/>
    <w:rsid w:val="00870B9D"/>
    <w:rsid w:val="00870DE3"/>
    <w:rsid w:val="00870ECE"/>
    <w:rsid w:val="00871266"/>
    <w:rsid w:val="008712DA"/>
    <w:rsid w:val="0087146C"/>
    <w:rsid w:val="0087181B"/>
    <w:rsid w:val="00872223"/>
    <w:rsid w:val="0087242B"/>
    <w:rsid w:val="00872471"/>
    <w:rsid w:val="008724A7"/>
    <w:rsid w:val="0087266F"/>
    <w:rsid w:val="00872984"/>
    <w:rsid w:val="00872C03"/>
    <w:rsid w:val="00872CAE"/>
    <w:rsid w:val="00872E57"/>
    <w:rsid w:val="00872F2D"/>
    <w:rsid w:val="00873091"/>
    <w:rsid w:val="008730B6"/>
    <w:rsid w:val="008730CA"/>
    <w:rsid w:val="00873105"/>
    <w:rsid w:val="00873126"/>
    <w:rsid w:val="008732B7"/>
    <w:rsid w:val="008735C4"/>
    <w:rsid w:val="0087374A"/>
    <w:rsid w:val="0087384F"/>
    <w:rsid w:val="00873D70"/>
    <w:rsid w:val="00873D9E"/>
    <w:rsid w:val="0087407B"/>
    <w:rsid w:val="00874332"/>
    <w:rsid w:val="008744C2"/>
    <w:rsid w:val="008746D0"/>
    <w:rsid w:val="0087478F"/>
    <w:rsid w:val="008749AC"/>
    <w:rsid w:val="00874C20"/>
    <w:rsid w:val="00874E06"/>
    <w:rsid w:val="00874E0B"/>
    <w:rsid w:val="0087504B"/>
    <w:rsid w:val="00875077"/>
    <w:rsid w:val="00875629"/>
    <w:rsid w:val="00875635"/>
    <w:rsid w:val="0087576A"/>
    <w:rsid w:val="00875893"/>
    <w:rsid w:val="008759DA"/>
    <w:rsid w:val="00875EAB"/>
    <w:rsid w:val="00876052"/>
    <w:rsid w:val="00876251"/>
    <w:rsid w:val="00876446"/>
    <w:rsid w:val="008764D4"/>
    <w:rsid w:val="008767AC"/>
    <w:rsid w:val="008768CA"/>
    <w:rsid w:val="00876A66"/>
    <w:rsid w:val="00876B69"/>
    <w:rsid w:val="00876C4B"/>
    <w:rsid w:val="0087721F"/>
    <w:rsid w:val="0087770A"/>
    <w:rsid w:val="00877752"/>
    <w:rsid w:val="008777DB"/>
    <w:rsid w:val="00877C3B"/>
    <w:rsid w:val="00877D7D"/>
    <w:rsid w:val="00877E21"/>
    <w:rsid w:val="00877FC3"/>
    <w:rsid w:val="00880136"/>
    <w:rsid w:val="00880381"/>
    <w:rsid w:val="00880421"/>
    <w:rsid w:val="00880440"/>
    <w:rsid w:val="00880785"/>
    <w:rsid w:val="00880B58"/>
    <w:rsid w:val="00880BDB"/>
    <w:rsid w:val="00880BF8"/>
    <w:rsid w:val="00880C6C"/>
    <w:rsid w:val="00880E8F"/>
    <w:rsid w:val="008810CA"/>
    <w:rsid w:val="008813FB"/>
    <w:rsid w:val="00881867"/>
    <w:rsid w:val="00881872"/>
    <w:rsid w:val="00881996"/>
    <w:rsid w:val="008819B5"/>
    <w:rsid w:val="00881BEC"/>
    <w:rsid w:val="00881C25"/>
    <w:rsid w:val="00881DAB"/>
    <w:rsid w:val="00881DCB"/>
    <w:rsid w:val="00881E07"/>
    <w:rsid w:val="00882338"/>
    <w:rsid w:val="008823D7"/>
    <w:rsid w:val="008824D3"/>
    <w:rsid w:val="00882562"/>
    <w:rsid w:val="0088258C"/>
    <w:rsid w:val="0088262F"/>
    <w:rsid w:val="00882783"/>
    <w:rsid w:val="00882989"/>
    <w:rsid w:val="0088298F"/>
    <w:rsid w:val="00883268"/>
    <w:rsid w:val="008832D1"/>
    <w:rsid w:val="00883691"/>
    <w:rsid w:val="008838C5"/>
    <w:rsid w:val="008839C2"/>
    <w:rsid w:val="00883A57"/>
    <w:rsid w:val="00883BFF"/>
    <w:rsid w:val="008842F3"/>
    <w:rsid w:val="00884629"/>
    <w:rsid w:val="00884654"/>
    <w:rsid w:val="00884BF0"/>
    <w:rsid w:val="00884C68"/>
    <w:rsid w:val="00884C96"/>
    <w:rsid w:val="00884FF0"/>
    <w:rsid w:val="008855DA"/>
    <w:rsid w:val="008856DE"/>
    <w:rsid w:val="0088594C"/>
    <w:rsid w:val="00885958"/>
    <w:rsid w:val="008859AF"/>
    <w:rsid w:val="00885AD4"/>
    <w:rsid w:val="00885BC2"/>
    <w:rsid w:val="00885BD7"/>
    <w:rsid w:val="00885CE9"/>
    <w:rsid w:val="00885FFE"/>
    <w:rsid w:val="0088606D"/>
    <w:rsid w:val="0088610B"/>
    <w:rsid w:val="008861DA"/>
    <w:rsid w:val="00886349"/>
    <w:rsid w:val="00886355"/>
    <w:rsid w:val="008863E5"/>
    <w:rsid w:val="008865B8"/>
    <w:rsid w:val="008868C7"/>
    <w:rsid w:val="00886A51"/>
    <w:rsid w:val="00886CAB"/>
    <w:rsid w:val="00886E3E"/>
    <w:rsid w:val="00886E92"/>
    <w:rsid w:val="00887156"/>
    <w:rsid w:val="0088744D"/>
    <w:rsid w:val="008878EE"/>
    <w:rsid w:val="00887B5D"/>
    <w:rsid w:val="00887CCF"/>
    <w:rsid w:val="00890269"/>
    <w:rsid w:val="008902A1"/>
    <w:rsid w:val="008905E1"/>
    <w:rsid w:val="00890606"/>
    <w:rsid w:val="00890747"/>
    <w:rsid w:val="008909EB"/>
    <w:rsid w:val="00890A3B"/>
    <w:rsid w:val="00890AB3"/>
    <w:rsid w:val="00890C01"/>
    <w:rsid w:val="00891055"/>
    <w:rsid w:val="008912E9"/>
    <w:rsid w:val="00891679"/>
    <w:rsid w:val="008916F4"/>
    <w:rsid w:val="0089174D"/>
    <w:rsid w:val="0089174F"/>
    <w:rsid w:val="008919B4"/>
    <w:rsid w:val="0089247A"/>
    <w:rsid w:val="0089296D"/>
    <w:rsid w:val="00892B44"/>
    <w:rsid w:val="00892EAA"/>
    <w:rsid w:val="00892F1D"/>
    <w:rsid w:val="008930A4"/>
    <w:rsid w:val="008930A8"/>
    <w:rsid w:val="0089321D"/>
    <w:rsid w:val="008933F3"/>
    <w:rsid w:val="00893578"/>
    <w:rsid w:val="008935BB"/>
    <w:rsid w:val="00893883"/>
    <w:rsid w:val="008938C1"/>
    <w:rsid w:val="00893931"/>
    <w:rsid w:val="00893A95"/>
    <w:rsid w:val="00893C70"/>
    <w:rsid w:val="00893D96"/>
    <w:rsid w:val="008941E0"/>
    <w:rsid w:val="008945BE"/>
    <w:rsid w:val="008945C5"/>
    <w:rsid w:val="00894642"/>
    <w:rsid w:val="008948CA"/>
    <w:rsid w:val="00894D13"/>
    <w:rsid w:val="00894D3B"/>
    <w:rsid w:val="00894D3D"/>
    <w:rsid w:val="00894F9D"/>
    <w:rsid w:val="008950A3"/>
    <w:rsid w:val="00895111"/>
    <w:rsid w:val="008951AB"/>
    <w:rsid w:val="00895484"/>
    <w:rsid w:val="008959B5"/>
    <w:rsid w:val="008959EA"/>
    <w:rsid w:val="00895C2E"/>
    <w:rsid w:val="00895D02"/>
    <w:rsid w:val="00895E1F"/>
    <w:rsid w:val="0089637C"/>
    <w:rsid w:val="008964D0"/>
    <w:rsid w:val="0089675A"/>
    <w:rsid w:val="00896E84"/>
    <w:rsid w:val="00897240"/>
    <w:rsid w:val="008972E8"/>
    <w:rsid w:val="00897531"/>
    <w:rsid w:val="00897564"/>
    <w:rsid w:val="008976E8"/>
    <w:rsid w:val="00897791"/>
    <w:rsid w:val="00897804"/>
    <w:rsid w:val="00897F78"/>
    <w:rsid w:val="008A001B"/>
    <w:rsid w:val="008A00A1"/>
    <w:rsid w:val="008A00E3"/>
    <w:rsid w:val="008A0526"/>
    <w:rsid w:val="008A0771"/>
    <w:rsid w:val="008A08D4"/>
    <w:rsid w:val="008A0915"/>
    <w:rsid w:val="008A0A0E"/>
    <w:rsid w:val="008A0A58"/>
    <w:rsid w:val="008A0D85"/>
    <w:rsid w:val="008A0F79"/>
    <w:rsid w:val="008A1065"/>
    <w:rsid w:val="008A11DA"/>
    <w:rsid w:val="008A1483"/>
    <w:rsid w:val="008A1582"/>
    <w:rsid w:val="008A1A4A"/>
    <w:rsid w:val="008A1C70"/>
    <w:rsid w:val="008A1CA2"/>
    <w:rsid w:val="008A1D7B"/>
    <w:rsid w:val="008A1E0B"/>
    <w:rsid w:val="008A1E2D"/>
    <w:rsid w:val="008A1F36"/>
    <w:rsid w:val="008A1F5A"/>
    <w:rsid w:val="008A203D"/>
    <w:rsid w:val="008A233E"/>
    <w:rsid w:val="008A23A6"/>
    <w:rsid w:val="008A254C"/>
    <w:rsid w:val="008A2813"/>
    <w:rsid w:val="008A2C7A"/>
    <w:rsid w:val="008A2D26"/>
    <w:rsid w:val="008A345A"/>
    <w:rsid w:val="008A366B"/>
    <w:rsid w:val="008A3C26"/>
    <w:rsid w:val="008A3D06"/>
    <w:rsid w:val="008A3D75"/>
    <w:rsid w:val="008A4182"/>
    <w:rsid w:val="008A454B"/>
    <w:rsid w:val="008A4641"/>
    <w:rsid w:val="008A46B1"/>
    <w:rsid w:val="008A494F"/>
    <w:rsid w:val="008A51B0"/>
    <w:rsid w:val="008A53AE"/>
    <w:rsid w:val="008A548D"/>
    <w:rsid w:val="008A5577"/>
    <w:rsid w:val="008A55CB"/>
    <w:rsid w:val="008A5735"/>
    <w:rsid w:val="008A5B9E"/>
    <w:rsid w:val="008A5BDA"/>
    <w:rsid w:val="008A5F69"/>
    <w:rsid w:val="008A6060"/>
    <w:rsid w:val="008A662E"/>
    <w:rsid w:val="008A6632"/>
    <w:rsid w:val="008A6BAD"/>
    <w:rsid w:val="008A6C96"/>
    <w:rsid w:val="008A6D83"/>
    <w:rsid w:val="008A6D84"/>
    <w:rsid w:val="008A6E59"/>
    <w:rsid w:val="008A6F4B"/>
    <w:rsid w:val="008A752D"/>
    <w:rsid w:val="008A7A8E"/>
    <w:rsid w:val="008A7B2E"/>
    <w:rsid w:val="008A7BED"/>
    <w:rsid w:val="008A7E40"/>
    <w:rsid w:val="008A7E77"/>
    <w:rsid w:val="008A7EAC"/>
    <w:rsid w:val="008A7F06"/>
    <w:rsid w:val="008B00C1"/>
    <w:rsid w:val="008B022B"/>
    <w:rsid w:val="008B094F"/>
    <w:rsid w:val="008B0AF6"/>
    <w:rsid w:val="008B0C00"/>
    <w:rsid w:val="008B0E55"/>
    <w:rsid w:val="008B10CC"/>
    <w:rsid w:val="008B160D"/>
    <w:rsid w:val="008B1753"/>
    <w:rsid w:val="008B1836"/>
    <w:rsid w:val="008B1DBC"/>
    <w:rsid w:val="008B1E8C"/>
    <w:rsid w:val="008B1F84"/>
    <w:rsid w:val="008B2209"/>
    <w:rsid w:val="008B2299"/>
    <w:rsid w:val="008B239A"/>
    <w:rsid w:val="008B2567"/>
    <w:rsid w:val="008B25C8"/>
    <w:rsid w:val="008B27E2"/>
    <w:rsid w:val="008B29C3"/>
    <w:rsid w:val="008B2B60"/>
    <w:rsid w:val="008B2B95"/>
    <w:rsid w:val="008B2BA8"/>
    <w:rsid w:val="008B2C5A"/>
    <w:rsid w:val="008B2D39"/>
    <w:rsid w:val="008B3002"/>
    <w:rsid w:val="008B30D2"/>
    <w:rsid w:val="008B3346"/>
    <w:rsid w:val="008B370B"/>
    <w:rsid w:val="008B393E"/>
    <w:rsid w:val="008B3A04"/>
    <w:rsid w:val="008B3B81"/>
    <w:rsid w:val="008B3F8A"/>
    <w:rsid w:val="008B3FDB"/>
    <w:rsid w:val="008B4359"/>
    <w:rsid w:val="008B4574"/>
    <w:rsid w:val="008B4673"/>
    <w:rsid w:val="008B4AEB"/>
    <w:rsid w:val="008B4D3F"/>
    <w:rsid w:val="008B4F6E"/>
    <w:rsid w:val="008B500F"/>
    <w:rsid w:val="008B510E"/>
    <w:rsid w:val="008B560C"/>
    <w:rsid w:val="008B5A34"/>
    <w:rsid w:val="008B5B62"/>
    <w:rsid w:val="008B5B66"/>
    <w:rsid w:val="008B5B83"/>
    <w:rsid w:val="008B5E17"/>
    <w:rsid w:val="008B5FA7"/>
    <w:rsid w:val="008B5FF1"/>
    <w:rsid w:val="008B607F"/>
    <w:rsid w:val="008B6148"/>
    <w:rsid w:val="008B6269"/>
    <w:rsid w:val="008B62EF"/>
    <w:rsid w:val="008B65DF"/>
    <w:rsid w:val="008B665E"/>
    <w:rsid w:val="008B6874"/>
    <w:rsid w:val="008B6A41"/>
    <w:rsid w:val="008B6D6B"/>
    <w:rsid w:val="008B7096"/>
    <w:rsid w:val="008B725D"/>
    <w:rsid w:val="008B742B"/>
    <w:rsid w:val="008B76B3"/>
    <w:rsid w:val="008B78B5"/>
    <w:rsid w:val="008B7C1D"/>
    <w:rsid w:val="008B7C8C"/>
    <w:rsid w:val="008B7DC1"/>
    <w:rsid w:val="008B7DDA"/>
    <w:rsid w:val="008B7EAA"/>
    <w:rsid w:val="008C002B"/>
    <w:rsid w:val="008C02EC"/>
    <w:rsid w:val="008C0336"/>
    <w:rsid w:val="008C0498"/>
    <w:rsid w:val="008C0539"/>
    <w:rsid w:val="008C0629"/>
    <w:rsid w:val="008C0935"/>
    <w:rsid w:val="008C093E"/>
    <w:rsid w:val="008C0C09"/>
    <w:rsid w:val="008C0D07"/>
    <w:rsid w:val="008C0DB6"/>
    <w:rsid w:val="008C0F17"/>
    <w:rsid w:val="008C0F7E"/>
    <w:rsid w:val="008C0F97"/>
    <w:rsid w:val="008C1484"/>
    <w:rsid w:val="008C157E"/>
    <w:rsid w:val="008C1818"/>
    <w:rsid w:val="008C189F"/>
    <w:rsid w:val="008C191B"/>
    <w:rsid w:val="008C19DF"/>
    <w:rsid w:val="008C1A0D"/>
    <w:rsid w:val="008C1B14"/>
    <w:rsid w:val="008C1B70"/>
    <w:rsid w:val="008C1BFD"/>
    <w:rsid w:val="008C1D4F"/>
    <w:rsid w:val="008C204C"/>
    <w:rsid w:val="008C209F"/>
    <w:rsid w:val="008C21B4"/>
    <w:rsid w:val="008C2506"/>
    <w:rsid w:val="008C26AE"/>
    <w:rsid w:val="008C277A"/>
    <w:rsid w:val="008C2817"/>
    <w:rsid w:val="008C2AA7"/>
    <w:rsid w:val="008C2B32"/>
    <w:rsid w:val="008C2CF9"/>
    <w:rsid w:val="008C308A"/>
    <w:rsid w:val="008C319B"/>
    <w:rsid w:val="008C3329"/>
    <w:rsid w:val="008C358E"/>
    <w:rsid w:val="008C360B"/>
    <w:rsid w:val="008C3964"/>
    <w:rsid w:val="008C397D"/>
    <w:rsid w:val="008C3C33"/>
    <w:rsid w:val="008C45BC"/>
    <w:rsid w:val="008C4662"/>
    <w:rsid w:val="008C490A"/>
    <w:rsid w:val="008C49E2"/>
    <w:rsid w:val="008C4B13"/>
    <w:rsid w:val="008C4B73"/>
    <w:rsid w:val="008C4E3B"/>
    <w:rsid w:val="008C4F61"/>
    <w:rsid w:val="008C5248"/>
    <w:rsid w:val="008C53D2"/>
    <w:rsid w:val="008C5448"/>
    <w:rsid w:val="008C556F"/>
    <w:rsid w:val="008C56DC"/>
    <w:rsid w:val="008C57B9"/>
    <w:rsid w:val="008C59A5"/>
    <w:rsid w:val="008C5A6B"/>
    <w:rsid w:val="008C5AEC"/>
    <w:rsid w:val="008C5B1F"/>
    <w:rsid w:val="008C5C0A"/>
    <w:rsid w:val="008C5CBA"/>
    <w:rsid w:val="008C5E42"/>
    <w:rsid w:val="008C6148"/>
    <w:rsid w:val="008C6269"/>
    <w:rsid w:val="008C6283"/>
    <w:rsid w:val="008C671C"/>
    <w:rsid w:val="008C6875"/>
    <w:rsid w:val="008C6931"/>
    <w:rsid w:val="008C69EE"/>
    <w:rsid w:val="008C6A29"/>
    <w:rsid w:val="008C6BB5"/>
    <w:rsid w:val="008C6C18"/>
    <w:rsid w:val="008C6D68"/>
    <w:rsid w:val="008C6E1D"/>
    <w:rsid w:val="008C6E50"/>
    <w:rsid w:val="008C6F5E"/>
    <w:rsid w:val="008C6FFB"/>
    <w:rsid w:val="008C712E"/>
    <w:rsid w:val="008C71D7"/>
    <w:rsid w:val="008C73A2"/>
    <w:rsid w:val="008C7610"/>
    <w:rsid w:val="008C7633"/>
    <w:rsid w:val="008C7653"/>
    <w:rsid w:val="008C7AF3"/>
    <w:rsid w:val="008C7B9F"/>
    <w:rsid w:val="008C7D65"/>
    <w:rsid w:val="008D096A"/>
    <w:rsid w:val="008D0DCE"/>
    <w:rsid w:val="008D0E36"/>
    <w:rsid w:val="008D0FF9"/>
    <w:rsid w:val="008D1145"/>
    <w:rsid w:val="008D11A5"/>
    <w:rsid w:val="008D134A"/>
    <w:rsid w:val="008D1387"/>
    <w:rsid w:val="008D13B0"/>
    <w:rsid w:val="008D163E"/>
    <w:rsid w:val="008D16C9"/>
    <w:rsid w:val="008D1784"/>
    <w:rsid w:val="008D1B55"/>
    <w:rsid w:val="008D1F16"/>
    <w:rsid w:val="008D21E5"/>
    <w:rsid w:val="008D26CF"/>
    <w:rsid w:val="008D2C44"/>
    <w:rsid w:val="008D2D17"/>
    <w:rsid w:val="008D2E8A"/>
    <w:rsid w:val="008D2E93"/>
    <w:rsid w:val="008D321B"/>
    <w:rsid w:val="008D3787"/>
    <w:rsid w:val="008D3801"/>
    <w:rsid w:val="008D3844"/>
    <w:rsid w:val="008D3C72"/>
    <w:rsid w:val="008D3ED6"/>
    <w:rsid w:val="008D3F29"/>
    <w:rsid w:val="008D406A"/>
    <w:rsid w:val="008D4740"/>
    <w:rsid w:val="008D47D2"/>
    <w:rsid w:val="008D494C"/>
    <w:rsid w:val="008D4A20"/>
    <w:rsid w:val="008D4FA2"/>
    <w:rsid w:val="008D50B0"/>
    <w:rsid w:val="008D534F"/>
    <w:rsid w:val="008D56F0"/>
    <w:rsid w:val="008D5725"/>
    <w:rsid w:val="008D579A"/>
    <w:rsid w:val="008D5816"/>
    <w:rsid w:val="008D58C5"/>
    <w:rsid w:val="008D59FA"/>
    <w:rsid w:val="008D5C1F"/>
    <w:rsid w:val="008D5CE7"/>
    <w:rsid w:val="008D5D02"/>
    <w:rsid w:val="008D5E13"/>
    <w:rsid w:val="008D5FEA"/>
    <w:rsid w:val="008D6061"/>
    <w:rsid w:val="008D608F"/>
    <w:rsid w:val="008D652B"/>
    <w:rsid w:val="008D6666"/>
    <w:rsid w:val="008D6AAC"/>
    <w:rsid w:val="008D6ABC"/>
    <w:rsid w:val="008D6E1D"/>
    <w:rsid w:val="008D6E32"/>
    <w:rsid w:val="008D6EE6"/>
    <w:rsid w:val="008D6EEF"/>
    <w:rsid w:val="008D7183"/>
    <w:rsid w:val="008D726A"/>
    <w:rsid w:val="008D72E5"/>
    <w:rsid w:val="008D74DC"/>
    <w:rsid w:val="008D7508"/>
    <w:rsid w:val="008D7805"/>
    <w:rsid w:val="008D78C4"/>
    <w:rsid w:val="008D7A62"/>
    <w:rsid w:val="008D7C6F"/>
    <w:rsid w:val="008E00C6"/>
    <w:rsid w:val="008E0183"/>
    <w:rsid w:val="008E05E1"/>
    <w:rsid w:val="008E071E"/>
    <w:rsid w:val="008E0807"/>
    <w:rsid w:val="008E0B6E"/>
    <w:rsid w:val="008E0DAC"/>
    <w:rsid w:val="008E12E8"/>
    <w:rsid w:val="008E14DC"/>
    <w:rsid w:val="008E1619"/>
    <w:rsid w:val="008E1756"/>
    <w:rsid w:val="008E17A3"/>
    <w:rsid w:val="008E17DC"/>
    <w:rsid w:val="008E191A"/>
    <w:rsid w:val="008E1962"/>
    <w:rsid w:val="008E19DA"/>
    <w:rsid w:val="008E1F4E"/>
    <w:rsid w:val="008E21B6"/>
    <w:rsid w:val="008E23AF"/>
    <w:rsid w:val="008E2F0A"/>
    <w:rsid w:val="008E2FB3"/>
    <w:rsid w:val="008E361B"/>
    <w:rsid w:val="008E377D"/>
    <w:rsid w:val="008E38A3"/>
    <w:rsid w:val="008E3BA2"/>
    <w:rsid w:val="008E3C05"/>
    <w:rsid w:val="008E3E1D"/>
    <w:rsid w:val="008E3ED0"/>
    <w:rsid w:val="008E4086"/>
    <w:rsid w:val="008E412F"/>
    <w:rsid w:val="008E4160"/>
    <w:rsid w:val="008E41C7"/>
    <w:rsid w:val="008E439B"/>
    <w:rsid w:val="008E453E"/>
    <w:rsid w:val="008E465B"/>
    <w:rsid w:val="008E46F2"/>
    <w:rsid w:val="008E479C"/>
    <w:rsid w:val="008E47E8"/>
    <w:rsid w:val="008E4E19"/>
    <w:rsid w:val="008E5054"/>
    <w:rsid w:val="008E51AB"/>
    <w:rsid w:val="008E5486"/>
    <w:rsid w:val="008E54AA"/>
    <w:rsid w:val="008E55E7"/>
    <w:rsid w:val="008E56CF"/>
    <w:rsid w:val="008E5B40"/>
    <w:rsid w:val="008E5C35"/>
    <w:rsid w:val="008E6288"/>
    <w:rsid w:val="008E646D"/>
    <w:rsid w:val="008E65F5"/>
    <w:rsid w:val="008E680A"/>
    <w:rsid w:val="008E6D65"/>
    <w:rsid w:val="008E6DDA"/>
    <w:rsid w:val="008E7433"/>
    <w:rsid w:val="008E7593"/>
    <w:rsid w:val="008E7625"/>
    <w:rsid w:val="008E7634"/>
    <w:rsid w:val="008E7666"/>
    <w:rsid w:val="008E7B8E"/>
    <w:rsid w:val="008F0020"/>
    <w:rsid w:val="008F0147"/>
    <w:rsid w:val="008F019F"/>
    <w:rsid w:val="008F01C0"/>
    <w:rsid w:val="008F0203"/>
    <w:rsid w:val="008F03AA"/>
    <w:rsid w:val="008F04B6"/>
    <w:rsid w:val="008F083E"/>
    <w:rsid w:val="008F08D7"/>
    <w:rsid w:val="008F0BC7"/>
    <w:rsid w:val="008F0D3A"/>
    <w:rsid w:val="008F0F65"/>
    <w:rsid w:val="008F0F98"/>
    <w:rsid w:val="008F15F9"/>
    <w:rsid w:val="008F1672"/>
    <w:rsid w:val="008F1E40"/>
    <w:rsid w:val="008F2203"/>
    <w:rsid w:val="008F224E"/>
    <w:rsid w:val="008F241E"/>
    <w:rsid w:val="008F2600"/>
    <w:rsid w:val="008F2615"/>
    <w:rsid w:val="008F2A31"/>
    <w:rsid w:val="008F2AA6"/>
    <w:rsid w:val="008F2B10"/>
    <w:rsid w:val="008F2B11"/>
    <w:rsid w:val="008F3015"/>
    <w:rsid w:val="008F30AE"/>
    <w:rsid w:val="008F3383"/>
    <w:rsid w:val="008F351E"/>
    <w:rsid w:val="008F37D7"/>
    <w:rsid w:val="008F3C34"/>
    <w:rsid w:val="008F3D0D"/>
    <w:rsid w:val="008F4034"/>
    <w:rsid w:val="008F46BC"/>
    <w:rsid w:val="008F48F6"/>
    <w:rsid w:val="008F4A76"/>
    <w:rsid w:val="008F4DB2"/>
    <w:rsid w:val="008F4F7C"/>
    <w:rsid w:val="008F5022"/>
    <w:rsid w:val="008F51A2"/>
    <w:rsid w:val="008F5467"/>
    <w:rsid w:val="008F5657"/>
    <w:rsid w:val="008F580F"/>
    <w:rsid w:val="008F58C5"/>
    <w:rsid w:val="008F5AE1"/>
    <w:rsid w:val="008F5C2D"/>
    <w:rsid w:val="008F5E1E"/>
    <w:rsid w:val="008F600A"/>
    <w:rsid w:val="008F6383"/>
    <w:rsid w:val="008F65F2"/>
    <w:rsid w:val="008F6766"/>
    <w:rsid w:val="008F6781"/>
    <w:rsid w:val="008F68FD"/>
    <w:rsid w:val="008F6951"/>
    <w:rsid w:val="008F6972"/>
    <w:rsid w:val="008F6CCA"/>
    <w:rsid w:val="008F6EFF"/>
    <w:rsid w:val="008F6FC4"/>
    <w:rsid w:val="008F7087"/>
    <w:rsid w:val="008F71D5"/>
    <w:rsid w:val="008F7257"/>
    <w:rsid w:val="008F734F"/>
    <w:rsid w:val="008F738C"/>
    <w:rsid w:val="008F74EF"/>
    <w:rsid w:val="008F75F8"/>
    <w:rsid w:val="008F77DD"/>
    <w:rsid w:val="008F781D"/>
    <w:rsid w:val="008F791B"/>
    <w:rsid w:val="008F791D"/>
    <w:rsid w:val="008F7F2D"/>
    <w:rsid w:val="008F7FC7"/>
    <w:rsid w:val="009001AB"/>
    <w:rsid w:val="009004A4"/>
    <w:rsid w:val="009006FF"/>
    <w:rsid w:val="00900749"/>
    <w:rsid w:val="00900A09"/>
    <w:rsid w:val="00900FE1"/>
    <w:rsid w:val="0090110C"/>
    <w:rsid w:val="00901406"/>
    <w:rsid w:val="009014B2"/>
    <w:rsid w:val="009014CD"/>
    <w:rsid w:val="00901822"/>
    <w:rsid w:val="0090184C"/>
    <w:rsid w:val="00901AA8"/>
    <w:rsid w:val="00901E33"/>
    <w:rsid w:val="00901E46"/>
    <w:rsid w:val="00901EDC"/>
    <w:rsid w:val="0090208B"/>
    <w:rsid w:val="0090229E"/>
    <w:rsid w:val="009022CD"/>
    <w:rsid w:val="009022F7"/>
    <w:rsid w:val="0090244B"/>
    <w:rsid w:val="009024F2"/>
    <w:rsid w:val="00902528"/>
    <w:rsid w:val="0090269A"/>
    <w:rsid w:val="00902ACB"/>
    <w:rsid w:val="00902B3C"/>
    <w:rsid w:val="00902C1D"/>
    <w:rsid w:val="00902C84"/>
    <w:rsid w:val="00902D33"/>
    <w:rsid w:val="00902E29"/>
    <w:rsid w:val="00902F02"/>
    <w:rsid w:val="00902FBC"/>
    <w:rsid w:val="0090304E"/>
    <w:rsid w:val="009034E6"/>
    <w:rsid w:val="00903599"/>
    <w:rsid w:val="00903743"/>
    <w:rsid w:val="00903753"/>
    <w:rsid w:val="00903773"/>
    <w:rsid w:val="00903784"/>
    <w:rsid w:val="00903DC4"/>
    <w:rsid w:val="009040AA"/>
    <w:rsid w:val="009042E8"/>
    <w:rsid w:val="0090452B"/>
    <w:rsid w:val="00904583"/>
    <w:rsid w:val="00904788"/>
    <w:rsid w:val="00904904"/>
    <w:rsid w:val="00904C74"/>
    <w:rsid w:val="00904D37"/>
    <w:rsid w:val="00904D94"/>
    <w:rsid w:val="00905085"/>
    <w:rsid w:val="009056C7"/>
    <w:rsid w:val="00905717"/>
    <w:rsid w:val="009057D7"/>
    <w:rsid w:val="00905897"/>
    <w:rsid w:val="009058B1"/>
    <w:rsid w:val="00905999"/>
    <w:rsid w:val="00905A9C"/>
    <w:rsid w:val="00905D2C"/>
    <w:rsid w:val="00905D7E"/>
    <w:rsid w:val="00905F72"/>
    <w:rsid w:val="009062EF"/>
    <w:rsid w:val="0090636A"/>
    <w:rsid w:val="0090660C"/>
    <w:rsid w:val="00906A7F"/>
    <w:rsid w:val="00906ACE"/>
    <w:rsid w:val="00906D3D"/>
    <w:rsid w:val="009071B7"/>
    <w:rsid w:val="009075A8"/>
    <w:rsid w:val="00907BCC"/>
    <w:rsid w:val="00907EFE"/>
    <w:rsid w:val="009100F6"/>
    <w:rsid w:val="009102C5"/>
    <w:rsid w:val="00910315"/>
    <w:rsid w:val="00910343"/>
    <w:rsid w:val="0091044A"/>
    <w:rsid w:val="0091071A"/>
    <w:rsid w:val="009107D0"/>
    <w:rsid w:val="009108A2"/>
    <w:rsid w:val="00910963"/>
    <w:rsid w:val="00910CD1"/>
    <w:rsid w:val="009110C1"/>
    <w:rsid w:val="00911260"/>
    <w:rsid w:val="0091145C"/>
    <w:rsid w:val="0091175F"/>
    <w:rsid w:val="00911A21"/>
    <w:rsid w:val="00911BB5"/>
    <w:rsid w:val="00911C6C"/>
    <w:rsid w:val="00911CA9"/>
    <w:rsid w:val="00911D5E"/>
    <w:rsid w:val="00911FC4"/>
    <w:rsid w:val="0091210A"/>
    <w:rsid w:val="00912641"/>
    <w:rsid w:val="00912C14"/>
    <w:rsid w:val="00912E3E"/>
    <w:rsid w:val="00912EB1"/>
    <w:rsid w:val="00913001"/>
    <w:rsid w:val="009130EF"/>
    <w:rsid w:val="0091387E"/>
    <w:rsid w:val="00913B5B"/>
    <w:rsid w:val="00914096"/>
    <w:rsid w:val="0091421B"/>
    <w:rsid w:val="00914D3F"/>
    <w:rsid w:val="00914DEA"/>
    <w:rsid w:val="00914E00"/>
    <w:rsid w:val="00914EA3"/>
    <w:rsid w:val="009150C1"/>
    <w:rsid w:val="0091526F"/>
    <w:rsid w:val="00915358"/>
    <w:rsid w:val="009154A6"/>
    <w:rsid w:val="009157FD"/>
    <w:rsid w:val="0091582C"/>
    <w:rsid w:val="00915E13"/>
    <w:rsid w:val="00916031"/>
    <w:rsid w:val="0091617A"/>
    <w:rsid w:val="00916721"/>
    <w:rsid w:val="00916AEA"/>
    <w:rsid w:val="00916B83"/>
    <w:rsid w:val="00916CF1"/>
    <w:rsid w:val="00916D1C"/>
    <w:rsid w:val="00916E85"/>
    <w:rsid w:val="00917457"/>
    <w:rsid w:val="0091746B"/>
    <w:rsid w:val="00917633"/>
    <w:rsid w:val="009178AF"/>
    <w:rsid w:val="00917AF6"/>
    <w:rsid w:val="00917C39"/>
    <w:rsid w:val="00917DAB"/>
    <w:rsid w:val="00917EE9"/>
    <w:rsid w:val="00920176"/>
    <w:rsid w:val="009201BE"/>
    <w:rsid w:val="00920315"/>
    <w:rsid w:val="009203CD"/>
    <w:rsid w:val="009205A4"/>
    <w:rsid w:val="0092068F"/>
    <w:rsid w:val="009206CC"/>
    <w:rsid w:val="0092079F"/>
    <w:rsid w:val="009207A3"/>
    <w:rsid w:val="009207EE"/>
    <w:rsid w:val="00920D1F"/>
    <w:rsid w:val="00920DE1"/>
    <w:rsid w:val="00920E97"/>
    <w:rsid w:val="00920F5F"/>
    <w:rsid w:val="00921106"/>
    <w:rsid w:val="0092142A"/>
    <w:rsid w:val="00921675"/>
    <w:rsid w:val="0092169C"/>
    <w:rsid w:val="0092170A"/>
    <w:rsid w:val="009217B0"/>
    <w:rsid w:val="0092184F"/>
    <w:rsid w:val="009218A7"/>
    <w:rsid w:val="00921930"/>
    <w:rsid w:val="00921B7B"/>
    <w:rsid w:val="00921E2D"/>
    <w:rsid w:val="00921E98"/>
    <w:rsid w:val="00921FD0"/>
    <w:rsid w:val="00922205"/>
    <w:rsid w:val="00922455"/>
    <w:rsid w:val="00922768"/>
    <w:rsid w:val="00922773"/>
    <w:rsid w:val="00922C1A"/>
    <w:rsid w:val="00922C2C"/>
    <w:rsid w:val="00922CAD"/>
    <w:rsid w:val="009230CE"/>
    <w:rsid w:val="00923110"/>
    <w:rsid w:val="00923153"/>
    <w:rsid w:val="009233D2"/>
    <w:rsid w:val="0092341F"/>
    <w:rsid w:val="00923557"/>
    <w:rsid w:val="0092372A"/>
    <w:rsid w:val="00923985"/>
    <w:rsid w:val="00923BE8"/>
    <w:rsid w:val="00924121"/>
    <w:rsid w:val="009245C7"/>
    <w:rsid w:val="00924ED0"/>
    <w:rsid w:val="00924F03"/>
    <w:rsid w:val="0092506E"/>
    <w:rsid w:val="009252C8"/>
    <w:rsid w:val="0092581D"/>
    <w:rsid w:val="009259AF"/>
    <w:rsid w:val="00925CCD"/>
    <w:rsid w:val="00925DED"/>
    <w:rsid w:val="00925E7D"/>
    <w:rsid w:val="009262EF"/>
    <w:rsid w:val="00926627"/>
    <w:rsid w:val="00926992"/>
    <w:rsid w:val="00926B5C"/>
    <w:rsid w:val="00927F84"/>
    <w:rsid w:val="0093001B"/>
    <w:rsid w:val="009300AA"/>
    <w:rsid w:val="009301A3"/>
    <w:rsid w:val="009301C0"/>
    <w:rsid w:val="00930440"/>
    <w:rsid w:val="00930499"/>
    <w:rsid w:val="009304BA"/>
    <w:rsid w:val="00930587"/>
    <w:rsid w:val="00930832"/>
    <w:rsid w:val="00930836"/>
    <w:rsid w:val="009308DB"/>
    <w:rsid w:val="009309C6"/>
    <w:rsid w:val="00930A16"/>
    <w:rsid w:val="00930A91"/>
    <w:rsid w:val="00930D0E"/>
    <w:rsid w:val="00930DB6"/>
    <w:rsid w:val="00930E74"/>
    <w:rsid w:val="00931163"/>
    <w:rsid w:val="00931418"/>
    <w:rsid w:val="009314C1"/>
    <w:rsid w:val="009314F8"/>
    <w:rsid w:val="0093163F"/>
    <w:rsid w:val="009318BE"/>
    <w:rsid w:val="00931A20"/>
    <w:rsid w:val="00931B46"/>
    <w:rsid w:val="00931B94"/>
    <w:rsid w:val="00931C0B"/>
    <w:rsid w:val="00931C8B"/>
    <w:rsid w:val="00931E33"/>
    <w:rsid w:val="00932164"/>
    <w:rsid w:val="00932245"/>
    <w:rsid w:val="0093241D"/>
    <w:rsid w:val="00932630"/>
    <w:rsid w:val="00932751"/>
    <w:rsid w:val="00932799"/>
    <w:rsid w:val="0093286E"/>
    <w:rsid w:val="009329D5"/>
    <w:rsid w:val="00932BDD"/>
    <w:rsid w:val="00932C6C"/>
    <w:rsid w:val="00932C82"/>
    <w:rsid w:val="009331DE"/>
    <w:rsid w:val="0093329C"/>
    <w:rsid w:val="009334EB"/>
    <w:rsid w:val="00933884"/>
    <w:rsid w:val="009338A2"/>
    <w:rsid w:val="00933C08"/>
    <w:rsid w:val="00933C76"/>
    <w:rsid w:val="00933CBD"/>
    <w:rsid w:val="00933D9B"/>
    <w:rsid w:val="00933DC8"/>
    <w:rsid w:val="0093406E"/>
    <w:rsid w:val="009340B4"/>
    <w:rsid w:val="009341B2"/>
    <w:rsid w:val="009342A8"/>
    <w:rsid w:val="009342A9"/>
    <w:rsid w:val="009342C4"/>
    <w:rsid w:val="009343E4"/>
    <w:rsid w:val="009344A2"/>
    <w:rsid w:val="009344FE"/>
    <w:rsid w:val="00934B2A"/>
    <w:rsid w:val="00934EA0"/>
    <w:rsid w:val="009351B9"/>
    <w:rsid w:val="0093546A"/>
    <w:rsid w:val="0093575E"/>
    <w:rsid w:val="0093595F"/>
    <w:rsid w:val="00935CF8"/>
    <w:rsid w:val="00935E84"/>
    <w:rsid w:val="00935ECF"/>
    <w:rsid w:val="00935EDD"/>
    <w:rsid w:val="00936319"/>
    <w:rsid w:val="009363CA"/>
    <w:rsid w:val="00936541"/>
    <w:rsid w:val="0093675B"/>
    <w:rsid w:val="00936881"/>
    <w:rsid w:val="009368BE"/>
    <w:rsid w:val="00936917"/>
    <w:rsid w:val="00936BC2"/>
    <w:rsid w:val="00936E54"/>
    <w:rsid w:val="00936F1C"/>
    <w:rsid w:val="0093710E"/>
    <w:rsid w:val="00937232"/>
    <w:rsid w:val="00937369"/>
    <w:rsid w:val="009378EC"/>
    <w:rsid w:val="00937C70"/>
    <w:rsid w:val="00937CA5"/>
    <w:rsid w:val="00937D1A"/>
    <w:rsid w:val="00937D7A"/>
    <w:rsid w:val="00940085"/>
    <w:rsid w:val="009401DB"/>
    <w:rsid w:val="00940273"/>
    <w:rsid w:val="00940977"/>
    <w:rsid w:val="00940DDA"/>
    <w:rsid w:val="00941237"/>
    <w:rsid w:val="0094144B"/>
    <w:rsid w:val="009416BC"/>
    <w:rsid w:val="009418A2"/>
    <w:rsid w:val="00941945"/>
    <w:rsid w:val="009419FB"/>
    <w:rsid w:val="00941A74"/>
    <w:rsid w:val="00941C22"/>
    <w:rsid w:val="00941EE1"/>
    <w:rsid w:val="009421AB"/>
    <w:rsid w:val="009427B7"/>
    <w:rsid w:val="009428E4"/>
    <w:rsid w:val="00942BB0"/>
    <w:rsid w:val="00942CD3"/>
    <w:rsid w:val="00943158"/>
    <w:rsid w:val="0094325E"/>
    <w:rsid w:val="009433F8"/>
    <w:rsid w:val="00943434"/>
    <w:rsid w:val="00943524"/>
    <w:rsid w:val="009435C3"/>
    <w:rsid w:val="00943681"/>
    <w:rsid w:val="00943892"/>
    <w:rsid w:val="00943BDE"/>
    <w:rsid w:val="00943D68"/>
    <w:rsid w:val="00943F64"/>
    <w:rsid w:val="00943F6C"/>
    <w:rsid w:val="00944352"/>
    <w:rsid w:val="00944539"/>
    <w:rsid w:val="009448AD"/>
    <w:rsid w:val="0094495E"/>
    <w:rsid w:val="0094499F"/>
    <w:rsid w:val="00944BD1"/>
    <w:rsid w:val="00945044"/>
    <w:rsid w:val="009453DF"/>
    <w:rsid w:val="009455FC"/>
    <w:rsid w:val="00945610"/>
    <w:rsid w:val="0094570E"/>
    <w:rsid w:val="009459EB"/>
    <w:rsid w:val="00945AC2"/>
    <w:rsid w:val="00945AE2"/>
    <w:rsid w:val="00945EE3"/>
    <w:rsid w:val="009460F9"/>
    <w:rsid w:val="0094613D"/>
    <w:rsid w:val="00946166"/>
    <w:rsid w:val="0094619C"/>
    <w:rsid w:val="00946714"/>
    <w:rsid w:val="0094682B"/>
    <w:rsid w:val="009468BC"/>
    <w:rsid w:val="00946F40"/>
    <w:rsid w:val="00946F5A"/>
    <w:rsid w:val="0094718D"/>
    <w:rsid w:val="0094728A"/>
    <w:rsid w:val="009472F9"/>
    <w:rsid w:val="00947383"/>
    <w:rsid w:val="009473F5"/>
    <w:rsid w:val="0094751E"/>
    <w:rsid w:val="00947573"/>
    <w:rsid w:val="009477BB"/>
    <w:rsid w:val="0094783A"/>
    <w:rsid w:val="0094794A"/>
    <w:rsid w:val="00947975"/>
    <w:rsid w:val="00947C1A"/>
    <w:rsid w:val="00947ED1"/>
    <w:rsid w:val="00950049"/>
    <w:rsid w:val="00950108"/>
    <w:rsid w:val="009503B7"/>
    <w:rsid w:val="009505B0"/>
    <w:rsid w:val="00950649"/>
    <w:rsid w:val="00950870"/>
    <w:rsid w:val="009509D7"/>
    <w:rsid w:val="00950A61"/>
    <w:rsid w:val="00950E7D"/>
    <w:rsid w:val="00950F33"/>
    <w:rsid w:val="009510D1"/>
    <w:rsid w:val="009512D9"/>
    <w:rsid w:val="0095175E"/>
    <w:rsid w:val="00951781"/>
    <w:rsid w:val="009517A4"/>
    <w:rsid w:val="00951896"/>
    <w:rsid w:val="00951B44"/>
    <w:rsid w:val="00951BEF"/>
    <w:rsid w:val="00951D28"/>
    <w:rsid w:val="00951EEF"/>
    <w:rsid w:val="00951FF0"/>
    <w:rsid w:val="0095230D"/>
    <w:rsid w:val="0095258D"/>
    <w:rsid w:val="009525C7"/>
    <w:rsid w:val="009525FB"/>
    <w:rsid w:val="009527C9"/>
    <w:rsid w:val="0095286E"/>
    <w:rsid w:val="009529A0"/>
    <w:rsid w:val="00952A02"/>
    <w:rsid w:val="00952B6B"/>
    <w:rsid w:val="00952C24"/>
    <w:rsid w:val="00952CF4"/>
    <w:rsid w:val="0095306F"/>
    <w:rsid w:val="009530EE"/>
    <w:rsid w:val="009532D0"/>
    <w:rsid w:val="0095384E"/>
    <w:rsid w:val="0095385D"/>
    <w:rsid w:val="00953950"/>
    <w:rsid w:val="00953979"/>
    <w:rsid w:val="00953A16"/>
    <w:rsid w:val="00953D09"/>
    <w:rsid w:val="00953F20"/>
    <w:rsid w:val="00954095"/>
    <w:rsid w:val="00954206"/>
    <w:rsid w:val="00954225"/>
    <w:rsid w:val="00954485"/>
    <w:rsid w:val="0095448D"/>
    <w:rsid w:val="00954716"/>
    <w:rsid w:val="00954842"/>
    <w:rsid w:val="0095485A"/>
    <w:rsid w:val="00954D30"/>
    <w:rsid w:val="00954E61"/>
    <w:rsid w:val="00954F51"/>
    <w:rsid w:val="00955083"/>
    <w:rsid w:val="00955145"/>
    <w:rsid w:val="00955336"/>
    <w:rsid w:val="009553B1"/>
    <w:rsid w:val="0095550E"/>
    <w:rsid w:val="00955967"/>
    <w:rsid w:val="00955ADE"/>
    <w:rsid w:val="00955D98"/>
    <w:rsid w:val="00956326"/>
    <w:rsid w:val="00956675"/>
    <w:rsid w:val="009567C3"/>
    <w:rsid w:val="00956BA5"/>
    <w:rsid w:val="00956EF1"/>
    <w:rsid w:val="00956F23"/>
    <w:rsid w:val="00956FC0"/>
    <w:rsid w:val="00957074"/>
    <w:rsid w:val="009571EA"/>
    <w:rsid w:val="0095734E"/>
    <w:rsid w:val="009575D8"/>
    <w:rsid w:val="00957641"/>
    <w:rsid w:val="00957A8B"/>
    <w:rsid w:val="00957AF3"/>
    <w:rsid w:val="00957B94"/>
    <w:rsid w:val="00957EC9"/>
    <w:rsid w:val="00957F30"/>
    <w:rsid w:val="00957FA5"/>
    <w:rsid w:val="009601D4"/>
    <w:rsid w:val="009601EF"/>
    <w:rsid w:val="009603AA"/>
    <w:rsid w:val="00960534"/>
    <w:rsid w:val="009605E8"/>
    <w:rsid w:val="00960A12"/>
    <w:rsid w:val="00960A46"/>
    <w:rsid w:val="00960C24"/>
    <w:rsid w:val="00960C35"/>
    <w:rsid w:val="00960C37"/>
    <w:rsid w:val="00960D1C"/>
    <w:rsid w:val="00961022"/>
    <w:rsid w:val="0096105B"/>
    <w:rsid w:val="009612E2"/>
    <w:rsid w:val="00961391"/>
    <w:rsid w:val="009614DF"/>
    <w:rsid w:val="009615D5"/>
    <w:rsid w:val="00961687"/>
    <w:rsid w:val="009616C6"/>
    <w:rsid w:val="00961737"/>
    <w:rsid w:val="00961851"/>
    <w:rsid w:val="009618C2"/>
    <w:rsid w:val="00961BAA"/>
    <w:rsid w:val="00961CD2"/>
    <w:rsid w:val="00961D76"/>
    <w:rsid w:val="00961DF7"/>
    <w:rsid w:val="00961DFD"/>
    <w:rsid w:val="009622A3"/>
    <w:rsid w:val="0096232E"/>
    <w:rsid w:val="009625F8"/>
    <w:rsid w:val="00962A04"/>
    <w:rsid w:val="00962BF1"/>
    <w:rsid w:val="00963154"/>
    <w:rsid w:val="00963438"/>
    <w:rsid w:val="0096364F"/>
    <w:rsid w:val="00963718"/>
    <w:rsid w:val="00963A4C"/>
    <w:rsid w:val="00963B8F"/>
    <w:rsid w:val="00963E22"/>
    <w:rsid w:val="00963E3B"/>
    <w:rsid w:val="0096401A"/>
    <w:rsid w:val="009641E7"/>
    <w:rsid w:val="009642C8"/>
    <w:rsid w:val="009646A3"/>
    <w:rsid w:val="0096474D"/>
    <w:rsid w:val="009648EC"/>
    <w:rsid w:val="00964A1E"/>
    <w:rsid w:val="009651A9"/>
    <w:rsid w:val="00965424"/>
    <w:rsid w:val="009654AE"/>
    <w:rsid w:val="009655BE"/>
    <w:rsid w:val="009657F1"/>
    <w:rsid w:val="00965F2D"/>
    <w:rsid w:val="00966050"/>
    <w:rsid w:val="00966134"/>
    <w:rsid w:val="00966258"/>
    <w:rsid w:val="009664A6"/>
    <w:rsid w:val="009666FD"/>
    <w:rsid w:val="00966D44"/>
    <w:rsid w:val="00966D53"/>
    <w:rsid w:val="00966EC5"/>
    <w:rsid w:val="009670DF"/>
    <w:rsid w:val="0096738D"/>
    <w:rsid w:val="00967861"/>
    <w:rsid w:val="009679A6"/>
    <w:rsid w:val="00967A9A"/>
    <w:rsid w:val="00967B33"/>
    <w:rsid w:val="00967DD8"/>
    <w:rsid w:val="00967E0A"/>
    <w:rsid w:val="00967E0D"/>
    <w:rsid w:val="00967FCA"/>
    <w:rsid w:val="0097001A"/>
    <w:rsid w:val="00970659"/>
    <w:rsid w:val="00970760"/>
    <w:rsid w:val="009708D9"/>
    <w:rsid w:val="00970ED4"/>
    <w:rsid w:val="00970EE5"/>
    <w:rsid w:val="00971212"/>
    <w:rsid w:val="009712F1"/>
    <w:rsid w:val="009713CD"/>
    <w:rsid w:val="0097145C"/>
    <w:rsid w:val="009715E8"/>
    <w:rsid w:val="00971644"/>
    <w:rsid w:val="00971904"/>
    <w:rsid w:val="0097199E"/>
    <w:rsid w:val="00971A89"/>
    <w:rsid w:val="00971C57"/>
    <w:rsid w:val="00971E19"/>
    <w:rsid w:val="00971F4F"/>
    <w:rsid w:val="009722A9"/>
    <w:rsid w:val="009722D7"/>
    <w:rsid w:val="0097271A"/>
    <w:rsid w:val="0097286E"/>
    <w:rsid w:val="00972A25"/>
    <w:rsid w:val="00972A76"/>
    <w:rsid w:val="00972ABA"/>
    <w:rsid w:val="00972AC2"/>
    <w:rsid w:val="00972C7A"/>
    <w:rsid w:val="00973099"/>
    <w:rsid w:val="009730F1"/>
    <w:rsid w:val="0097313D"/>
    <w:rsid w:val="00973351"/>
    <w:rsid w:val="0097340D"/>
    <w:rsid w:val="009735F7"/>
    <w:rsid w:val="009736B5"/>
    <w:rsid w:val="009737B3"/>
    <w:rsid w:val="0097391B"/>
    <w:rsid w:val="009739E6"/>
    <w:rsid w:val="00973C82"/>
    <w:rsid w:val="00973DC6"/>
    <w:rsid w:val="00973E27"/>
    <w:rsid w:val="00973E60"/>
    <w:rsid w:val="00973F0C"/>
    <w:rsid w:val="009743A3"/>
    <w:rsid w:val="009744B2"/>
    <w:rsid w:val="00974764"/>
    <w:rsid w:val="00974892"/>
    <w:rsid w:val="00974CC3"/>
    <w:rsid w:val="00974CF0"/>
    <w:rsid w:val="0097506A"/>
    <w:rsid w:val="00975106"/>
    <w:rsid w:val="009753BF"/>
    <w:rsid w:val="00975694"/>
    <w:rsid w:val="00975CB6"/>
    <w:rsid w:val="00975D04"/>
    <w:rsid w:val="00975E59"/>
    <w:rsid w:val="00975EC9"/>
    <w:rsid w:val="00975FE2"/>
    <w:rsid w:val="009768A9"/>
    <w:rsid w:val="00976916"/>
    <w:rsid w:val="00976987"/>
    <w:rsid w:val="00976B59"/>
    <w:rsid w:val="0097700E"/>
    <w:rsid w:val="00977197"/>
    <w:rsid w:val="009772D8"/>
    <w:rsid w:val="0097744A"/>
    <w:rsid w:val="009775BE"/>
    <w:rsid w:val="0097762D"/>
    <w:rsid w:val="00977830"/>
    <w:rsid w:val="0097791B"/>
    <w:rsid w:val="009779C3"/>
    <w:rsid w:val="00977A70"/>
    <w:rsid w:val="00977C77"/>
    <w:rsid w:val="00977DA5"/>
    <w:rsid w:val="009800A4"/>
    <w:rsid w:val="0098015F"/>
    <w:rsid w:val="00980188"/>
    <w:rsid w:val="00980366"/>
    <w:rsid w:val="00980452"/>
    <w:rsid w:val="00980460"/>
    <w:rsid w:val="0098083B"/>
    <w:rsid w:val="0098087B"/>
    <w:rsid w:val="009814BC"/>
    <w:rsid w:val="009814FC"/>
    <w:rsid w:val="009818DE"/>
    <w:rsid w:val="00981AC8"/>
    <w:rsid w:val="00981BCB"/>
    <w:rsid w:val="00981C02"/>
    <w:rsid w:val="009822FE"/>
    <w:rsid w:val="0098241F"/>
    <w:rsid w:val="0098286D"/>
    <w:rsid w:val="00982958"/>
    <w:rsid w:val="00982959"/>
    <w:rsid w:val="00982CB0"/>
    <w:rsid w:val="00982DB9"/>
    <w:rsid w:val="00982EC5"/>
    <w:rsid w:val="0098310D"/>
    <w:rsid w:val="0098313F"/>
    <w:rsid w:val="009831AC"/>
    <w:rsid w:val="00983248"/>
    <w:rsid w:val="009832E6"/>
    <w:rsid w:val="00983349"/>
    <w:rsid w:val="0098346C"/>
    <w:rsid w:val="00983507"/>
    <w:rsid w:val="009835A7"/>
    <w:rsid w:val="009835F3"/>
    <w:rsid w:val="00983617"/>
    <w:rsid w:val="00983696"/>
    <w:rsid w:val="009838E7"/>
    <w:rsid w:val="00983EA2"/>
    <w:rsid w:val="00983F6D"/>
    <w:rsid w:val="00984147"/>
    <w:rsid w:val="0098414F"/>
    <w:rsid w:val="00984337"/>
    <w:rsid w:val="009844E3"/>
    <w:rsid w:val="00984AC5"/>
    <w:rsid w:val="00985041"/>
    <w:rsid w:val="009853E6"/>
    <w:rsid w:val="00985B71"/>
    <w:rsid w:val="00985E5D"/>
    <w:rsid w:val="009860CE"/>
    <w:rsid w:val="00986586"/>
    <w:rsid w:val="009866B2"/>
    <w:rsid w:val="009868F5"/>
    <w:rsid w:val="00986A4F"/>
    <w:rsid w:val="00986C3C"/>
    <w:rsid w:val="00986C9A"/>
    <w:rsid w:val="00986CF3"/>
    <w:rsid w:val="00986E3F"/>
    <w:rsid w:val="00986FDF"/>
    <w:rsid w:val="009872FB"/>
    <w:rsid w:val="00987315"/>
    <w:rsid w:val="0098765A"/>
    <w:rsid w:val="0098779B"/>
    <w:rsid w:val="009877CD"/>
    <w:rsid w:val="0098788B"/>
    <w:rsid w:val="00987F40"/>
    <w:rsid w:val="00990676"/>
    <w:rsid w:val="00990716"/>
    <w:rsid w:val="0099088A"/>
    <w:rsid w:val="00990B6C"/>
    <w:rsid w:val="00991000"/>
    <w:rsid w:val="009911D2"/>
    <w:rsid w:val="009911E4"/>
    <w:rsid w:val="009911FC"/>
    <w:rsid w:val="0099148E"/>
    <w:rsid w:val="00991626"/>
    <w:rsid w:val="00991663"/>
    <w:rsid w:val="0099166A"/>
    <w:rsid w:val="009917FC"/>
    <w:rsid w:val="00991A03"/>
    <w:rsid w:val="00991AA7"/>
    <w:rsid w:val="00991BEF"/>
    <w:rsid w:val="00991E49"/>
    <w:rsid w:val="00992054"/>
    <w:rsid w:val="00992297"/>
    <w:rsid w:val="009922FD"/>
    <w:rsid w:val="0099253E"/>
    <w:rsid w:val="009925BE"/>
    <w:rsid w:val="009925EA"/>
    <w:rsid w:val="0099264C"/>
    <w:rsid w:val="00992A41"/>
    <w:rsid w:val="00992CD1"/>
    <w:rsid w:val="00992DA4"/>
    <w:rsid w:val="0099302C"/>
    <w:rsid w:val="00993336"/>
    <w:rsid w:val="00993530"/>
    <w:rsid w:val="009936AF"/>
    <w:rsid w:val="009937B2"/>
    <w:rsid w:val="0099389A"/>
    <w:rsid w:val="009938B3"/>
    <w:rsid w:val="00993A1D"/>
    <w:rsid w:val="00993D31"/>
    <w:rsid w:val="00993D89"/>
    <w:rsid w:val="00993E03"/>
    <w:rsid w:val="00993E9C"/>
    <w:rsid w:val="00994223"/>
    <w:rsid w:val="009942AD"/>
    <w:rsid w:val="00994557"/>
    <w:rsid w:val="009947A9"/>
    <w:rsid w:val="009947AE"/>
    <w:rsid w:val="0099487F"/>
    <w:rsid w:val="00994ABF"/>
    <w:rsid w:val="00994B85"/>
    <w:rsid w:val="00994BEE"/>
    <w:rsid w:val="00994CC1"/>
    <w:rsid w:val="00994F00"/>
    <w:rsid w:val="00994F18"/>
    <w:rsid w:val="009951AE"/>
    <w:rsid w:val="009954AF"/>
    <w:rsid w:val="00995AB0"/>
    <w:rsid w:val="00996112"/>
    <w:rsid w:val="009962C2"/>
    <w:rsid w:val="009966C0"/>
    <w:rsid w:val="00996C43"/>
    <w:rsid w:val="00996E03"/>
    <w:rsid w:val="00996E98"/>
    <w:rsid w:val="00996ED8"/>
    <w:rsid w:val="00997166"/>
    <w:rsid w:val="00997171"/>
    <w:rsid w:val="00997261"/>
    <w:rsid w:val="00997AC3"/>
    <w:rsid w:val="00997AD0"/>
    <w:rsid w:val="00997F30"/>
    <w:rsid w:val="009A000B"/>
    <w:rsid w:val="009A01A5"/>
    <w:rsid w:val="009A0285"/>
    <w:rsid w:val="009A0289"/>
    <w:rsid w:val="009A03C0"/>
    <w:rsid w:val="009A0819"/>
    <w:rsid w:val="009A08A4"/>
    <w:rsid w:val="009A09F0"/>
    <w:rsid w:val="009A0B0F"/>
    <w:rsid w:val="009A1019"/>
    <w:rsid w:val="009A104A"/>
    <w:rsid w:val="009A1078"/>
    <w:rsid w:val="009A148B"/>
    <w:rsid w:val="009A1644"/>
    <w:rsid w:val="009A1648"/>
    <w:rsid w:val="009A1B22"/>
    <w:rsid w:val="009A1C18"/>
    <w:rsid w:val="009A1D1A"/>
    <w:rsid w:val="009A1D1D"/>
    <w:rsid w:val="009A1E8A"/>
    <w:rsid w:val="009A1E9E"/>
    <w:rsid w:val="009A208F"/>
    <w:rsid w:val="009A2121"/>
    <w:rsid w:val="009A2166"/>
    <w:rsid w:val="009A25CD"/>
    <w:rsid w:val="009A27EE"/>
    <w:rsid w:val="009A29D4"/>
    <w:rsid w:val="009A2B79"/>
    <w:rsid w:val="009A31AA"/>
    <w:rsid w:val="009A31D2"/>
    <w:rsid w:val="009A32F7"/>
    <w:rsid w:val="009A3478"/>
    <w:rsid w:val="009A37C4"/>
    <w:rsid w:val="009A3A64"/>
    <w:rsid w:val="009A3CF5"/>
    <w:rsid w:val="009A40D7"/>
    <w:rsid w:val="009A4102"/>
    <w:rsid w:val="009A4674"/>
    <w:rsid w:val="009A4785"/>
    <w:rsid w:val="009A4895"/>
    <w:rsid w:val="009A4DB9"/>
    <w:rsid w:val="009A4E92"/>
    <w:rsid w:val="009A4EBA"/>
    <w:rsid w:val="009A5196"/>
    <w:rsid w:val="009A55D0"/>
    <w:rsid w:val="009A5997"/>
    <w:rsid w:val="009A5A16"/>
    <w:rsid w:val="009A5AD0"/>
    <w:rsid w:val="009A5B9F"/>
    <w:rsid w:val="009A5CDE"/>
    <w:rsid w:val="009A5D25"/>
    <w:rsid w:val="009A5F1F"/>
    <w:rsid w:val="009A60B3"/>
    <w:rsid w:val="009A6230"/>
    <w:rsid w:val="009A626C"/>
    <w:rsid w:val="009A648F"/>
    <w:rsid w:val="009A64EF"/>
    <w:rsid w:val="009A6666"/>
    <w:rsid w:val="009A6859"/>
    <w:rsid w:val="009A6935"/>
    <w:rsid w:val="009A6C8D"/>
    <w:rsid w:val="009A6DCC"/>
    <w:rsid w:val="009A70D5"/>
    <w:rsid w:val="009A7361"/>
    <w:rsid w:val="009A7436"/>
    <w:rsid w:val="009A76CF"/>
    <w:rsid w:val="009A7A47"/>
    <w:rsid w:val="009B001F"/>
    <w:rsid w:val="009B04D5"/>
    <w:rsid w:val="009B09C7"/>
    <w:rsid w:val="009B0E27"/>
    <w:rsid w:val="009B119C"/>
    <w:rsid w:val="009B12F3"/>
    <w:rsid w:val="009B14BF"/>
    <w:rsid w:val="009B165F"/>
    <w:rsid w:val="009B1E1D"/>
    <w:rsid w:val="009B1E2B"/>
    <w:rsid w:val="009B1E64"/>
    <w:rsid w:val="009B2226"/>
    <w:rsid w:val="009B26B6"/>
    <w:rsid w:val="009B2773"/>
    <w:rsid w:val="009B2775"/>
    <w:rsid w:val="009B2983"/>
    <w:rsid w:val="009B29E8"/>
    <w:rsid w:val="009B2CAD"/>
    <w:rsid w:val="009B2E48"/>
    <w:rsid w:val="009B2F76"/>
    <w:rsid w:val="009B3041"/>
    <w:rsid w:val="009B30B6"/>
    <w:rsid w:val="009B3248"/>
    <w:rsid w:val="009B3256"/>
    <w:rsid w:val="009B32C7"/>
    <w:rsid w:val="009B39E7"/>
    <w:rsid w:val="009B3A97"/>
    <w:rsid w:val="009B3DDD"/>
    <w:rsid w:val="009B3EA0"/>
    <w:rsid w:val="009B3ECA"/>
    <w:rsid w:val="009B3F3E"/>
    <w:rsid w:val="009B3FAE"/>
    <w:rsid w:val="009B424C"/>
    <w:rsid w:val="009B42BB"/>
    <w:rsid w:val="009B43D8"/>
    <w:rsid w:val="009B4417"/>
    <w:rsid w:val="009B4542"/>
    <w:rsid w:val="009B48AA"/>
    <w:rsid w:val="009B4BD0"/>
    <w:rsid w:val="009B5132"/>
    <w:rsid w:val="009B513B"/>
    <w:rsid w:val="009B51CB"/>
    <w:rsid w:val="009B5373"/>
    <w:rsid w:val="009B548E"/>
    <w:rsid w:val="009B54EF"/>
    <w:rsid w:val="009B55C6"/>
    <w:rsid w:val="009B583F"/>
    <w:rsid w:val="009B58C3"/>
    <w:rsid w:val="009B5B09"/>
    <w:rsid w:val="009B5BB2"/>
    <w:rsid w:val="009B5C4C"/>
    <w:rsid w:val="009B5DC9"/>
    <w:rsid w:val="009B5E1D"/>
    <w:rsid w:val="009B5FD1"/>
    <w:rsid w:val="009B6374"/>
    <w:rsid w:val="009B6464"/>
    <w:rsid w:val="009B6946"/>
    <w:rsid w:val="009B6A9E"/>
    <w:rsid w:val="009B7180"/>
    <w:rsid w:val="009B727D"/>
    <w:rsid w:val="009B7651"/>
    <w:rsid w:val="009B76CC"/>
    <w:rsid w:val="009B77FB"/>
    <w:rsid w:val="009B7815"/>
    <w:rsid w:val="009B7901"/>
    <w:rsid w:val="009B7DFD"/>
    <w:rsid w:val="009C024F"/>
    <w:rsid w:val="009C0275"/>
    <w:rsid w:val="009C02BF"/>
    <w:rsid w:val="009C037D"/>
    <w:rsid w:val="009C0625"/>
    <w:rsid w:val="009C0688"/>
    <w:rsid w:val="009C0696"/>
    <w:rsid w:val="009C0DB8"/>
    <w:rsid w:val="009C1427"/>
    <w:rsid w:val="009C1578"/>
    <w:rsid w:val="009C169F"/>
    <w:rsid w:val="009C1722"/>
    <w:rsid w:val="009C198E"/>
    <w:rsid w:val="009C1F86"/>
    <w:rsid w:val="009C272F"/>
    <w:rsid w:val="009C298E"/>
    <w:rsid w:val="009C2A32"/>
    <w:rsid w:val="009C2AFE"/>
    <w:rsid w:val="009C2BE2"/>
    <w:rsid w:val="009C2E5F"/>
    <w:rsid w:val="009C30F8"/>
    <w:rsid w:val="009C3227"/>
    <w:rsid w:val="009C3236"/>
    <w:rsid w:val="009C34C3"/>
    <w:rsid w:val="009C3565"/>
    <w:rsid w:val="009C35D7"/>
    <w:rsid w:val="009C367F"/>
    <w:rsid w:val="009C3A31"/>
    <w:rsid w:val="009C3C1C"/>
    <w:rsid w:val="009C3C23"/>
    <w:rsid w:val="009C3ECB"/>
    <w:rsid w:val="009C3FD3"/>
    <w:rsid w:val="009C40F0"/>
    <w:rsid w:val="009C45E1"/>
    <w:rsid w:val="009C48DC"/>
    <w:rsid w:val="009C48DD"/>
    <w:rsid w:val="009C4982"/>
    <w:rsid w:val="009C49A6"/>
    <w:rsid w:val="009C4A43"/>
    <w:rsid w:val="009C4DC2"/>
    <w:rsid w:val="009C54D4"/>
    <w:rsid w:val="009C558B"/>
    <w:rsid w:val="009C561A"/>
    <w:rsid w:val="009C5846"/>
    <w:rsid w:val="009C58BA"/>
    <w:rsid w:val="009C5B88"/>
    <w:rsid w:val="009C5C6A"/>
    <w:rsid w:val="009C62C1"/>
    <w:rsid w:val="009C63C1"/>
    <w:rsid w:val="009C6452"/>
    <w:rsid w:val="009C6668"/>
    <w:rsid w:val="009C68FC"/>
    <w:rsid w:val="009C6D0B"/>
    <w:rsid w:val="009C6F07"/>
    <w:rsid w:val="009C7014"/>
    <w:rsid w:val="009C7119"/>
    <w:rsid w:val="009C714A"/>
    <w:rsid w:val="009C76D8"/>
    <w:rsid w:val="009C7917"/>
    <w:rsid w:val="009C79D7"/>
    <w:rsid w:val="009C7A0D"/>
    <w:rsid w:val="009C7A1E"/>
    <w:rsid w:val="009C7A7F"/>
    <w:rsid w:val="009C7A88"/>
    <w:rsid w:val="009C7DA3"/>
    <w:rsid w:val="009D0003"/>
    <w:rsid w:val="009D018F"/>
    <w:rsid w:val="009D01DA"/>
    <w:rsid w:val="009D023F"/>
    <w:rsid w:val="009D02F1"/>
    <w:rsid w:val="009D0491"/>
    <w:rsid w:val="009D088B"/>
    <w:rsid w:val="009D0A74"/>
    <w:rsid w:val="009D0A7D"/>
    <w:rsid w:val="009D0C29"/>
    <w:rsid w:val="009D1046"/>
    <w:rsid w:val="009D10B7"/>
    <w:rsid w:val="009D10DD"/>
    <w:rsid w:val="009D11CA"/>
    <w:rsid w:val="009D120C"/>
    <w:rsid w:val="009D1426"/>
    <w:rsid w:val="009D1466"/>
    <w:rsid w:val="009D15DB"/>
    <w:rsid w:val="009D170A"/>
    <w:rsid w:val="009D182E"/>
    <w:rsid w:val="009D185C"/>
    <w:rsid w:val="009D1A22"/>
    <w:rsid w:val="009D1A7E"/>
    <w:rsid w:val="009D1BFB"/>
    <w:rsid w:val="009D1C25"/>
    <w:rsid w:val="009D1CDC"/>
    <w:rsid w:val="009D1D8C"/>
    <w:rsid w:val="009D2014"/>
    <w:rsid w:val="009D211B"/>
    <w:rsid w:val="009D28AA"/>
    <w:rsid w:val="009D28C8"/>
    <w:rsid w:val="009D2B15"/>
    <w:rsid w:val="009D2B23"/>
    <w:rsid w:val="009D30E2"/>
    <w:rsid w:val="009D3347"/>
    <w:rsid w:val="009D35D9"/>
    <w:rsid w:val="009D3770"/>
    <w:rsid w:val="009D38EC"/>
    <w:rsid w:val="009D38FC"/>
    <w:rsid w:val="009D3C18"/>
    <w:rsid w:val="009D3E83"/>
    <w:rsid w:val="009D437A"/>
    <w:rsid w:val="009D43F7"/>
    <w:rsid w:val="009D4421"/>
    <w:rsid w:val="009D473B"/>
    <w:rsid w:val="009D4A13"/>
    <w:rsid w:val="009D4AAB"/>
    <w:rsid w:val="009D4CC1"/>
    <w:rsid w:val="009D4E66"/>
    <w:rsid w:val="009D4F75"/>
    <w:rsid w:val="009D548B"/>
    <w:rsid w:val="009D54A5"/>
    <w:rsid w:val="009D56DD"/>
    <w:rsid w:val="009D56E4"/>
    <w:rsid w:val="009D5CC3"/>
    <w:rsid w:val="009D5D64"/>
    <w:rsid w:val="009D613E"/>
    <w:rsid w:val="009D6205"/>
    <w:rsid w:val="009D63EB"/>
    <w:rsid w:val="009D644F"/>
    <w:rsid w:val="009D64DA"/>
    <w:rsid w:val="009D68F9"/>
    <w:rsid w:val="009D6AF9"/>
    <w:rsid w:val="009D72A3"/>
    <w:rsid w:val="009D72A4"/>
    <w:rsid w:val="009D7A10"/>
    <w:rsid w:val="009D7A26"/>
    <w:rsid w:val="009D7A41"/>
    <w:rsid w:val="009D7AF3"/>
    <w:rsid w:val="009D7C90"/>
    <w:rsid w:val="009D7E01"/>
    <w:rsid w:val="009D7FD4"/>
    <w:rsid w:val="009E005E"/>
    <w:rsid w:val="009E027A"/>
    <w:rsid w:val="009E05C5"/>
    <w:rsid w:val="009E074E"/>
    <w:rsid w:val="009E080E"/>
    <w:rsid w:val="009E0946"/>
    <w:rsid w:val="009E0A46"/>
    <w:rsid w:val="009E0A74"/>
    <w:rsid w:val="009E0ACF"/>
    <w:rsid w:val="009E0CBF"/>
    <w:rsid w:val="009E1220"/>
    <w:rsid w:val="009E155D"/>
    <w:rsid w:val="009E15D6"/>
    <w:rsid w:val="009E1862"/>
    <w:rsid w:val="009E1942"/>
    <w:rsid w:val="009E1A2B"/>
    <w:rsid w:val="009E2010"/>
    <w:rsid w:val="009E20F7"/>
    <w:rsid w:val="009E21D7"/>
    <w:rsid w:val="009E22CF"/>
    <w:rsid w:val="009E22FF"/>
    <w:rsid w:val="009E2340"/>
    <w:rsid w:val="009E242D"/>
    <w:rsid w:val="009E287A"/>
    <w:rsid w:val="009E29FA"/>
    <w:rsid w:val="009E2C6F"/>
    <w:rsid w:val="009E2C7E"/>
    <w:rsid w:val="009E2D5D"/>
    <w:rsid w:val="009E2D6A"/>
    <w:rsid w:val="009E31D0"/>
    <w:rsid w:val="009E322D"/>
    <w:rsid w:val="009E3508"/>
    <w:rsid w:val="009E3626"/>
    <w:rsid w:val="009E36C3"/>
    <w:rsid w:val="009E3B42"/>
    <w:rsid w:val="009E3C15"/>
    <w:rsid w:val="009E3D5E"/>
    <w:rsid w:val="009E3D61"/>
    <w:rsid w:val="009E40A3"/>
    <w:rsid w:val="009E467E"/>
    <w:rsid w:val="009E46B5"/>
    <w:rsid w:val="009E481A"/>
    <w:rsid w:val="009E4A37"/>
    <w:rsid w:val="009E4C60"/>
    <w:rsid w:val="009E4FB3"/>
    <w:rsid w:val="009E522E"/>
    <w:rsid w:val="009E5283"/>
    <w:rsid w:val="009E562F"/>
    <w:rsid w:val="009E57C7"/>
    <w:rsid w:val="009E59BD"/>
    <w:rsid w:val="009E5B73"/>
    <w:rsid w:val="009E5C53"/>
    <w:rsid w:val="009E5DAB"/>
    <w:rsid w:val="009E60C7"/>
    <w:rsid w:val="009E62C4"/>
    <w:rsid w:val="009E62E8"/>
    <w:rsid w:val="009E636E"/>
    <w:rsid w:val="009E63F8"/>
    <w:rsid w:val="009E6459"/>
    <w:rsid w:val="009E6517"/>
    <w:rsid w:val="009E65C3"/>
    <w:rsid w:val="009E669E"/>
    <w:rsid w:val="009E681E"/>
    <w:rsid w:val="009E6834"/>
    <w:rsid w:val="009E68CD"/>
    <w:rsid w:val="009E6EDA"/>
    <w:rsid w:val="009E7306"/>
    <w:rsid w:val="009E7334"/>
    <w:rsid w:val="009E7435"/>
    <w:rsid w:val="009E75E9"/>
    <w:rsid w:val="009E7A0E"/>
    <w:rsid w:val="009E7A8B"/>
    <w:rsid w:val="009E7E8F"/>
    <w:rsid w:val="009E7EB8"/>
    <w:rsid w:val="009E7FF9"/>
    <w:rsid w:val="009F025C"/>
    <w:rsid w:val="009F0596"/>
    <w:rsid w:val="009F0663"/>
    <w:rsid w:val="009F07D4"/>
    <w:rsid w:val="009F08FF"/>
    <w:rsid w:val="009F09B9"/>
    <w:rsid w:val="009F0F9B"/>
    <w:rsid w:val="009F1158"/>
    <w:rsid w:val="009F1200"/>
    <w:rsid w:val="009F1377"/>
    <w:rsid w:val="009F158D"/>
    <w:rsid w:val="009F1999"/>
    <w:rsid w:val="009F1A11"/>
    <w:rsid w:val="009F1F38"/>
    <w:rsid w:val="009F207A"/>
    <w:rsid w:val="009F20AA"/>
    <w:rsid w:val="009F20AB"/>
    <w:rsid w:val="009F2410"/>
    <w:rsid w:val="009F2747"/>
    <w:rsid w:val="009F288F"/>
    <w:rsid w:val="009F29D4"/>
    <w:rsid w:val="009F2B8B"/>
    <w:rsid w:val="009F2B9D"/>
    <w:rsid w:val="009F2C40"/>
    <w:rsid w:val="009F2DFB"/>
    <w:rsid w:val="009F2EDA"/>
    <w:rsid w:val="009F3031"/>
    <w:rsid w:val="009F3122"/>
    <w:rsid w:val="009F332B"/>
    <w:rsid w:val="009F3395"/>
    <w:rsid w:val="009F33B9"/>
    <w:rsid w:val="009F34DC"/>
    <w:rsid w:val="009F3520"/>
    <w:rsid w:val="009F3671"/>
    <w:rsid w:val="009F380E"/>
    <w:rsid w:val="009F39DA"/>
    <w:rsid w:val="009F3BC9"/>
    <w:rsid w:val="009F3C61"/>
    <w:rsid w:val="009F3CCA"/>
    <w:rsid w:val="009F3D17"/>
    <w:rsid w:val="009F3D77"/>
    <w:rsid w:val="009F3F3F"/>
    <w:rsid w:val="009F43E9"/>
    <w:rsid w:val="009F45E5"/>
    <w:rsid w:val="009F466E"/>
    <w:rsid w:val="009F4949"/>
    <w:rsid w:val="009F4AE3"/>
    <w:rsid w:val="009F4AEA"/>
    <w:rsid w:val="009F4E70"/>
    <w:rsid w:val="009F4F3C"/>
    <w:rsid w:val="009F561F"/>
    <w:rsid w:val="009F568F"/>
    <w:rsid w:val="009F56CA"/>
    <w:rsid w:val="009F5B2A"/>
    <w:rsid w:val="009F60B2"/>
    <w:rsid w:val="009F616B"/>
    <w:rsid w:val="009F6195"/>
    <w:rsid w:val="009F6365"/>
    <w:rsid w:val="009F63BD"/>
    <w:rsid w:val="009F657F"/>
    <w:rsid w:val="009F6EF0"/>
    <w:rsid w:val="009F6F97"/>
    <w:rsid w:val="009F7216"/>
    <w:rsid w:val="009F7479"/>
    <w:rsid w:val="009F7690"/>
    <w:rsid w:val="009F76B1"/>
    <w:rsid w:val="009F76F3"/>
    <w:rsid w:val="009F7CD2"/>
    <w:rsid w:val="009F7DDC"/>
    <w:rsid w:val="00A000C6"/>
    <w:rsid w:val="00A0040C"/>
    <w:rsid w:val="00A00646"/>
    <w:rsid w:val="00A008F3"/>
    <w:rsid w:val="00A00A24"/>
    <w:rsid w:val="00A00B4E"/>
    <w:rsid w:val="00A00CFE"/>
    <w:rsid w:val="00A00D80"/>
    <w:rsid w:val="00A00F5F"/>
    <w:rsid w:val="00A0103A"/>
    <w:rsid w:val="00A011DD"/>
    <w:rsid w:val="00A01291"/>
    <w:rsid w:val="00A013DA"/>
    <w:rsid w:val="00A01472"/>
    <w:rsid w:val="00A014DA"/>
    <w:rsid w:val="00A01540"/>
    <w:rsid w:val="00A01546"/>
    <w:rsid w:val="00A0163D"/>
    <w:rsid w:val="00A018A6"/>
    <w:rsid w:val="00A0197B"/>
    <w:rsid w:val="00A01C40"/>
    <w:rsid w:val="00A01CAA"/>
    <w:rsid w:val="00A01EEF"/>
    <w:rsid w:val="00A0206F"/>
    <w:rsid w:val="00A021A2"/>
    <w:rsid w:val="00A02BE1"/>
    <w:rsid w:val="00A02E37"/>
    <w:rsid w:val="00A030DE"/>
    <w:rsid w:val="00A030E5"/>
    <w:rsid w:val="00A031F5"/>
    <w:rsid w:val="00A03370"/>
    <w:rsid w:val="00A03462"/>
    <w:rsid w:val="00A0355E"/>
    <w:rsid w:val="00A0366A"/>
    <w:rsid w:val="00A0367B"/>
    <w:rsid w:val="00A0387F"/>
    <w:rsid w:val="00A03A48"/>
    <w:rsid w:val="00A03C04"/>
    <w:rsid w:val="00A03C48"/>
    <w:rsid w:val="00A03D52"/>
    <w:rsid w:val="00A03D88"/>
    <w:rsid w:val="00A03E6F"/>
    <w:rsid w:val="00A04002"/>
    <w:rsid w:val="00A0414B"/>
    <w:rsid w:val="00A04345"/>
    <w:rsid w:val="00A044E5"/>
    <w:rsid w:val="00A0459D"/>
    <w:rsid w:val="00A04746"/>
    <w:rsid w:val="00A04765"/>
    <w:rsid w:val="00A047A1"/>
    <w:rsid w:val="00A04B36"/>
    <w:rsid w:val="00A04B57"/>
    <w:rsid w:val="00A04BF3"/>
    <w:rsid w:val="00A04EB8"/>
    <w:rsid w:val="00A04ED8"/>
    <w:rsid w:val="00A051EB"/>
    <w:rsid w:val="00A05270"/>
    <w:rsid w:val="00A053DD"/>
    <w:rsid w:val="00A05522"/>
    <w:rsid w:val="00A05A9F"/>
    <w:rsid w:val="00A05AC7"/>
    <w:rsid w:val="00A062B0"/>
    <w:rsid w:val="00A06436"/>
    <w:rsid w:val="00A064EB"/>
    <w:rsid w:val="00A067D3"/>
    <w:rsid w:val="00A06AB0"/>
    <w:rsid w:val="00A06BAA"/>
    <w:rsid w:val="00A06C9E"/>
    <w:rsid w:val="00A06CAF"/>
    <w:rsid w:val="00A07096"/>
    <w:rsid w:val="00A0711F"/>
    <w:rsid w:val="00A0716C"/>
    <w:rsid w:val="00A07273"/>
    <w:rsid w:val="00A07449"/>
    <w:rsid w:val="00A075B8"/>
    <w:rsid w:val="00A0776B"/>
    <w:rsid w:val="00A07D30"/>
    <w:rsid w:val="00A07E02"/>
    <w:rsid w:val="00A07EF4"/>
    <w:rsid w:val="00A10015"/>
    <w:rsid w:val="00A10103"/>
    <w:rsid w:val="00A1023A"/>
    <w:rsid w:val="00A1030D"/>
    <w:rsid w:val="00A10760"/>
    <w:rsid w:val="00A1078D"/>
    <w:rsid w:val="00A10801"/>
    <w:rsid w:val="00A1087A"/>
    <w:rsid w:val="00A108BC"/>
    <w:rsid w:val="00A108CA"/>
    <w:rsid w:val="00A1094C"/>
    <w:rsid w:val="00A10B8C"/>
    <w:rsid w:val="00A10CB4"/>
    <w:rsid w:val="00A10DC4"/>
    <w:rsid w:val="00A10F6F"/>
    <w:rsid w:val="00A11115"/>
    <w:rsid w:val="00A11139"/>
    <w:rsid w:val="00A1162C"/>
    <w:rsid w:val="00A11643"/>
    <w:rsid w:val="00A11853"/>
    <w:rsid w:val="00A11DA1"/>
    <w:rsid w:val="00A12060"/>
    <w:rsid w:val="00A12195"/>
    <w:rsid w:val="00A1225C"/>
    <w:rsid w:val="00A122FB"/>
    <w:rsid w:val="00A12666"/>
    <w:rsid w:val="00A126A2"/>
    <w:rsid w:val="00A128AB"/>
    <w:rsid w:val="00A12F5D"/>
    <w:rsid w:val="00A12FC4"/>
    <w:rsid w:val="00A132BA"/>
    <w:rsid w:val="00A134BB"/>
    <w:rsid w:val="00A1351B"/>
    <w:rsid w:val="00A13729"/>
    <w:rsid w:val="00A13829"/>
    <w:rsid w:val="00A13A8D"/>
    <w:rsid w:val="00A13F74"/>
    <w:rsid w:val="00A13F9D"/>
    <w:rsid w:val="00A14013"/>
    <w:rsid w:val="00A144E9"/>
    <w:rsid w:val="00A14958"/>
    <w:rsid w:val="00A149BD"/>
    <w:rsid w:val="00A149DE"/>
    <w:rsid w:val="00A14DD7"/>
    <w:rsid w:val="00A14F56"/>
    <w:rsid w:val="00A1521F"/>
    <w:rsid w:val="00A15612"/>
    <w:rsid w:val="00A1572B"/>
    <w:rsid w:val="00A15894"/>
    <w:rsid w:val="00A159C2"/>
    <w:rsid w:val="00A15A76"/>
    <w:rsid w:val="00A162CB"/>
    <w:rsid w:val="00A1635D"/>
    <w:rsid w:val="00A163F7"/>
    <w:rsid w:val="00A164D5"/>
    <w:rsid w:val="00A1654E"/>
    <w:rsid w:val="00A16710"/>
    <w:rsid w:val="00A1672D"/>
    <w:rsid w:val="00A16964"/>
    <w:rsid w:val="00A16A2B"/>
    <w:rsid w:val="00A1708E"/>
    <w:rsid w:val="00A17304"/>
    <w:rsid w:val="00A17411"/>
    <w:rsid w:val="00A17441"/>
    <w:rsid w:val="00A17AAA"/>
    <w:rsid w:val="00A17EBA"/>
    <w:rsid w:val="00A17F3E"/>
    <w:rsid w:val="00A202E9"/>
    <w:rsid w:val="00A202F0"/>
    <w:rsid w:val="00A2063C"/>
    <w:rsid w:val="00A20691"/>
    <w:rsid w:val="00A2076A"/>
    <w:rsid w:val="00A20855"/>
    <w:rsid w:val="00A208F9"/>
    <w:rsid w:val="00A20901"/>
    <w:rsid w:val="00A20A76"/>
    <w:rsid w:val="00A20B41"/>
    <w:rsid w:val="00A20C92"/>
    <w:rsid w:val="00A20CAA"/>
    <w:rsid w:val="00A20D2A"/>
    <w:rsid w:val="00A20E1D"/>
    <w:rsid w:val="00A21278"/>
    <w:rsid w:val="00A212FE"/>
    <w:rsid w:val="00A21604"/>
    <w:rsid w:val="00A2173C"/>
    <w:rsid w:val="00A2175B"/>
    <w:rsid w:val="00A21F7A"/>
    <w:rsid w:val="00A22016"/>
    <w:rsid w:val="00A22107"/>
    <w:rsid w:val="00A22E65"/>
    <w:rsid w:val="00A22E91"/>
    <w:rsid w:val="00A2313E"/>
    <w:rsid w:val="00A231AC"/>
    <w:rsid w:val="00A23809"/>
    <w:rsid w:val="00A2382C"/>
    <w:rsid w:val="00A23B51"/>
    <w:rsid w:val="00A23DAA"/>
    <w:rsid w:val="00A23E8F"/>
    <w:rsid w:val="00A24043"/>
    <w:rsid w:val="00A24068"/>
    <w:rsid w:val="00A245B2"/>
    <w:rsid w:val="00A24AEC"/>
    <w:rsid w:val="00A24B11"/>
    <w:rsid w:val="00A24B8B"/>
    <w:rsid w:val="00A24BDF"/>
    <w:rsid w:val="00A24C7E"/>
    <w:rsid w:val="00A24F87"/>
    <w:rsid w:val="00A250D5"/>
    <w:rsid w:val="00A25114"/>
    <w:rsid w:val="00A25125"/>
    <w:rsid w:val="00A25145"/>
    <w:rsid w:val="00A25251"/>
    <w:rsid w:val="00A252A7"/>
    <w:rsid w:val="00A25438"/>
    <w:rsid w:val="00A25690"/>
    <w:rsid w:val="00A256DA"/>
    <w:rsid w:val="00A25A2D"/>
    <w:rsid w:val="00A25B81"/>
    <w:rsid w:val="00A25EE0"/>
    <w:rsid w:val="00A26057"/>
    <w:rsid w:val="00A26130"/>
    <w:rsid w:val="00A26426"/>
    <w:rsid w:val="00A26722"/>
    <w:rsid w:val="00A268A3"/>
    <w:rsid w:val="00A269C4"/>
    <w:rsid w:val="00A26C0F"/>
    <w:rsid w:val="00A26C6B"/>
    <w:rsid w:val="00A2704C"/>
    <w:rsid w:val="00A27063"/>
    <w:rsid w:val="00A270BE"/>
    <w:rsid w:val="00A27212"/>
    <w:rsid w:val="00A27502"/>
    <w:rsid w:val="00A2773D"/>
    <w:rsid w:val="00A27782"/>
    <w:rsid w:val="00A27815"/>
    <w:rsid w:val="00A279DC"/>
    <w:rsid w:val="00A27C06"/>
    <w:rsid w:val="00A27C83"/>
    <w:rsid w:val="00A27CF5"/>
    <w:rsid w:val="00A27D94"/>
    <w:rsid w:val="00A27EE4"/>
    <w:rsid w:val="00A27F0B"/>
    <w:rsid w:val="00A27F96"/>
    <w:rsid w:val="00A3000D"/>
    <w:rsid w:val="00A301E6"/>
    <w:rsid w:val="00A3031F"/>
    <w:rsid w:val="00A30356"/>
    <w:rsid w:val="00A30777"/>
    <w:rsid w:val="00A30B77"/>
    <w:rsid w:val="00A30BFA"/>
    <w:rsid w:val="00A30C95"/>
    <w:rsid w:val="00A30D3B"/>
    <w:rsid w:val="00A30F08"/>
    <w:rsid w:val="00A30FD3"/>
    <w:rsid w:val="00A3121D"/>
    <w:rsid w:val="00A314F6"/>
    <w:rsid w:val="00A316C0"/>
    <w:rsid w:val="00A31824"/>
    <w:rsid w:val="00A3199B"/>
    <w:rsid w:val="00A31A5F"/>
    <w:rsid w:val="00A31D88"/>
    <w:rsid w:val="00A31FF4"/>
    <w:rsid w:val="00A32592"/>
    <w:rsid w:val="00A325BF"/>
    <w:rsid w:val="00A32F93"/>
    <w:rsid w:val="00A33121"/>
    <w:rsid w:val="00A3324F"/>
    <w:rsid w:val="00A332E8"/>
    <w:rsid w:val="00A33597"/>
    <w:rsid w:val="00A3379E"/>
    <w:rsid w:val="00A337A3"/>
    <w:rsid w:val="00A33910"/>
    <w:rsid w:val="00A33E6D"/>
    <w:rsid w:val="00A3400B"/>
    <w:rsid w:val="00A3426C"/>
    <w:rsid w:val="00A34280"/>
    <w:rsid w:val="00A343A0"/>
    <w:rsid w:val="00A346F4"/>
    <w:rsid w:val="00A34918"/>
    <w:rsid w:val="00A34B3B"/>
    <w:rsid w:val="00A34C5F"/>
    <w:rsid w:val="00A34C7C"/>
    <w:rsid w:val="00A34D11"/>
    <w:rsid w:val="00A34DD0"/>
    <w:rsid w:val="00A34DF1"/>
    <w:rsid w:val="00A34E50"/>
    <w:rsid w:val="00A355C3"/>
    <w:rsid w:val="00A3566B"/>
    <w:rsid w:val="00A357A3"/>
    <w:rsid w:val="00A3591A"/>
    <w:rsid w:val="00A359C8"/>
    <w:rsid w:val="00A35A54"/>
    <w:rsid w:val="00A35D97"/>
    <w:rsid w:val="00A35E10"/>
    <w:rsid w:val="00A35F73"/>
    <w:rsid w:val="00A36030"/>
    <w:rsid w:val="00A36572"/>
    <w:rsid w:val="00A366B6"/>
    <w:rsid w:val="00A36723"/>
    <w:rsid w:val="00A36744"/>
    <w:rsid w:val="00A36822"/>
    <w:rsid w:val="00A368C8"/>
    <w:rsid w:val="00A36A01"/>
    <w:rsid w:val="00A36A1B"/>
    <w:rsid w:val="00A36D70"/>
    <w:rsid w:val="00A371EE"/>
    <w:rsid w:val="00A372F0"/>
    <w:rsid w:val="00A37547"/>
    <w:rsid w:val="00A3754C"/>
    <w:rsid w:val="00A37945"/>
    <w:rsid w:val="00A37AA5"/>
    <w:rsid w:val="00A37BDA"/>
    <w:rsid w:val="00A37C55"/>
    <w:rsid w:val="00A37DBB"/>
    <w:rsid w:val="00A37F87"/>
    <w:rsid w:val="00A4007F"/>
    <w:rsid w:val="00A40408"/>
    <w:rsid w:val="00A404B6"/>
    <w:rsid w:val="00A40730"/>
    <w:rsid w:val="00A407FC"/>
    <w:rsid w:val="00A4081E"/>
    <w:rsid w:val="00A40956"/>
    <w:rsid w:val="00A40A0D"/>
    <w:rsid w:val="00A40BCD"/>
    <w:rsid w:val="00A40CA9"/>
    <w:rsid w:val="00A40E8B"/>
    <w:rsid w:val="00A41424"/>
    <w:rsid w:val="00A414BC"/>
    <w:rsid w:val="00A41582"/>
    <w:rsid w:val="00A4188B"/>
    <w:rsid w:val="00A4193B"/>
    <w:rsid w:val="00A41B28"/>
    <w:rsid w:val="00A41E16"/>
    <w:rsid w:val="00A41F33"/>
    <w:rsid w:val="00A42039"/>
    <w:rsid w:val="00A4219F"/>
    <w:rsid w:val="00A423E7"/>
    <w:rsid w:val="00A42953"/>
    <w:rsid w:val="00A42AC1"/>
    <w:rsid w:val="00A42D0B"/>
    <w:rsid w:val="00A42E3C"/>
    <w:rsid w:val="00A431A3"/>
    <w:rsid w:val="00A43238"/>
    <w:rsid w:val="00A43327"/>
    <w:rsid w:val="00A43621"/>
    <w:rsid w:val="00A436C0"/>
    <w:rsid w:val="00A4382F"/>
    <w:rsid w:val="00A4383F"/>
    <w:rsid w:val="00A43BB4"/>
    <w:rsid w:val="00A43BC1"/>
    <w:rsid w:val="00A43C2B"/>
    <w:rsid w:val="00A43CE0"/>
    <w:rsid w:val="00A43E71"/>
    <w:rsid w:val="00A43F96"/>
    <w:rsid w:val="00A43F99"/>
    <w:rsid w:val="00A441A0"/>
    <w:rsid w:val="00A441BC"/>
    <w:rsid w:val="00A442CA"/>
    <w:rsid w:val="00A44729"/>
    <w:rsid w:val="00A447D1"/>
    <w:rsid w:val="00A447FD"/>
    <w:rsid w:val="00A4493C"/>
    <w:rsid w:val="00A44D3F"/>
    <w:rsid w:val="00A45056"/>
    <w:rsid w:val="00A451B3"/>
    <w:rsid w:val="00A452BF"/>
    <w:rsid w:val="00A454C1"/>
    <w:rsid w:val="00A45C90"/>
    <w:rsid w:val="00A45CC5"/>
    <w:rsid w:val="00A45DF9"/>
    <w:rsid w:val="00A45EE1"/>
    <w:rsid w:val="00A45F70"/>
    <w:rsid w:val="00A45F88"/>
    <w:rsid w:val="00A460F3"/>
    <w:rsid w:val="00A46527"/>
    <w:rsid w:val="00A4675E"/>
    <w:rsid w:val="00A4688C"/>
    <w:rsid w:val="00A46896"/>
    <w:rsid w:val="00A46C7D"/>
    <w:rsid w:val="00A46D6A"/>
    <w:rsid w:val="00A46DEA"/>
    <w:rsid w:val="00A46E94"/>
    <w:rsid w:val="00A46F64"/>
    <w:rsid w:val="00A470A5"/>
    <w:rsid w:val="00A47134"/>
    <w:rsid w:val="00A47167"/>
    <w:rsid w:val="00A4761A"/>
    <w:rsid w:val="00A4761B"/>
    <w:rsid w:val="00A47852"/>
    <w:rsid w:val="00A47997"/>
    <w:rsid w:val="00A47D16"/>
    <w:rsid w:val="00A47DB3"/>
    <w:rsid w:val="00A50131"/>
    <w:rsid w:val="00A502BC"/>
    <w:rsid w:val="00A502DD"/>
    <w:rsid w:val="00A50539"/>
    <w:rsid w:val="00A5069C"/>
    <w:rsid w:val="00A506DB"/>
    <w:rsid w:val="00A50A6D"/>
    <w:rsid w:val="00A50BB1"/>
    <w:rsid w:val="00A50F7F"/>
    <w:rsid w:val="00A516F0"/>
    <w:rsid w:val="00A517E1"/>
    <w:rsid w:val="00A517F0"/>
    <w:rsid w:val="00A518D1"/>
    <w:rsid w:val="00A51B7E"/>
    <w:rsid w:val="00A51C29"/>
    <w:rsid w:val="00A51C5E"/>
    <w:rsid w:val="00A525CD"/>
    <w:rsid w:val="00A5294B"/>
    <w:rsid w:val="00A52F6F"/>
    <w:rsid w:val="00A53385"/>
    <w:rsid w:val="00A538B1"/>
    <w:rsid w:val="00A53C7F"/>
    <w:rsid w:val="00A53E1A"/>
    <w:rsid w:val="00A53FAD"/>
    <w:rsid w:val="00A54721"/>
    <w:rsid w:val="00A54A20"/>
    <w:rsid w:val="00A54A5B"/>
    <w:rsid w:val="00A54AD6"/>
    <w:rsid w:val="00A54B26"/>
    <w:rsid w:val="00A54C29"/>
    <w:rsid w:val="00A54D61"/>
    <w:rsid w:val="00A54E66"/>
    <w:rsid w:val="00A54F46"/>
    <w:rsid w:val="00A5506E"/>
    <w:rsid w:val="00A551E3"/>
    <w:rsid w:val="00A55217"/>
    <w:rsid w:val="00A554D3"/>
    <w:rsid w:val="00A55523"/>
    <w:rsid w:val="00A55921"/>
    <w:rsid w:val="00A55A49"/>
    <w:rsid w:val="00A55B84"/>
    <w:rsid w:val="00A55BE4"/>
    <w:rsid w:val="00A55E47"/>
    <w:rsid w:val="00A55FDC"/>
    <w:rsid w:val="00A560A6"/>
    <w:rsid w:val="00A561B4"/>
    <w:rsid w:val="00A5639C"/>
    <w:rsid w:val="00A564DF"/>
    <w:rsid w:val="00A564F9"/>
    <w:rsid w:val="00A5669C"/>
    <w:rsid w:val="00A56A8F"/>
    <w:rsid w:val="00A56ABD"/>
    <w:rsid w:val="00A56CF8"/>
    <w:rsid w:val="00A57600"/>
    <w:rsid w:val="00A57B57"/>
    <w:rsid w:val="00A57BA4"/>
    <w:rsid w:val="00A57CAE"/>
    <w:rsid w:val="00A57CFB"/>
    <w:rsid w:val="00A57D25"/>
    <w:rsid w:val="00A57D2E"/>
    <w:rsid w:val="00A600DF"/>
    <w:rsid w:val="00A60225"/>
    <w:rsid w:val="00A6053A"/>
    <w:rsid w:val="00A608C3"/>
    <w:rsid w:val="00A60A01"/>
    <w:rsid w:val="00A60A97"/>
    <w:rsid w:val="00A60C60"/>
    <w:rsid w:val="00A60CD0"/>
    <w:rsid w:val="00A60DDA"/>
    <w:rsid w:val="00A60E9E"/>
    <w:rsid w:val="00A60EF6"/>
    <w:rsid w:val="00A60FCF"/>
    <w:rsid w:val="00A6177D"/>
    <w:rsid w:val="00A61976"/>
    <w:rsid w:val="00A61A27"/>
    <w:rsid w:val="00A61E9A"/>
    <w:rsid w:val="00A61EE9"/>
    <w:rsid w:val="00A620F2"/>
    <w:rsid w:val="00A62271"/>
    <w:rsid w:val="00A622B0"/>
    <w:rsid w:val="00A622BE"/>
    <w:rsid w:val="00A6266D"/>
    <w:rsid w:val="00A629A1"/>
    <w:rsid w:val="00A62BAF"/>
    <w:rsid w:val="00A62E13"/>
    <w:rsid w:val="00A62E47"/>
    <w:rsid w:val="00A6302D"/>
    <w:rsid w:val="00A6311A"/>
    <w:rsid w:val="00A6323A"/>
    <w:rsid w:val="00A633DE"/>
    <w:rsid w:val="00A63439"/>
    <w:rsid w:val="00A6347D"/>
    <w:rsid w:val="00A6373D"/>
    <w:rsid w:val="00A63AD4"/>
    <w:rsid w:val="00A63DA1"/>
    <w:rsid w:val="00A63E51"/>
    <w:rsid w:val="00A63ED3"/>
    <w:rsid w:val="00A64031"/>
    <w:rsid w:val="00A64168"/>
    <w:rsid w:val="00A6443E"/>
    <w:rsid w:val="00A64622"/>
    <w:rsid w:val="00A64678"/>
    <w:rsid w:val="00A6496B"/>
    <w:rsid w:val="00A64B33"/>
    <w:rsid w:val="00A64D75"/>
    <w:rsid w:val="00A65652"/>
    <w:rsid w:val="00A65655"/>
    <w:rsid w:val="00A65C37"/>
    <w:rsid w:val="00A65CBE"/>
    <w:rsid w:val="00A65E05"/>
    <w:rsid w:val="00A666E4"/>
    <w:rsid w:val="00A66735"/>
    <w:rsid w:val="00A6678A"/>
    <w:rsid w:val="00A667A9"/>
    <w:rsid w:val="00A66A79"/>
    <w:rsid w:val="00A66B4C"/>
    <w:rsid w:val="00A66CAA"/>
    <w:rsid w:val="00A6711F"/>
    <w:rsid w:val="00A6719F"/>
    <w:rsid w:val="00A672AE"/>
    <w:rsid w:val="00A672E0"/>
    <w:rsid w:val="00A67317"/>
    <w:rsid w:val="00A6761D"/>
    <w:rsid w:val="00A67673"/>
    <w:rsid w:val="00A67715"/>
    <w:rsid w:val="00A67820"/>
    <w:rsid w:val="00A67878"/>
    <w:rsid w:val="00A678A6"/>
    <w:rsid w:val="00A67A25"/>
    <w:rsid w:val="00A67A4F"/>
    <w:rsid w:val="00A67AE3"/>
    <w:rsid w:val="00A7019F"/>
    <w:rsid w:val="00A70311"/>
    <w:rsid w:val="00A7038A"/>
    <w:rsid w:val="00A706F2"/>
    <w:rsid w:val="00A70CAC"/>
    <w:rsid w:val="00A70CB6"/>
    <w:rsid w:val="00A70FC0"/>
    <w:rsid w:val="00A711BD"/>
    <w:rsid w:val="00A71411"/>
    <w:rsid w:val="00A714AC"/>
    <w:rsid w:val="00A717E1"/>
    <w:rsid w:val="00A71BDA"/>
    <w:rsid w:val="00A71CAF"/>
    <w:rsid w:val="00A720F8"/>
    <w:rsid w:val="00A72141"/>
    <w:rsid w:val="00A721BA"/>
    <w:rsid w:val="00A7229E"/>
    <w:rsid w:val="00A72410"/>
    <w:rsid w:val="00A72676"/>
    <w:rsid w:val="00A7284A"/>
    <w:rsid w:val="00A7294C"/>
    <w:rsid w:val="00A72C2E"/>
    <w:rsid w:val="00A72D15"/>
    <w:rsid w:val="00A72D77"/>
    <w:rsid w:val="00A72E42"/>
    <w:rsid w:val="00A72E9C"/>
    <w:rsid w:val="00A72F29"/>
    <w:rsid w:val="00A7307A"/>
    <w:rsid w:val="00A73240"/>
    <w:rsid w:val="00A732E4"/>
    <w:rsid w:val="00A734AA"/>
    <w:rsid w:val="00A734CC"/>
    <w:rsid w:val="00A73576"/>
    <w:rsid w:val="00A735D1"/>
    <w:rsid w:val="00A73672"/>
    <w:rsid w:val="00A7368B"/>
    <w:rsid w:val="00A73A9C"/>
    <w:rsid w:val="00A73B71"/>
    <w:rsid w:val="00A73D31"/>
    <w:rsid w:val="00A73DD7"/>
    <w:rsid w:val="00A73E36"/>
    <w:rsid w:val="00A73F5D"/>
    <w:rsid w:val="00A73FEA"/>
    <w:rsid w:val="00A74328"/>
    <w:rsid w:val="00A7469E"/>
    <w:rsid w:val="00A7478C"/>
    <w:rsid w:val="00A74811"/>
    <w:rsid w:val="00A749AC"/>
    <w:rsid w:val="00A749E3"/>
    <w:rsid w:val="00A74DB9"/>
    <w:rsid w:val="00A74DDA"/>
    <w:rsid w:val="00A74EE1"/>
    <w:rsid w:val="00A7501E"/>
    <w:rsid w:val="00A75246"/>
    <w:rsid w:val="00A75607"/>
    <w:rsid w:val="00A758F6"/>
    <w:rsid w:val="00A759F7"/>
    <w:rsid w:val="00A75E81"/>
    <w:rsid w:val="00A7628D"/>
    <w:rsid w:val="00A766A3"/>
    <w:rsid w:val="00A76CDE"/>
    <w:rsid w:val="00A76D31"/>
    <w:rsid w:val="00A76F4A"/>
    <w:rsid w:val="00A771E0"/>
    <w:rsid w:val="00A7732D"/>
    <w:rsid w:val="00A774CA"/>
    <w:rsid w:val="00A7752C"/>
    <w:rsid w:val="00A7755F"/>
    <w:rsid w:val="00A77C18"/>
    <w:rsid w:val="00A77CE5"/>
    <w:rsid w:val="00A8007E"/>
    <w:rsid w:val="00A801B2"/>
    <w:rsid w:val="00A803FB"/>
    <w:rsid w:val="00A8060C"/>
    <w:rsid w:val="00A80687"/>
    <w:rsid w:val="00A80C37"/>
    <w:rsid w:val="00A80D3D"/>
    <w:rsid w:val="00A80D5C"/>
    <w:rsid w:val="00A80FC9"/>
    <w:rsid w:val="00A811AD"/>
    <w:rsid w:val="00A81218"/>
    <w:rsid w:val="00A812C3"/>
    <w:rsid w:val="00A81306"/>
    <w:rsid w:val="00A818CB"/>
    <w:rsid w:val="00A81A72"/>
    <w:rsid w:val="00A81C97"/>
    <w:rsid w:val="00A81CED"/>
    <w:rsid w:val="00A81D18"/>
    <w:rsid w:val="00A81E6C"/>
    <w:rsid w:val="00A82033"/>
    <w:rsid w:val="00A82169"/>
    <w:rsid w:val="00A822A5"/>
    <w:rsid w:val="00A82441"/>
    <w:rsid w:val="00A8248D"/>
    <w:rsid w:val="00A82491"/>
    <w:rsid w:val="00A82948"/>
    <w:rsid w:val="00A82A25"/>
    <w:rsid w:val="00A82AC9"/>
    <w:rsid w:val="00A82C03"/>
    <w:rsid w:val="00A82DFA"/>
    <w:rsid w:val="00A83AF4"/>
    <w:rsid w:val="00A83C50"/>
    <w:rsid w:val="00A841D4"/>
    <w:rsid w:val="00A84260"/>
    <w:rsid w:val="00A84524"/>
    <w:rsid w:val="00A84AE5"/>
    <w:rsid w:val="00A84D82"/>
    <w:rsid w:val="00A84DC9"/>
    <w:rsid w:val="00A84FBA"/>
    <w:rsid w:val="00A85271"/>
    <w:rsid w:val="00A8530D"/>
    <w:rsid w:val="00A85468"/>
    <w:rsid w:val="00A85502"/>
    <w:rsid w:val="00A8568D"/>
    <w:rsid w:val="00A85B55"/>
    <w:rsid w:val="00A85D81"/>
    <w:rsid w:val="00A85EBB"/>
    <w:rsid w:val="00A85EFC"/>
    <w:rsid w:val="00A86166"/>
    <w:rsid w:val="00A86179"/>
    <w:rsid w:val="00A861DF"/>
    <w:rsid w:val="00A866E9"/>
    <w:rsid w:val="00A86779"/>
    <w:rsid w:val="00A8682B"/>
    <w:rsid w:val="00A869A2"/>
    <w:rsid w:val="00A86E93"/>
    <w:rsid w:val="00A86F99"/>
    <w:rsid w:val="00A87152"/>
    <w:rsid w:val="00A8791A"/>
    <w:rsid w:val="00A87926"/>
    <w:rsid w:val="00A90005"/>
    <w:rsid w:val="00A906D5"/>
    <w:rsid w:val="00A90B54"/>
    <w:rsid w:val="00A90C3B"/>
    <w:rsid w:val="00A91127"/>
    <w:rsid w:val="00A9125B"/>
    <w:rsid w:val="00A9132A"/>
    <w:rsid w:val="00A91451"/>
    <w:rsid w:val="00A9169F"/>
    <w:rsid w:val="00A9180E"/>
    <w:rsid w:val="00A91889"/>
    <w:rsid w:val="00A9192F"/>
    <w:rsid w:val="00A91AD6"/>
    <w:rsid w:val="00A91B4D"/>
    <w:rsid w:val="00A91B6C"/>
    <w:rsid w:val="00A91B73"/>
    <w:rsid w:val="00A91CF9"/>
    <w:rsid w:val="00A91F69"/>
    <w:rsid w:val="00A929FF"/>
    <w:rsid w:val="00A92C3B"/>
    <w:rsid w:val="00A92EB7"/>
    <w:rsid w:val="00A935E4"/>
    <w:rsid w:val="00A937D6"/>
    <w:rsid w:val="00A93858"/>
    <w:rsid w:val="00A93BDF"/>
    <w:rsid w:val="00A93CAF"/>
    <w:rsid w:val="00A93D56"/>
    <w:rsid w:val="00A93D73"/>
    <w:rsid w:val="00A93DD6"/>
    <w:rsid w:val="00A93E87"/>
    <w:rsid w:val="00A93E90"/>
    <w:rsid w:val="00A94975"/>
    <w:rsid w:val="00A94DC7"/>
    <w:rsid w:val="00A9541D"/>
    <w:rsid w:val="00A95657"/>
    <w:rsid w:val="00A95B75"/>
    <w:rsid w:val="00A960A5"/>
    <w:rsid w:val="00A960FB"/>
    <w:rsid w:val="00A964E8"/>
    <w:rsid w:val="00A9672C"/>
    <w:rsid w:val="00A96836"/>
    <w:rsid w:val="00A96A6E"/>
    <w:rsid w:val="00A96EE9"/>
    <w:rsid w:val="00A96F86"/>
    <w:rsid w:val="00A96FC7"/>
    <w:rsid w:val="00A9716C"/>
    <w:rsid w:val="00A97434"/>
    <w:rsid w:val="00A975A6"/>
    <w:rsid w:val="00A97E1A"/>
    <w:rsid w:val="00AA000D"/>
    <w:rsid w:val="00AA0AF7"/>
    <w:rsid w:val="00AA0B54"/>
    <w:rsid w:val="00AA0BB7"/>
    <w:rsid w:val="00AA0E9B"/>
    <w:rsid w:val="00AA108E"/>
    <w:rsid w:val="00AA1249"/>
    <w:rsid w:val="00AA1284"/>
    <w:rsid w:val="00AA1286"/>
    <w:rsid w:val="00AA12AF"/>
    <w:rsid w:val="00AA1341"/>
    <w:rsid w:val="00AA14B1"/>
    <w:rsid w:val="00AA14FF"/>
    <w:rsid w:val="00AA193C"/>
    <w:rsid w:val="00AA1A00"/>
    <w:rsid w:val="00AA1B05"/>
    <w:rsid w:val="00AA1B7E"/>
    <w:rsid w:val="00AA20F1"/>
    <w:rsid w:val="00AA2457"/>
    <w:rsid w:val="00AA2500"/>
    <w:rsid w:val="00AA25B6"/>
    <w:rsid w:val="00AA272B"/>
    <w:rsid w:val="00AA29C2"/>
    <w:rsid w:val="00AA2D95"/>
    <w:rsid w:val="00AA319D"/>
    <w:rsid w:val="00AA31D0"/>
    <w:rsid w:val="00AA38D3"/>
    <w:rsid w:val="00AA38D6"/>
    <w:rsid w:val="00AA3A64"/>
    <w:rsid w:val="00AA3C20"/>
    <w:rsid w:val="00AA3DD2"/>
    <w:rsid w:val="00AA3FBA"/>
    <w:rsid w:val="00AA3FDD"/>
    <w:rsid w:val="00AA4397"/>
    <w:rsid w:val="00AA441E"/>
    <w:rsid w:val="00AA46A6"/>
    <w:rsid w:val="00AA512E"/>
    <w:rsid w:val="00AA5139"/>
    <w:rsid w:val="00AA51CC"/>
    <w:rsid w:val="00AA55CA"/>
    <w:rsid w:val="00AA5609"/>
    <w:rsid w:val="00AA5655"/>
    <w:rsid w:val="00AA5DF1"/>
    <w:rsid w:val="00AA5F66"/>
    <w:rsid w:val="00AA6241"/>
    <w:rsid w:val="00AA6396"/>
    <w:rsid w:val="00AA64D2"/>
    <w:rsid w:val="00AA65DF"/>
    <w:rsid w:val="00AA6B34"/>
    <w:rsid w:val="00AA6C70"/>
    <w:rsid w:val="00AA6E91"/>
    <w:rsid w:val="00AA70E6"/>
    <w:rsid w:val="00AA76D7"/>
    <w:rsid w:val="00AA77F8"/>
    <w:rsid w:val="00AA7954"/>
    <w:rsid w:val="00AA7BCD"/>
    <w:rsid w:val="00AA7DF2"/>
    <w:rsid w:val="00AA7FAD"/>
    <w:rsid w:val="00AB017A"/>
    <w:rsid w:val="00AB0352"/>
    <w:rsid w:val="00AB0601"/>
    <w:rsid w:val="00AB07EB"/>
    <w:rsid w:val="00AB0A54"/>
    <w:rsid w:val="00AB0B9F"/>
    <w:rsid w:val="00AB0BA6"/>
    <w:rsid w:val="00AB0CA8"/>
    <w:rsid w:val="00AB133B"/>
    <w:rsid w:val="00AB139E"/>
    <w:rsid w:val="00AB1ADF"/>
    <w:rsid w:val="00AB1C73"/>
    <w:rsid w:val="00AB1CBB"/>
    <w:rsid w:val="00AB1E50"/>
    <w:rsid w:val="00AB2060"/>
    <w:rsid w:val="00AB281A"/>
    <w:rsid w:val="00AB2AA9"/>
    <w:rsid w:val="00AB2D67"/>
    <w:rsid w:val="00AB2F77"/>
    <w:rsid w:val="00AB3213"/>
    <w:rsid w:val="00AB3284"/>
    <w:rsid w:val="00AB3288"/>
    <w:rsid w:val="00AB335D"/>
    <w:rsid w:val="00AB3362"/>
    <w:rsid w:val="00AB33C1"/>
    <w:rsid w:val="00AB3520"/>
    <w:rsid w:val="00AB3550"/>
    <w:rsid w:val="00AB3585"/>
    <w:rsid w:val="00AB3672"/>
    <w:rsid w:val="00AB3711"/>
    <w:rsid w:val="00AB385F"/>
    <w:rsid w:val="00AB3899"/>
    <w:rsid w:val="00AB3B89"/>
    <w:rsid w:val="00AB3C05"/>
    <w:rsid w:val="00AB3F08"/>
    <w:rsid w:val="00AB40BC"/>
    <w:rsid w:val="00AB4201"/>
    <w:rsid w:val="00AB4237"/>
    <w:rsid w:val="00AB446E"/>
    <w:rsid w:val="00AB47C1"/>
    <w:rsid w:val="00AB4945"/>
    <w:rsid w:val="00AB4E52"/>
    <w:rsid w:val="00AB54D2"/>
    <w:rsid w:val="00AB57D9"/>
    <w:rsid w:val="00AB5980"/>
    <w:rsid w:val="00AB5ACF"/>
    <w:rsid w:val="00AB5DDD"/>
    <w:rsid w:val="00AB5F25"/>
    <w:rsid w:val="00AB6218"/>
    <w:rsid w:val="00AB63A0"/>
    <w:rsid w:val="00AB63D3"/>
    <w:rsid w:val="00AB6447"/>
    <w:rsid w:val="00AB6508"/>
    <w:rsid w:val="00AB6570"/>
    <w:rsid w:val="00AB6624"/>
    <w:rsid w:val="00AB69A0"/>
    <w:rsid w:val="00AB6A1B"/>
    <w:rsid w:val="00AB6B5F"/>
    <w:rsid w:val="00AB6CA2"/>
    <w:rsid w:val="00AB6D24"/>
    <w:rsid w:val="00AB6E99"/>
    <w:rsid w:val="00AB6FFC"/>
    <w:rsid w:val="00AB700A"/>
    <w:rsid w:val="00AB7167"/>
    <w:rsid w:val="00AB7269"/>
    <w:rsid w:val="00AB739B"/>
    <w:rsid w:val="00AB7881"/>
    <w:rsid w:val="00AB7953"/>
    <w:rsid w:val="00AB7AB9"/>
    <w:rsid w:val="00AB7D1B"/>
    <w:rsid w:val="00AB7EC6"/>
    <w:rsid w:val="00AB7F8A"/>
    <w:rsid w:val="00AC0022"/>
    <w:rsid w:val="00AC0076"/>
    <w:rsid w:val="00AC04FC"/>
    <w:rsid w:val="00AC0555"/>
    <w:rsid w:val="00AC06E4"/>
    <w:rsid w:val="00AC070B"/>
    <w:rsid w:val="00AC10C8"/>
    <w:rsid w:val="00AC1223"/>
    <w:rsid w:val="00AC1598"/>
    <w:rsid w:val="00AC1975"/>
    <w:rsid w:val="00AC1D44"/>
    <w:rsid w:val="00AC2574"/>
    <w:rsid w:val="00AC25AF"/>
    <w:rsid w:val="00AC2612"/>
    <w:rsid w:val="00AC2675"/>
    <w:rsid w:val="00AC26E8"/>
    <w:rsid w:val="00AC2784"/>
    <w:rsid w:val="00AC27FA"/>
    <w:rsid w:val="00AC2B9A"/>
    <w:rsid w:val="00AC2CF6"/>
    <w:rsid w:val="00AC2E27"/>
    <w:rsid w:val="00AC2F5E"/>
    <w:rsid w:val="00AC35F3"/>
    <w:rsid w:val="00AC3886"/>
    <w:rsid w:val="00AC38DE"/>
    <w:rsid w:val="00AC39C0"/>
    <w:rsid w:val="00AC3E02"/>
    <w:rsid w:val="00AC4126"/>
    <w:rsid w:val="00AC4190"/>
    <w:rsid w:val="00AC4210"/>
    <w:rsid w:val="00AC43CE"/>
    <w:rsid w:val="00AC477F"/>
    <w:rsid w:val="00AC48C7"/>
    <w:rsid w:val="00AC48F8"/>
    <w:rsid w:val="00AC4A96"/>
    <w:rsid w:val="00AC4B67"/>
    <w:rsid w:val="00AC4E62"/>
    <w:rsid w:val="00AC51CC"/>
    <w:rsid w:val="00AC523F"/>
    <w:rsid w:val="00AC52E9"/>
    <w:rsid w:val="00AC5338"/>
    <w:rsid w:val="00AC53F0"/>
    <w:rsid w:val="00AC556F"/>
    <w:rsid w:val="00AC5682"/>
    <w:rsid w:val="00AC5850"/>
    <w:rsid w:val="00AC595C"/>
    <w:rsid w:val="00AC5A32"/>
    <w:rsid w:val="00AC5ADA"/>
    <w:rsid w:val="00AC5F36"/>
    <w:rsid w:val="00AC62B5"/>
    <w:rsid w:val="00AC64F8"/>
    <w:rsid w:val="00AC662E"/>
    <w:rsid w:val="00AC6879"/>
    <w:rsid w:val="00AC69F7"/>
    <w:rsid w:val="00AC6C07"/>
    <w:rsid w:val="00AC6CE0"/>
    <w:rsid w:val="00AC6D24"/>
    <w:rsid w:val="00AC6D66"/>
    <w:rsid w:val="00AC6E0B"/>
    <w:rsid w:val="00AC6F4D"/>
    <w:rsid w:val="00AC71D8"/>
    <w:rsid w:val="00AC740C"/>
    <w:rsid w:val="00AC772A"/>
    <w:rsid w:val="00AC77B5"/>
    <w:rsid w:val="00AC7B73"/>
    <w:rsid w:val="00AD00A3"/>
    <w:rsid w:val="00AD00D5"/>
    <w:rsid w:val="00AD02D8"/>
    <w:rsid w:val="00AD0382"/>
    <w:rsid w:val="00AD045C"/>
    <w:rsid w:val="00AD04C7"/>
    <w:rsid w:val="00AD0502"/>
    <w:rsid w:val="00AD09CF"/>
    <w:rsid w:val="00AD0A57"/>
    <w:rsid w:val="00AD101A"/>
    <w:rsid w:val="00AD1021"/>
    <w:rsid w:val="00AD105A"/>
    <w:rsid w:val="00AD10EF"/>
    <w:rsid w:val="00AD1286"/>
    <w:rsid w:val="00AD1508"/>
    <w:rsid w:val="00AD16C3"/>
    <w:rsid w:val="00AD1C77"/>
    <w:rsid w:val="00AD1CBB"/>
    <w:rsid w:val="00AD1E9D"/>
    <w:rsid w:val="00AD1EE1"/>
    <w:rsid w:val="00AD1F37"/>
    <w:rsid w:val="00AD20AF"/>
    <w:rsid w:val="00AD20CD"/>
    <w:rsid w:val="00AD2103"/>
    <w:rsid w:val="00AD22C8"/>
    <w:rsid w:val="00AD2694"/>
    <w:rsid w:val="00AD29CB"/>
    <w:rsid w:val="00AD29F6"/>
    <w:rsid w:val="00AD2A1A"/>
    <w:rsid w:val="00AD2B2E"/>
    <w:rsid w:val="00AD2D0A"/>
    <w:rsid w:val="00AD2D48"/>
    <w:rsid w:val="00AD2E14"/>
    <w:rsid w:val="00AD2E2F"/>
    <w:rsid w:val="00AD2F5B"/>
    <w:rsid w:val="00AD3463"/>
    <w:rsid w:val="00AD350E"/>
    <w:rsid w:val="00AD3521"/>
    <w:rsid w:val="00AD3AA2"/>
    <w:rsid w:val="00AD3BC1"/>
    <w:rsid w:val="00AD3FA7"/>
    <w:rsid w:val="00AD4C3C"/>
    <w:rsid w:val="00AD4E3C"/>
    <w:rsid w:val="00AD5068"/>
    <w:rsid w:val="00AD529F"/>
    <w:rsid w:val="00AD55BE"/>
    <w:rsid w:val="00AD5611"/>
    <w:rsid w:val="00AD5699"/>
    <w:rsid w:val="00AD58A1"/>
    <w:rsid w:val="00AD59CA"/>
    <w:rsid w:val="00AD6604"/>
    <w:rsid w:val="00AD66FC"/>
    <w:rsid w:val="00AD6705"/>
    <w:rsid w:val="00AD6997"/>
    <w:rsid w:val="00AD6C00"/>
    <w:rsid w:val="00AD6C84"/>
    <w:rsid w:val="00AD6E9B"/>
    <w:rsid w:val="00AD709D"/>
    <w:rsid w:val="00AD74E3"/>
    <w:rsid w:val="00AD7928"/>
    <w:rsid w:val="00AD7AF5"/>
    <w:rsid w:val="00AE0028"/>
    <w:rsid w:val="00AE013F"/>
    <w:rsid w:val="00AE0315"/>
    <w:rsid w:val="00AE03FA"/>
    <w:rsid w:val="00AE04DC"/>
    <w:rsid w:val="00AE05B7"/>
    <w:rsid w:val="00AE05E3"/>
    <w:rsid w:val="00AE06A7"/>
    <w:rsid w:val="00AE0758"/>
    <w:rsid w:val="00AE085A"/>
    <w:rsid w:val="00AE09D1"/>
    <w:rsid w:val="00AE0A97"/>
    <w:rsid w:val="00AE0B4B"/>
    <w:rsid w:val="00AE0C67"/>
    <w:rsid w:val="00AE0C8F"/>
    <w:rsid w:val="00AE0D02"/>
    <w:rsid w:val="00AE0F5C"/>
    <w:rsid w:val="00AE0F77"/>
    <w:rsid w:val="00AE10C6"/>
    <w:rsid w:val="00AE10C7"/>
    <w:rsid w:val="00AE110F"/>
    <w:rsid w:val="00AE118F"/>
    <w:rsid w:val="00AE12B9"/>
    <w:rsid w:val="00AE1475"/>
    <w:rsid w:val="00AE1975"/>
    <w:rsid w:val="00AE197B"/>
    <w:rsid w:val="00AE1D7D"/>
    <w:rsid w:val="00AE1E02"/>
    <w:rsid w:val="00AE1F76"/>
    <w:rsid w:val="00AE1FC6"/>
    <w:rsid w:val="00AE20A5"/>
    <w:rsid w:val="00AE247F"/>
    <w:rsid w:val="00AE2497"/>
    <w:rsid w:val="00AE2601"/>
    <w:rsid w:val="00AE263C"/>
    <w:rsid w:val="00AE2882"/>
    <w:rsid w:val="00AE2959"/>
    <w:rsid w:val="00AE2A8A"/>
    <w:rsid w:val="00AE2B93"/>
    <w:rsid w:val="00AE2C4D"/>
    <w:rsid w:val="00AE2E46"/>
    <w:rsid w:val="00AE3121"/>
    <w:rsid w:val="00AE32B3"/>
    <w:rsid w:val="00AE3394"/>
    <w:rsid w:val="00AE3CAF"/>
    <w:rsid w:val="00AE3DF9"/>
    <w:rsid w:val="00AE3E3E"/>
    <w:rsid w:val="00AE4258"/>
    <w:rsid w:val="00AE4332"/>
    <w:rsid w:val="00AE4563"/>
    <w:rsid w:val="00AE46A4"/>
    <w:rsid w:val="00AE492C"/>
    <w:rsid w:val="00AE4AAB"/>
    <w:rsid w:val="00AE51B7"/>
    <w:rsid w:val="00AE51FF"/>
    <w:rsid w:val="00AE53B9"/>
    <w:rsid w:val="00AE5819"/>
    <w:rsid w:val="00AE5861"/>
    <w:rsid w:val="00AE5D32"/>
    <w:rsid w:val="00AE5FA0"/>
    <w:rsid w:val="00AE62F8"/>
    <w:rsid w:val="00AE636E"/>
    <w:rsid w:val="00AE68EB"/>
    <w:rsid w:val="00AE693B"/>
    <w:rsid w:val="00AE6A35"/>
    <w:rsid w:val="00AE6DE5"/>
    <w:rsid w:val="00AE6E13"/>
    <w:rsid w:val="00AE6EBD"/>
    <w:rsid w:val="00AE6ED9"/>
    <w:rsid w:val="00AE6F12"/>
    <w:rsid w:val="00AE73DB"/>
    <w:rsid w:val="00AE7507"/>
    <w:rsid w:val="00AE79C8"/>
    <w:rsid w:val="00AE79E2"/>
    <w:rsid w:val="00AE7A2F"/>
    <w:rsid w:val="00AE7B3B"/>
    <w:rsid w:val="00AE7B59"/>
    <w:rsid w:val="00AE7B83"/>
    <w:rsid w:val="00AE7CA2"/>
    <w:rsid w:val="00AE7FDE"/>
    <w:rsid w:val="00AF0152"/>
    <w:rsid w:val="00AF024C"/>
    <w:rsid w:val="00AF0343"/>
    <w:rsid w:val="00AF04B1"/>
    <w:rsid w:val="00AF0557"/>
    <w:rsid w:val="00AF07C2"/>
    <w:rsid w:val="00AF09DA"/>
    <w:rsid w:val="00AF0C9B"/>
    <w:rsid w:val="00AF0DF3"/>
    <w:rsid w:val="00AF1046"/>
    <w:rsid w:val="00AF1404"/>
    <w:rsid w:val="00AF1449"/>
    <w:rsid w:val="00AF15EC"/>
    <w:rsid w:val="00AF1E7D"/>
    <w:rsid w:val="00AF1E8F"/>
    <w:rsid w:val="00AF2326"/>
    <w:rsid w:val="00AF2375"/>
    <w:rsid w:val="00AF2705"/>
    <w:rsid w:val="00AF273E"/>
    <w:rsid w:val="00AF2753"/>
    <w:rsid w:val="00AF286B"/>
    <w:rsid w:val="00AF2AE2"/>
    <w:rsid w:val="00AF2DF6"/>
    <w:rsid w:val="00AF2EE3"/>
    <w:rsid w:val="00AF2F45"/>
    <w:rsid w:val="00AF2FA9"/>
    <w:rsid w:val="00AF31D4"/>
    <w:rsid w:val="00AF3224"/>
    <w:rsid w:val="00AF328A"/>
    <w:rsid w:val="00AF3314"/>
    <w:rsid w:val="00AF396F"/>
    <w:rsid w:val="00AF3ABD"/>
    <w:rsid w:val="00AF3B05"/>
    <w:rsid w:val="00AF3C84"/>
    <w:rsid w:val="00AF3D82"/>
    <w:rsid w:val="00AF3F8D"/>
    <w:rsid w:val="00AF4013"/>
    <w:rsid w:val="00AF4065"/>
    <w:rsid w:val="00AF4107"/>
    <w:rsid w:val="00AF433A"/>
    <w:rsid w:val="00AF4564"/>
    <w:rsid w:val="00AF4752"/>
    <w:rsid w:val="00AF48E5"/>
    <w:rsid w:val="00AF4B93"/>
    <w:rsid w:val="00AF4C14"/>
    <w:rsid w:val="00AF4C2A"/>
    <w:rsid w:val="00AF4CEA"/>
    <w:rsid w:val="00AF4EBB"/>
    <w:rsid w:val="00AF4FF8"/>
    <w:rsid w:val="00AF5092"/>
    <w:rsid w:val="00AF50B3"/>
    <w:rsid w:val="00AF5151"/>
    <w:rsid w:val="00AF5272"/>
    <w:rsid w:val="00AF54D9"/>
    <w:rsid w:val="00AF56C0"/>
    <w:rsid w:val="00AF56FF"/>
    <w:rsid w:val="00AF5AA6"/>
    <w:rsid w:val="00AF5D37"/>
    <w:rsid w:val="00AF5D47"/>
    <w:rsid w:val="00AF5E8F"/>
    <w:rsid w:val="00AF5EA6"/>
    <w:rsid w:val="00AF6073"/>
    <w:rsid w:val="00AF6096"/>
    <w:rsid w:val="00AF63AC"/>
    <w:rsid w:val="00AF65A5"/>
    <w:rsid w:val="00AF65AD"/>
    <w:rsid w:val="00AF6812"/>
    <w:rsid w:val="00AF6B2C"/>
    <w:rsid w:val="00AF6CD3"/>
    <w:rsid w:val="00AF6DB9"/>
    <w:rsid w:val="00AF72BD"/>
    <w:rsid w:val="00AF7355"/>
    <w:rsid w:val="00AF74C8"/>
    <w:rsid w:val="00AF78EC"/>
    <w:rsid w:val="00AF7C2D"/>
    <w:rsid w:val="00AF7C79"/>
    <w:rsid w:val="00AF7E10"/>
    <w:rsid w:val="00AF7EBE"/>
    <w:rsid w:val="00B0036B"/>
    <w:rsid w:val="00B00505"/>
    <w:rsid w:val="00B0059D"/>
    <w:rsid w:val="00B005A9"/>
    <w:rsid w:val="00B0079A"/>
    <w:rsid w:val="00B007DE"/>
    <w:rsid w:val="00B00A47"/>
    <w:rsid w:val="00B00B66"/>
    <w:rsid w:val="00B00F8C"/>
    <w:rsid w:val="00B0112A"/>
    <w:rsid w:val="00B01232"/>
    <w:rsid w:val="00B0154D"/>
    <w:rsid w:val="00B0157C"/>
    <w:rsid w:val="00B01714"/>
    <w:rsid w:val="00B01759"/>
    <w:rsid w:val="00B017E9"/>
    <w:rsid w:val="00B01ACE"/>
    <w:rsid w:val="00B01F1C"/>
    <w:rsid w:val="00B01F63"/>
    <w:rsid w:val="00B020AB"/>
    <w:rsid w:val="00B0221E"/>
    <w:rsid w:val="00B02317"/>
    <w:rsid w:val="00B026EF"/>
    <w:rsid w:val="00B0272C"/>
    <w:rsid w:val="00B027ED"/>
    <w:rsid w:val="00B0284D"/>
    <w:rsid w:val="00B02EAF"/>
    <w:rsid w:val="00B02EB3"/>
    <w:rsid w:val="00B03427"/>
    <w:rsid w:val="00B0396E"/>
    <w:rsid w:val="00B03E5E"/>
    <w:rsid w:val="00B04163"/>
    <w:rsid w:val="00B041C2"/>
    <w:rsid w:val="00B0445B"/>
    <w:rsid w:val="00B0479E"/>
    <w:rsid w:val="00B04857"/>
    <w:rsid w:val="00B049DF"/>
    <w:rsid w:val="00B04ACB"/>
    <w:rsid w:val="00B04B1B"/>
    <w:rsid w:val="00B04BAB"/>
    <w:rsid w:val="00B04CC0"/>
    <w:rsid w:val="00B04E35"/>
    <w:rsid w:val="00B04FFC"/>
    <w:rsid w:val="00B05271"/>
    <w:rsid w:val="00B053D6"/>
    <w:rsid w:val="00B0545C"/>
    <w:rsid w:val="00B0553F"/>
    <w:rsid w:val="00B05589"/>
    <w:rsid w:val="00B058B9"/>
    <w:rsid w:val="00B05A06"/>
    <w:rsid w:val="00B05C4A"/>
    <w:rsid w:val="00B05D9F"/>
    <w:rsid w:val="00B05E1D"/>
    <w:rsid w:val="00B05E9D"/>
    <w:rsid w:val="00B0605F"/>
    <w:rsid w:val="00B0608E"/>
    <w:rsid w:val="00B068E0"/>
    <w:rsid w:val="00B069C5"/>
    <w:rsid w:val="00B06FBB"/>
    <w:rsid w:val="00B07097"/>
    <w:rsid w:val="00B070DE"/>
    <w:rsid w:val="00B071B4"/>
    <w:rsid w:val="00B074A4"/>
    <w:rsid w:val="00B07946"/>
    <w:rsid w:val="00B07A19"/>
    <w:rsid w:val="00B07A80"/>
    <w:rsid w:val="00B07DBF"/>
    <w:rsid w:val="00B07F31"/>
    <w:rsid w:val="00B07F9A"/>
    <w:rsid w:val="00B07FBE"/>
    <w:rsid w:val="00B10035"/>
    <w:rsid w:val="00B10397"/>
    <w:rsid w:val="00B103D1"/>
    <w:rsid w:val="00B1048D"/>
    <w:rsid w:val="00B104BF"/>
    <w:rsid w:val="00B10595"/>
    <w:rsid w:val="00B105DF"/>
    <w:rsid w:val="00B10910"/>
    <w:rsid w:val="00B10951"/>
    <w:rsid w:val="00B10B43"/>
    <w:rsid w:val="00B10B50"/>
    <w:rsid w:val="00B10D68"/>
    <w:rsid w:val="00B115C0"/>
    <w:rsid w:val="00B116C1"/>
    <w:rsid w:val="00B11A63"/>
    <w:rsid w:val="00B11E97"/>
    <w:rsid w:val="00B124DB"/>
    <w:rsid w:val="00B12629"/>
    <w:rsid w:val="00B126F4"/>
    <w:rsid w:val="00B1280C"/>
    <w:rsid w:val="00B12813"/>
    <w:rsid w:val="00B12853"/>
    <w:rsid w:val="00B12882"/>
    <w:rsid w:val="00B12996"/>
    <w:rsid w:val="00B12B03"/>
    <w:rsid w:val="00B12B29"/>
    <w:rsid w:val="00B12CB9"/>
    <w:rsid w:val="00B12CE7"/>
    <w:rsid w:val="00B12D65"/>
    <w:rsid w:val="00B1316C"/>
    <w:rsid w:val="00B13431"/>
    <w:rsid w:val="00B13600"/>
    <w:rsid w:val="00B13909"/>
    <w:rsid w:val="00B1393B"/>
    <w:rsid w:val="00B13DB4"/>
    <w:rsid w:val="00B13F8E"/>
    <w:rsid w:val="00B14330"/>
    <w:rsid w:val="00B147B8"/>
    <w:rsid w:val="00B14C77"/>
    <w:rsid w:val="00B14C87"/>
    <w:rsid w:val="00B14E71"/>
    <w:rsid w:val="00B1534B"/>
    <w:rsid w:val="00B1536D"/>
    <w:rsid w:val="00B153D9"/>
    <w:rsid w:val="00B15539"/>
    <w:rsid w:val="00B15690"/>
    <w:rsid w:val="00B15BEE"/>
    <w:rsid w:val="00B1605A"/>
    <w:rsid w:val="00B1616A"/>
    <w:rsid w:val="00B1623F"/>
    <w:rsid w:val="00B162A4"/>
    <w:rsid w:val="00B16549"/>
    <w:rsid w:val="00B16788"/>
    <w:rsid w:val="00B16844"/>
    <w:rsid w:val="00B16E29"/>
    <w:rsid w:val="00B16E49"/>
    <w:rsid w:val="00B16FDD"/>
    <w:rsid w:val="00B17540"/>
    <w:rsid w:val="00B17700"/>
    <w:rsid w:val="00B177D5"/>
    <w:rsid w:val="00B17866"/>
    <w:rsid w:val="00B179E1"/>
    <w:rsid w:val="00B17BA7"/>
    <w:rsid w:val="00B17FB1"/>
    <w:rsid w:val="00B20037"/>
    <w:rsid w:val="00B201D2"/>
    <w:rsid w:val="00B2048E"/>
    <w:rsid w:val="00B2095C"/>
    <w:rsid w:val="00B209AE"/>
    <w:rsid w:val="00B209EC"/>
    <w:rsid w:val="00B20BF9"/>
    <w:rsid w:val="00B210AC"/>
    <w:rsid w:val="00B210B7"/>
    <w:rsid w:val="00B21151"/>
    <w:rsid w:val="00B21171"/>
    <w:rsid w:val="00B21225"/>
    <w:rsid w:val="00B2175D"/>
    <w:rsid w:val="00B21769"/>
    <w:rsid w:val="00B217FD"/>
    <w:rsid w:val="00B21AAE"/>
    <w:rsid w:val="00B21DA4"/>
    <w:rsid w:val="00B21EBC"/>
    <w:rsid w:val="00B21FF6"/>
    <w:rsid w:val="00B22100"/>
    <w:rsid w:val="00B22157"/>
    <w:rsid w:val="00B223AF"/>
    <w:rsid w:val="00B2260B"/>
    <w:rsid w:val="00B227A3"/>
    <w:rsid w:val="00B2292D"/>
    <w:rsid w:val="00B22C5B"/>
    <w:rsid w:val="00B22CB1"/>
    <w:rsid w:val="00B22D5E"/>
    <w:rsid w:val="00B22D74"/>
    <w:rsid w:val="00B22EFD"/>
    <w:rsid w:val="00B22F30"/>
    <w:rsid w:val="00B22F91"/>
    <w:rsid w:val="00B23333"/>
    <w:rsid w:val="00B233CB"/>
    <w:rsid w:val="00B234CE"/>
    <w:rsid w:val="00B235FA"/>
    <w:rsid w:val="00B2374B"/>
    <w:rsid w:val="00B23966"/>
    <w:rsid w:val="00B23C69"/>
    <w:rsid w:val="00B23CBD"/>
    <w:rsid w:val="00B24073"/>
    <w:rsid w:val="00B240D4"/>
    <w:rsid w:val="00B24261"/>
    <w:rsid w:val="00B244FA"/>
    <w:rsid w:val="00B24705"/>
    <w:rsid w:val="00B2477E"/>
    <w:rsid w:val="00B24A0A"/>
    <w:rsid w:val="00B24CC6"/>
    <w:rsid w:val="00B25092"/>
    <w:rsid w:val="00B252A6"/>
    <w:rsid w:val="00B258DC"/>
    <w:rsid w:val="00B2592B"/>
    <w:rsid w:val="00B25935"/>
    <w:rsid w:val="00B25997"/>
    <w:rsid w:val="00B25CF4"/>
    <w:rsid w:val="00B25D51"/>
    <w:rsid w:val="00B261E1"/>
    <w:rsid w:val="00B26305"/>
    <w:rsid w:val="00B26384"/>
    <w:rsid w:val="00B2674A"/>
    <w:rsid w:val="00B2684E"/>
    <w:rsid w:val="00B268AE"/>
    <w:rsid w:val="00B26A08"/>
    <w:rsid w:val="00B26A68"/>
    <w:rsid w:val="00B26D57"/>
    <w:rsid w:val="00B26EFF"/>
    <w:rsid w:val="00B26F2D"/>
    <w:rsid w:val="00B26FA4"/>
    <w:rsid w:val="00B27186"/>
    <w:rsid w:val="00B273D9"/>
    <w:rsid w:val="00B27529"/>
    <w:rsid w:val="00B2755C"/>
    <w:rsid w:val="00B275DE"/>
    <w:rsid w:val="00B276A2"/>
    <w:rsid w:val="00B27C00"/>
    <w:rsid w:val="00B3001E"/>
    <w:rsid w:val="00B301D2"/>
    <w:rsid w:val="00B302FE"/>
    <w:rsid w:val="00B303A0"/>
    <w:rsid w:val="00B304F0"/>
    <w:rsid w:val="00B30ADA"/>
    <w:rsid w:val="00B31763"/>
    <w:rsid w:val="00B31958"/>
    <w:rsid w:val="00B31B63"/>
    <w:rsid w:val="00B31E8E"/>
    <w:rsid w:val="00B320B7"/>
    <w:rsid w:val="00B32176"/>
    <w:rsid w:val="00B32585"/>
    <w:rsid w:val="00B32D22"/>
    <w:rsid w:val="00B32F50"/>
    <w:rsid w:val="00B33089"/>
    <w:rsid w:val="00B331DC"/>
    <w:rsid w:val="00B333E4"/>
    <w:rsid w:val="00B334E5"/>
    <w:rsid w:val="00B3364C"/>
    <w:rsid w:val="00B33955"/>
    <w:rsid w:val="00B33AAB"/>
    <w:rsid w:val="00B340E4"/>
    <w:rsid w:val="00B342CF"/>
    <w:rsid w:val="00B34330"/>
    <w:rsid w:val="00B343FE"/>
    <w:rsid w:val="00B344A1"/>
    <w:rsid w:val="00B344D8"/>
    <w:rsid w:val="00B344F6"/>
    <w:rsid w:val="00B34665"/>
    <w:rsid w:val="00B34674"/>
    <w:rsid w:val="00B34800"/>
    <w:rsid w:val="00B34833"/>
    <w:rsid w:val="00B34906"/>
    <w:rsid w:val="00B349CA"/>
    <w:rsid w:val="00B34B16"/>
    <w:rsid w:val="00B34B78"/>
    <w:rsid w:val="00B34F50"/>
    <w:rsid w:val="00B34F8A"/>
    <w:rsid w:val="00B35101"/>
    <w:rsid w:val="00B35228"/>
    <w:rsid w:val="00B356DC"/>
    <w:rsid w:val="00B358BE"/>
    <w:rsid w:val="00B359C2"/>
    <w:rsid w:val="00B359EF"/>
    <w:rsid w:val="00B35C7E"/>
    <w:rsid w:val="00B35DAB"/>
    <w:rsid w:val="00B3602B"/>
    <w:rsid w:val="00B3618C"/>
    <w:rsid w:val="00B364B2"/>
    <w:rsid w:val="00B366C6"/>
    <w:rsid w:val="00B367F1"/>
    <w:rsid w:val="00B36900"/>
    <w:rsid w:val="00B369C0"/>
    <w:rsid w:val="00B36A6F"/>
    <w:rsid w:val="00B36A75"/>
    <w:rsid w:val="00B36A88"/>
    <w:rsid w:val="00B36A99"/>
    <w:rsid w:val="00B36BD1"/>
    <w:rsid w:val="00B36D45"/>
    <w:rsid w:val="00B36E9E"/>
    <w:rsid w:val="00B36EA8"/>
    <w:rsid w:val="00B3727E"/>
    <w:rsid w:val="00B376DA"/>
    <w:rsid w:val="00B37892"/>
    <w:rsid w:val="00B3789C"/>
    <w:rsid w:val="00B37A15"/>
    <w:rsid w:val="00B37A7D"/>
    <w:rsid w:val="00B37AD2"/>
    <w:rsid w:val="00B37B4E"/>
    <w:rsid w:val="00B37B8B"/>
    <w:rsid w:val="00B37BA5"/>
    <w:rsid w:val="00B37CD0"/>
    <w:rsid w:val="00B37D3D"/>
    <w:rsid w:val="00B4004B"/>
    <w:rsid w:val="00B400E2"/>
    <w:rsid w:val="00B40B18"/>
    <w:rsid w:val="00B40CC1"/>
    <w:rsid w:val="00B40EEA"/>
    <w:rsid w:val="00B40F70"/>
    <w:rsid w:val="00B4114A"/>
    <w:rsid w:val="00B41172"/>
    <w:rsid w:val="00B41255"/>
    <w:rsid w:val="00B42104"/>
    <w:rsid w:val="00B4219A"/>
    <w:rsid w:val="00B421AC"/>
    <w:rsid w:val="00B421C0"/>
    <w:rsid w:val="00B4241C"/>
    <w:rsid w:val="00B424A1"/>
    <w:rsid w:val="00B4271E"/>
    <w:rsid w:val="00B42911"/>
    <w:rsid w:val="00B4293F"/>
    <w:rsid w:val="00B42AA5"/>
    <w:rsid w:val="00B42C3D"/>
    <w:rsid w:val="00B42E6D"/>
    <w:rsid w:val="00B42F64"/>
    <w:rsid w:val="00B43067"/>
    <w:rsid w:val="00B4324D"/>
    <w:rsid w:val="00B4338F"/>
    <w:rsid w:val="00B43580"/>
    <w:rsid w:val="00B4361F"/>
    <w:rsid w:val="00B436A8"/>
    <w:rsid w:val="00B43A1D"/>
    <w:rsid w:val="00B43BFF"/>
    <w:rsid w:val="00B43F52"/>
    <w:rsid w:val="00B43FFA"/>
    <w:rsid w:val="00B43FFC"/>
    <w:rsid w:val="00B44020"/>
    <w:rsid w:val="00B4402A"/>
    <w:rsid w:val="00B442E4"/>
    <w:rsid w:val="00B447D4"/>
    <w:rsid w:val="00B448A3"/>
    <w:rsid w:val="00B449A6"/>
    <w:rsid w:val="00B44A3C"/>
    <w:rsid w:val="00B44ABC"/>
    <w:rsid w:val="00B44D12"/>
    <w:rsid w:val="00B44E16"/>
    <w:rsid w:val="00B44FBE"/>
    <w:rsid w:val="00B44FDE"/>
    <w:rsid w:val="00B453AC"/>
    <w:rsid w:val="00B45466"/>
    <w:rsid w:val="00B45977"/>
    <w:rsid w:val="00B460AB"/>
    <w:rsid w:val="00B4641A"/>
    <w:rsid w:val="00B4674F"/>
    <w:rsid w:val="00B46B44"/>
    <w:rsid w:val="00B46D63"/>
    <w:rsid w:val="00B46E74"/>
    <w:rsid w:val="00B46FFA"/>
    <w:rsid w:val="00B4709D"/>
    <w:rsid w:val="00B471D3"/>
    <w:rsid w:val="00B47233"/>
    <w:rsid w:val="00B47261"/>
    <w:rsid w:val="00B473B7"/>
    <w:rsid w:val="00B474C1"/>
    <w:rsid w:val="00B47569"/>
    <w:rsid w:val="00B475AE"/>
    <w:rsid w:val="00B47795"/>
    <w:rsid w:val="00B47F4F"/>
    <w:rsid w:val="00B50112"/>
    <w:rsid w:val="00B501D9"/>
    <w:rsid w:val="00B503C2"/>
    <w:rsid w:val="00B505FF"/>
    <w:rsid w:val="00B507D9"/>
    <w:rsid w:val="00B50966"/>
    <w:rsid w:val="00B5097B"/>
    <w:rsid w:val="00B50B4A"/>
    <w:rsid w:val="00B50D1B"/>
    <w:rsid w:val="00B510DC"/>
    <w:rsid w:val="00B5120D"/>
    <w:rsid w:val="00B514A3"/>
    <w:rsid w:val="00B51542"/>
    <w:rsid w:val="00B51F20"/>
    <w:rsid w:val="00B524D0"/>
    <w:rsid w:val="00B52E6C"/>
    <w:rsid w:val="00B5306D"/>
    <w:rsid w:val="00B531E1"/>
    <w:rsid w:val="00B534AF"/>
    <w:rsid w:val="00B53B19"/>
    <w:rsid w:val="00B53C1A"/>
    <w:rsid w:val="00B53C2C"/>
    <w:rsid w:val="00B53E8E"/>
    <w:rsid w:val="00B53EE1"/>
    <w:rsid w:val="00B53FF7"/>
    <w:rsid w:val="00B54422"/>
    <w:rsid w:val="00B5478A"/>
    <w:rsid w:val="00B54DEC"/>
    <w:rsid w:val="00B54F35"/>
    <w:rsid w:val="00B55251"/>
    <w:rsid w:val="00B55269"/>
    <w:rsid w:val="00B5585E"/>
    <w:rsid w:val="00B55AD0"/>
    <w:rsid w:val="00B55B04"/>
    <w:rsid w:val="00B55B3F"/>
    <w:rsid w:val="00B55D5B"/>
    <w:rsid w:val="00B564BD"/>
    <w:rsid w:val="00B5674D"/>
    <w:rsid w:val="00B567EC"/>
    <w:rsid w:val="00B56873"/>
    <w:rsid w:val="00B5691F"/>
    <w:rsid w:val="00B5693E"/>
    <w:rsid w:val="00B569AF"/>
    <w:rsid w:val="00B56A5D"/>
    <w:rsid w:val="00B56BE6"/>
    <w:rsid w:val="00B56C01"/>
    <w:rsid w:val="00B56D95"/>
    <w:rsid w:val="00B56E20"/>
    <w:rsid w:val="00B56E57"/>
    <w:rsid w:val="00B5723F"/>
    <w:rsid w:val="00B5732B"/>
    <w:rsid w:val="00B577C8"/>
    <w:rsid w:val="00B57D6C"/>
    <w:rsid w:val="00B57D70"/>
    <w:rsid w:val="00B57ED8"/>
    <w:rsid w:val="00B600AC"/>
    <w:rsid w:val="00B6019C"/>
    <w:rsid w:val="00B60244"/>
    <w:rsid w:val="00B602E6"/>
    <w:rsid w:val="00B602EE"/>
    <w:rsid w:val="00B605E9"/>
    <w:rsid w:val="00B6064B"/>
    <w:rsid w:val="00B60B61"/>
    <w:rsid w:val="00B60E41"/>
    <w:rsid w:val="00B61569"/>
    <w:rsid w:val="00B6157B"/>
    <w:rsid w:val="00B6160A"/>
    <w:rsid w:val="00B6173A"/>
    <w:rsid w:val="00B61873"/>
    <w:rsid w:val="00B61897"/>
    <w:rsid w:val="00B61904"/>
    <w:rsid w:val="00B61979"/>
    <w:rsid w:val="00B624CB"/>
    <w:rsid w:val="00B62870"/>
    <w:rsid w:val="00B62A7A"/>
    <w:rsid w:val="00B62AE1"/>
    <w:rsid w:val="00B62B13"/>
    <w:rsid w:val="00B62BC7"/>
    <w:rsid w:val="00B62F2A"/>
    <w:rsid w:val="00B631EF"/>
    <w:rsid w:val="00B632CE"/>
    <w:rsid w:val="00B63383"/>
    <w:rsid w:val="00B633C2"/>
    <w:rsid w:val="00B63564"/>
    <w:rsid w:val="00B63849"/>
    <w:rsid w:val="00B63B4D"/>
    <w:rsid w:val="00B63C6C"/>
    <w:rsid w:val="00B63CC4"/>
    <w:rsid w:val="00B63D6F"/>
    <w:rsid w:val="00B63D8B"/>
    <w:rsid w:val="00B63F86"/>
    <w:rsid w:val="00B640C4"/>
    <w:rsid w:val="00B64112"/>
    <w:rsid w:val="00B641D7"/>
    <w:rsid w:val="00B64223"/>
    <w:rsid w:val="00B64282"/>
    <w:rsid w:val="00B645B9"/>
    <w:rsid w:val="00B64635"/>
    <w:rsid w:val="00B64C4B"/>
    <w:rsid w:val="00B64CAD"/>
    <w:rsid w:val="00B64FD3"/>
    <w:rsid w:val="00B65197"/>
    <w:rsid w:val="00B6523B"/>
    <w:rsid w:val="00B655D9"/>
    <w:rsid w:val="00B65B03"/>
    <w:rsid w:val="00B65C32"/>
    <w:rsid w:val="00B65D6E"/>
    <w:rsid w:val="00B66131"/>
    <w:rsid w:val="00B6664A"/>
    <w:rsid w:val="00B66B43"/>
    <w:rsid w:val="00B66BB1"/>
    <w:rsid w:val="00B66BD4"/>
    <w:rsid w:val="00B66C7D"/>
    <w:rsid w:val="00B66E0A"/>
    <w:rsid w:val="00B66EFD"/>
    <w:rsid w:val="00B6726A"/>
    <w:rsid w:val="00B672E3"/>
    <w:rsid w:val="00B673D2"/>
    <w:rsid w:val="00B67491"/>
    <w:rsid w:val="00B674BC"/>
    <w:rsid w:val="00B6770A"/>
    <w:rsid w:val="00B6781C"/>
    <w:rsid w:val="00B67A00"/>
    <w:rsid w:val="00B67DCF"/>
    <w:rsid w:val="00B7008C"/>
    <w:rsid w:val="00B701D7"/>
    <w:rsid w:val="00B705D3"/>
    <w:rsid w:val="00B70AB2"/>
    <w:rsid w:val="00B70C15"/>
    <w:rsid w:val="00B70D68"/>
    <w:rsid w:val="00B71080"/>
    <w:rsid w:val="00B71661"/>
    <w:rsid w:val="00B71688"/>
    <w:rsid w:val="00B71796"/>
    <w:rsid w:val="00B717AF"/>
    <w:rsid w:val="00B717CC"/>
    <w:rsid w:val="00B71A4D"/>
    <w:rsid w:val="00B71DA7"/>
    <w:rsid w:val="00B72165"/>
    <w:rsid w:val="00B723C3"/>
    <w:rsid w:val="00B72439"/>
    <w:rsid w:val="00B72668"/>
    <w:rsid w:val="00B72790"/>
    <w:rsid w:val="00B72810"/>
    <w:rsid w:val="00B72A4D"/>
    <w:rsid w:val="00B72A99"/>
    <w:rsid w:val="00B72AB0"/>
    <w:rsid w:val="00B72ADE"/>
    <w:rsid w:val="00B72AE6"/>
    <w:rsid w:val="00B72AFA"/>
    <w:rsid w:val="00B72C48"/>
    <w:rsid w:val="00B72DB4"/>
    <w:rsid w:val="00B731E8"/>
    <w:rsid w:val="00B7321F"/>
    <w:rsid w:val="00B735B7"/>
    <w:rsid w:val="00B738B0"/>
    <w:rsid w:val="00B73914"/>
    <w:rsid w:val="00B73A16"/>
    <w:rsid w:val="00B7435D"/>
    <w:rsid w:val="00B74418"/>
    <w:rsid w:val="00B744A9"/>
    <w:rsid w:val="00B746F2"/>
    <w:rsid w:val="00B74720"/>
    <w:rsid w:val="00B74974"/>
    <w:rsid w:val="00B74B43"/>
    <w:rsid w:val="00B74BB9"/>
    <w:rsid w:val="00B74DCA"/>
    <w:rsid w:val="00B74DE9"/>
    <w:rsid w:val="00B75189"/>
    <w:rsid w:val="00B751CE"/>
    <w:rsid w:val="00B7566A"/>
    <w:rsid w:val="00B756F9"/>
    <w:rsid w:val="00B7584A"/>
    <w:rsid w:val="00B75AFC"/>
    <w:rsid w:val="00B75B76"/>
    <w:rsid w:val="00B75D75"/>
    <w:rsid w:val="00B75F07"/>
    <w:rsid w:val="00B75FF2"/>
    <w:rsid w:val="00B7611C"/>
    <w:rsid w:val="00B7623C"/>
    <w:rsid w:val="00B763F1"/>
    <w:rsid w:val="00B763F6"/>
    <w:rsid w:val="00B764F9"/>
    <w:rsid w:val="00B76C01"/>
    <w:rsid w:val="00B76C55"/>
    <w:rsid w:val="00B76CCC"/>
    <w:rsid w:val="00B76DCA"/>
    <w:rsid w:val="00B76E8A"/>
    <w:rsid w:val="00B7729B"/>
    <w:rsid w:val="00B77473"/>
    <w:rsid w:val="00B775CC"/>
    <w:rsid w:val="00B775E4"/>
    <w:rsid w:val="00B7760C"/>
    <w:rsid w:val="00B7780B"/>
    <w:rsid w:val="00B77D30"/>
    <w:rsid w:val="00B77D60"/>
    <w:rsid w:val="00B77EED"/>
    <w:rsid w:val="00B8001C"/>
    <w:rsid w:val="00B800EE"/>
    <w:rsid w:val="00B80110"/>
    <w:rsid w:val="00B801CA"/>
    <w:rsid w:val="00B802F4"/>
    <w:rsid w:val="00B8039C"/>
    <w:rsid w:val="00B803FD"/>
    <w:rsid w:val="00B80452"/>
    <w:rsid w:val="00B80679"/>
    <w:rsid w:val="00B8069F"/>
    <w:rsid w:val="00B8072B"/>
    <w:rsid w:val="00B807D6"/>
    <w:rsid w:val="00B80908"/>
    <w:rsid w:val="00B80E10"/>
    <w:rsid w:val="00B80F68"/>
    <w:rsid w:val="00B8113C"/>
    <w:rsid w:val="00B811CE"/>
    <w:rsid w:val="00B8163C"/>
    <w:rsid w:val="00B81B49"/>
    <w:rsid w:val="00B81CCA"/>
    <w:rsid w:val="00B81EAD"/>
    <w:rsid w:val="00B820BD"/>
    <w:rsid w:val="00B8216C"/>
    <w:rsid w:val="00B826A7"/>
    <w:rsid w:val="00B82879"/>
    <w:rsid w:val="00B82A21"/>
    <w:rsid w:val="00B82B5A"/>
    <w:rsid w:val="00B82BFE"/>
    <w:rsid w:val="00B82D34"/>
    <w:rsid w:val="00B83168"/>
    <w:rsid w:val="00B831D7"/>
    <w:rsid w:val="00B831F6"/>
    <w:rsid w:val="00B832C4"/>
    <w:rsid w:val="00B8388F"/>
    <w:rsid w:val="00B838A0"/>
    <w:rsid w:val="00B838DC"/>
    <w:rsid w:val="00B839C7"/>
    <w:rsid w:val="00B839F3"/>
    <w:rsid w:val="00B83A74"/>
    <w:rsid w:val="00B83AB8"/>
    <w:rsid w:val="00B83B3E"/>
    <w:rsid w:val="00B83C8A"/>
    <w:rsid w:val="00B83D41"/>
    <w:rsid w:val="00B841DA"/>
    <w:rsid w:val="00B842C5"/>
    <w:rsid w:val="00B84500"/>
    <w:rsid w:val="00B845D7"/>
    <w:rsid w:val="00B84633"/>
    <w:rsid w:val="00B84670"/>
    <w:rsid w:val="00B848AE"/>
    <w:rsid w:val="00B84D3D"/>
    <w:rsid w:val="00B84FFC"/>
    <w:rsid w:val="00B85059"/>
    <w:rsid w:val="00B854FD"/>
    <w:rsid w:val="00B8590C"/>
    <w:rsid w:val="00B85F2A"/>
    <w:rsid w:val="00B8633E"/>
    <w:rsid w:val="00B86377"/>
    <w:rsid w:val="00B863FF"/>
    <w:rsid w:val="00B8642D"/>
    <w:rsid w:val="00B8647A"/>
    <w:rsid w:val="00B864FF"/>
    <w:rsid w:val="00B86608"/>
    <w:rsid w:val="00B8699F"/>
    <w:rsid w:val="00B86B72"/>
    <w:rsid w:val="00B8720B"/>
    <w:rsid w:val="00B8731E"/>
    <w:rsid w:val="00B87596"/>
    <w:rsid w:val="00B87619"/>
    <w:rsid w:val="00B876DF"/>
    <w:rsid w:val="00B87B39"/>
    <w:rsid w:val="00B87D5A"/>
    <w:rsid w:val="00B87D64"/>
    <w:rsid w:val="00B87D88"/>
    <w:rsid w:val="00B87DE4"/>
    <w:rsid w:val="00B87E1E"/>
    <w:rsid w:val="00B90436"/>
    <w:rsid w:val="00B906BD"/>
    <w:rsid w:val="00B90EB2"/>
    <w:rsid w:val="00B90EE5"/>
    <w:rsid w:val="00B91127"/>
    <w:rsid w:val="00B91281"/>
    <w:rsid w:val="00B91350"/>
    <w:rsid w:val="00B91606"/>
    <w:rsid w:val="00B9163F"/>
    <w:rsid w:val="00B916F9"/>
    <w:rsid w:val="00B91C0C"/>
    <w:rsid w:val="00B91E99"/>
    <w:rsid w:val="00B92154"/>
    <w:rsid w:val="00B924F8"/>
    <w:rsid w:val="00B92523"/>
    <w:rsid w:val="00B926B3"/>
    <w:rsid w:val="00B9273E"/>
    <w:rsid w:val="00B92898"/>
    <w:rsid w:val="00B9294E"/>
    <w:rsid w:val="00B92BA5"/>
    <w:rsid w:val="00B92E70"/>
    <w:rsid w:val="00B9306A"/>
    <w:rsid w:val="00B934E6"/>
    <w:rsid w:val="00B9376B"/>
    <w:rsid w:val="00B93AD4"/>
    <w:rsid w:val="00B93EA6"/>
    <w:rsid w:val="00B940BB"/>
    <w:rsid w:val="00B94345"/>
    <w:rsid w:val="00B94999"/>
    <w:rsid w:val="00B94EEF"/>
    <w:rsid w:val="00B94F4B"/>
    <w:rsid w:val="00B9507F"/>
    <w:rsid w:val="00B95138"/>
    <w:rsid w:val="00B951CA"/>
    <w:rsid w:val="00B9565C"/>
    <w:rsid w:val="00B9583A"/>
    <w:rsid w:val="00B95AB0"/>
    <w:rsid w:val="00B95ABB"/>
    <w:rsid w:val="00B95F94"/>
    <w:rsid w:val="00B96808"/>
    <w:rsid w:val="00B96BA7"/>
    <w:rsid w:val="00B96BFC"/>
    <w:rsid w:val="00B96DF8"/>
    <w:rsid w:val="00B96E4F"/>
    <w:rsid w:val="00B96E5B"/>
    <w:rsid w:val="00B96EF5"/>
    <w:rsid w:val="00B96F5E"/>
    <w:rsid w:val="00B970DC"/>
    <w:rsid w:val="00B970F4"/>
    <w:rsid w:val="00B9784F"/>
    <w:rsid w:val="00B9797D"/>
    <w:rsid w:val="00B97D78"/>
    <w:rsid w:val="00B97E06"/>
    <w:rsid w:val="00BA0042"/>
    <w:rsid w:val="00BA02A9"/>
    <w:rsid w:val="00BA02BE"/>
    <w:rsid w:val="00BA02DA"/>
    <w:rsid w:val="00BA09F1"/>
    <w:rsid w:val="00BA0A1E"/>
    <w:rsid w:val="00BA0BB4"/>
    <w:rsid w:val="00BA0D92"/>
    <w:rsid w:val="00BA0E5C"/>
    <w:rsid w:val="00BA119E"/>
    <w:rsid w:val="00BA1616"/>
    <w:rsid w:val="00BA16EF"/>
    <w:rsid w:val="00BA1C82"/>
    <w:rsid w:val="00BA1E5C"/>
    <w:rsid w:val="00BA1F1C"/>
    <w:rsid w:val="00BA2121"/>
    <w:rsid w:val="00BA220F"/>
    <w:rsid w:val="00BA22DF"/>
    <w:rsid w:val="00BA2712"/>
    <w:rsid w:val="00BA29B6"/>
    <w:rsid w:val="00BA2A3F"/>
    <w:rsid w:val="00BA2DF3"/>
    <w:rsid w:val="00BA2E01"/>
    <w:rsid w:val="00BA2F6A"/>
    <w:rsid w:val="00BA2FA1"/>
    <w:rsid w:val="00BA30CC"/>
    <w:rsid w:val="00BA32BE"/>
    <w:rsid w:val="00BA363A"/>
    <w:rsid w:val="00BA38BE"/>
    <w:rsid w:val="00BA3B60"/>
    <w:rsid w:val="00BA3CFE"/>
    <w:rsid w:val="00BA3E7D"/>
    <w:rsid w:val="00BA44F3"/>
    <w:rsid w:val="00BA4536"/>
    <w:rsid w:val="00BA4711"/>
    <w:rsid w:val="00BA4743"/>
    <w:rsid w:val="00BA4D42"/>
    <w:rsid w:val="00BA4DFE"/>
    <w:rsid w:val="00BA4EA0"/>
    <w:rsid w:val="00BA4F68"/>
    <w:rsid w:val="00BA52C1"/>
    <w:rsid w:val="00BA53D0"/>
    <w:rsid w:val="00BA5436"/>
    <w:rsid w:val="00BA54D9"/>
    <w:rsid w:val="00BA556A"/>
    <w:rsid w:val="00BA5710"/>
    <w:rsid w:val="00BA59E7"/>
    <w:rsid w:val="00BA629B"/>
    <w:rsid w:val="00BA6602"/>
    <w:rsid w:val="00BA6709"/>
    <w:rsid w:val="00BA675D"/>
    <w:rsid w:val="00BA689C"/>
    <w:rsid w:val="00BA6956"/>
    <w:rsid w:val="00BA6C8D"/>
    <w:rsid w:val="00BA6DCE"/>
    <w:rsid w:val="00BA6EBB"/>
    <w:rsid w:val="00BA73BD"/>
    <w:rsid w:val="00BA7438"/>
    <w:rsid w:val="00BA7667"/>
    <w:rsid w:val="00BA77F4"/>
    <w:rsid w:val="00BA7912"/>
    <w:rsid w:val="00BA7B7E"/>
    <w:rsid w:val="00BA7C4E"/>
    <w:rsid w:val="00BA7D1F"/>
    <w:rsid w:val="00BA7EA5"/>
    <w:rsid w:val="00BA7EC6"/>
    <w:rsid w:val="00BB00F9"/>
    <w:rsid w:val="00BB03E5"/>
    <w:rsid w:val="00BB06B4"/>
    <w:rsid w:val="00BB0833"/>
    <w:rsid w:val="00BB08D5"/>
    <w:rsid w:val="00BB093A"/>
    <w:rsid w:val="00BB0B8A"/>
    <w:rsid w:val="00BB0C43"/>
    <w:rsid w:val="00BB119D"/>
    <w:rsid w:val="00BB120B"/>
    <w:rsid w:val="00BB1243"/>
    <w:rsid w:val="00BB1367"/>
    <w:rsid w:val="00BB17E1"/>
    <w:rsid w:val="00BB18D9"/>
    <w:rsid w:val="00BB1BD7"/>
    <w:rsid w:val="00BB1CBF"/>
    <w:rsid w:val="00BB1CD0"/>
    <w:rsid w:val="00BB1F45"/>
    <w:rsid w:val="00BB29B0"/>
    <w:rsid w:val="00BB29D2"/>
    <w:rsid w:val="00BB2B6A"/>
    <w:rsid w:val="00BB2E81"/>
    <w:rsid w:val="00BB2F3C"/>
    <w:rsid w:val="00BB2FD5"/>
    <w:rsid w:val="00BB3326"/>
    <w:rsid w:val="00BB33B3"/>
    <w:rsid w:val="00BB34E6"/>
    <w:rsid w:val="00BB36C7"/>
    <w:rsid w:val="00BB3954"/>
    <w:rsid w:val="00BB395D"/>
    <w:rsid w:val="00BB3A97"/>
    <w:rsid w:val="00BB40E4"/>
    <w:rsid w:val="00BB41F8"/>
    <w:rsid w:val="00BB43C6"/>
    <w:rsid w:val="00BB454B"/>
    <w:rsid w:val="00BB48C4"/>
    <w:rsid w:val="00BB490B"/>
    <w:rsid w:val="00BB496F"/>
    <w:rsid w:val="00BB49C6"/>
    <w:rsid w:val="00BB4C2A"/>
    <w:rsid w:val="00BB508B"/>
    <w:rsid w:val="00BB5247"/>
    <w:rsid w:val="00BB528E"/>
    <w:rsid w:val="00BB5377"/>
    <w:rsid w:val="00BB5494"/>
    <w:rsid w:val="00BB5577"/>
    <w:rsid w:val="00BB5757"/>
    <w:rsid w:val="00BB5A2F"/>
    <w:rsid w:val="00BB5ABC"/>
    <w:rsid w:val="00BB5B10"/>
    <w:rsid w:val="00BB5C00"/>
    <w:rsid w:val="00BB622D"/>
    <w:rsid w:val="00BB6254"/>
    <w:rsid w:val="00BB64F1"/>
    <w:rsid w:val="00BB6770"/>
    <w:rsid w:val="00BB67A6"/>
    <w:rsid w:val="00BB6C19"/>
    <w:rsid w:val="00BB6E28"/>
    <w:rsid w:val="00BB70AE"/>
    <w:rsid w:val="00BB712C"/>
    <w:rsid w:val="00BB719C"/>
    <w:rsid w:val="00BB71EC"/>
    <w:rsid w:val="00BB7412"/>
    <w:rsid w:val="00BB7423"/>
    <w:rsid w:val="00BB7525"/>
    <w:rsid w:val="00BB75B9"/>
    <w:rsid w:val="00BB78ED"/>
    <w:rsid w:val="00BB7BC8"/>
    <w:rsid w:val="00BB7DFD"/>
    <w:rsid w:val="00BC040A"/>
    <w:rsid w:val="00BC0596"/>
    <w:rsid w:val="00BC05E4"/>
    <w:rsid w:val="00BC07CC"/>
    <w:rsid w:val="00BC0B1D"/>
    <w:rsid w:val="00BC0C1C"/>
    <w:rsid w:val="00BC0CED"/>
    <w:rsid w:val="00BC0D73"/>
    <w:rsid w:val="00BC0DA1"/>
    <w:rsid w:val="00BC0E14"/>
    <w:rsid w:val="00BC0E1F"/>
    <w:rsid w:val="00BC0EB5"/>
    <w:rsid w:val="00BC0F34"/>
    <w:rsid w:val="00BC105C"/>
    <w:rsid w:val="00BC10A3"/>
    <w:rsid w:val="00BC112C"/>
    <w:rsid w:val="00BC1233"/>
    <w:rsid w:val="00BC126B"/>
    <w:rsid w:val="00BC1454"/>
    <w:rsid w:val="00BC1460"/>
    <w:rsid w:val="00BC185B"/>
    <w:rsid w:val="00BC1E4D"/>
    <w:rsid w:val="00BC201F"/>
    <w:rsid w:val="00BC2273"/>
    <w:rsid w:val="00BC23A0"/>
    <w:rsid w:val="00BC2503"/>
    <w:rsid w:val="00BC2773"/>
    <w:rsid w:val="00BC2B3D"/>
    <w:rsid w:val="00BC2F73"/>
    <w:rsid w:val="00BC2FA0"/>
    <w:rsid w:val="00BC31D1"/>
    <w:rsid w:val="00BC3537"/>
    <w:rsid w:val="00BC37A7"/>
    <w:rsid w:val="00BC37C8"/>
    <w:rsid w:val="00BC397C"/>
    <w:rsid w:val="00BC39F3"/>
    <w:rsid w:val="00BC3AB1"/>
    <w:rsid w:val="00BC3FED"/>
    <w:rsid w:val="00BC40F7"/>
    <w:rsid w:val="00BC41AE"/>
    <w:rsid w:val="00BC4488"/>
    <w:rsid w:val="00BC46CF"/>
    <w:rsid w:val="00BC4822"/>
    <w:rsid w:val="00BC4938"/>
    <w:rsid w:val="00BC4A71"/>
    <w:rsid w:val="00BC51E8"/>
    <w:rsid w:val="00BC523D"/>
    <w:rsid w:val="00BC52DA"/>
    <w:rsid w:val="00BC59A1"/>
    <w:rsid w:val="00BC5B1E"/>
    <w:rsid w:val="00BC5C65"/>
    <w:rsid w:val="00BC5E24"/>
    <w:rsid w:val="00BC6101"/>
    <w:rsid w:val="00BC641D"/>
    <w:rsid w:val="00BC6558"/>
    <w:rsid w:val="00BC660A"/>
    <w:rsid w:val="00BC66E9"/>
    <w:rsid w:val="00BC676A"/>
    <w:rsid w:val="00BC6772"/>
    <w:rsid w:val="00BC68AE"/>
    <w:rsid w:val="00BC6994"/>
    <w:rsid w:val="00BC69C6"/>
    <w:rsid w:val="00BC69EB"/>
    <w:rsid w:val="00BC6BF7"/>
    <w:rsid w:val="00BC6D1D"/>
    <w:rsid w:val="00BC7000"/>
    <w:rsid w:val="00BC71F5"/>
    <w:rsid w:val="00BC74D1"/>
    <w:rsid w:val="00BC76B4"/>
    <w:rsid w:val="00BC79A2"/>
    <w:rsid w:val="00BC7A2C"/>
    <w:rsid w:val="00BC7C1C"/>
    <w:rsid w:val="00BC7D19"/>
    <w:rsid w:val="00BC7EC1"/>
    <w:rsid w:val="00BD011B"/>
    <w:rsid w:val="00BD032D"/>
    <w:rsid w:val="00BD03C1"/>
    <w:rsid w:val="00BD0655"/>
    <w:rsid w:val="00BD0A44"/>
    <w:rsid w:val="00BD0AAA"/>
    <w:rsid w:val="00BD0D3E"/>
    <w:rsid w:val="00BD0E21"/>
    <w:rsid w:val="00BD0FEE"/>
    <w:rsid w:val="00BD153B"/>
    <w:rsid w:val="00BD171E"/>
    <w:rsid w:val="00BD17CB"/>
    <w:rsid w:val="00BD1852"/>
    <w:rsid w:val="00BD18AF"/>
    <w:rsid w:val="00BD1913"/>
    <w:rsid w:val="00BD19DB"/>
    <w:rsid w:val="00BD1D41"/>
    <w:rsid w:val="00BD1E1A"/>
    <w:rsid w:val="00BD1E77"/>
    <w:rsid w:val="00BD1ED1"/>
    <w:rsid w:val="00BD218B"/>
    <w:rsid w:val="00BD220B"/>
    <w:rsid w:val="00BD24AA"/>
    <w:rsid w:val="00BD25E4"/>
    <w:rsid w:val="00BD2868"/>
    <w:rsid w:val="00BD28A0"/>
    <w:rsid w:val="00BD28DB"/>
    <w:rsid w:val="00BD2E59"/>
    <w:rsid w:val="00BD2E96"/>
    <w:rsid w:val="00BD3073"/>
    <w:rsid w:val="00BD31CF"/>
    <w:rsid w:val="00BD34C2"/>
    <w:rsid w:val="00BD393A"/>
    <w:rsid w:val="00BD3AEE"/>
    <w:rsid w:val="00BD3B26"/>
    <w:rsid w:val="00BD3C7A"/>
    <w:rsid w:val="00BD3D03"/>
    <w:rsid w:val="00BD3DE6"/>
    <w:rsid w:val="00BD3E70"/>
    <w:rsid w:val="00BD3FF6"/>
    <w:rsid w:val="00BD407C"/>
    <w:rsid w:val="00BD437C"/>
    <w:rsid w:val="00BD47F6"/>
    <w:rsid w:val="00BD48D2"/>
    <w:rsid w:val="00BD4B31"/>
    <w:rsid w:val="00BD4BD6"/>
    <w:rsid w:val="00BD4BD8"/>
    <w:rsid w:val="00BD4D1C"/>
    <w:rsid w:val="00BD5124"/>
    <w:rsid w:val="00BD5172"/>
    <w:rsid w:val="00BD54EB"/>
    <w:rsid w:val="00BD5532"/>
    <w:rsid w:val="00BD58EB"/>
    <w:rsid w:val="00BD5AE3"/>
    <w:rsid w:val="00BD5B56"/>
    <w:rsid w:val="00BD5E48"/>
    <w:rsid w:val="00BD5FCE"/>
    <w:rsid w:val="00BD609B"/>
    <w:rsid w:val="00BD61A8"/>
    <w:rsid w:val="00BD61C6"/>
    <w:rsid w:val="00BD625C"/>
    <w:rsid w:val="00BD6497"/>
    <w:rsid w:val="00BD69B0"/>
    <w:rsid w:val="00BD69DE"/>
    <w:rsid w:val="00BD6D6A"/>
    <w:rsid w:val="00BD6DDE"/>
    <w:rsid w:val="00BD6E6A"/>
    <w:rsid w:val="00BD6F09"/>
    <w:rsid w:val="00BD735C"/>
    <w:rsid w:val="00BD735E"/>
    <w:rsid w:val="00BD7545"/>
    <w:rsid w:val="00BD757E"/>
    <w:rsid w:val="00BD7619"/>
    <w:rsid w:val="00BD7B94"/>
    <w:rsid w:val="00BD7B9D"/>
    <w:rsid w:val="00BD7FC2"/>
    <w:rsid w:val="00BE0069"/>
    <w:rsid w:val="00BE0918"/>
    <w:rsid w:val="00BE09FE"/>
    <w:rsid w:val="00BE0E75"/>
    <w:rsid w:val="00BE14BE"/>
    <w:rsid w:val="00BE15BB"/>
    <w:rsid w:val="00BE17FB"/>
    <w:rsid w:val="00BE191C"/>
    <w:rsid w:val="00BE1D17"/>
    <w:rsid w:val="00BE2239"/>
    <w:rsid w:val="00BE2299"/>
    <w:rsid w:val="00BE2319"/>
    <w:rsid w:val="00BE2544"/>
    <w:rsid w:val="00BE2A0C"/>
    <w:rsid w:val="00BE2D92"/>
    <w:rsid w:val="00BE3334"/>
    <w:rsid w:val="00BE399C"/>
    <w:rsid w:val="00BE399F"/>
    <w:rsid w:val="00BE3A4A"/>
    <w:rsid w:val="00BE3ABA"/>
    <w:rsid w:val="00BE3C2A"/>
    <w:rsid w:val="00BE3FA5"/>
    <w:rsid w:val="00BE3FB8"/>
    <w:rsid w:val="00BE4231"/>
    <w:rsid w:val="00BE4319"/>
    <w:rsid w:val="00BE442B"/>
    <w:rsid w:val="00BE4511"/>
    <w:rsid w:val="00BE45F0"/>
    <w:rsid w:val="00BE50FA"/>
    <w:rsid w:val="00BE5585"/>
    <w:rsid w:val="00BE5830"/>
    <w:rsid w:val="00BE58AE"/>
    <w:rsid w:val="00BE5B32"/>
    <w:rsid w:val="00BE5F59"/>
    <w:rsid w:val="00BE5FFB"/>
    <w:rsid w:val="00BE6252"/>
    <w:rsid w:val="00BE62A5"/>
    <w:rsid w:val="00BE644E"/>
    <w:rsid w:val="00BE65B5"/>
    <w:rsid w:val="00BE6884"/>
    <w:rsid w:val="00BE695B"/>
    <w:rsid w:val="00BE6FE8"/>
    <w:rsid w:val="00BE730D"/>
    <w:rsid w:val="00BE732B"/>
    <w:rsid w:val="00BE748F"/>
    <w:rsid w:val="00BE7582"/>
    <w:rsid w:val="00BE770A"/>
    <w:rsid w:val="00BE78CB"/>
    <w:rsid w:val="00BE78DE"/>
    <w:rsid w:val="00BE79A5"/>
    <w:rsid w:val="00BE79D1"/>
    <w:rsid w:val="00BE79F5"/>
    <w:rsid w:val="00BE7A2F"/>
    <w:rsid w:val="00BE7D5E"/>
    <w:rsid w:val="00BE7DE8"/>
    <w:rsid w:val="00BE7EF9"/>
    <w:rsid w:val="00BF01B9"/>
    <w:rsid w:val="00BF03C2"/>
    <w:rsid w:val="00BF0484"/>
    <w:rsid w:val="00BF08CD"/>
    <w:rsid w:val="00BF0A13"/>
    <w:rsid w:val="00BF0BD0"/>
    <w:rsid w:val="00BF0D0D"/>
    <w:rsid w:val="00BF0F64"/>
    <w:rsid w:val="00BF0FF8"/>
    <w:rsid w:val="00BF10EF"/>
    <w:rsid w:val="00BF199F"/>
    <w:rsid w:val="00BF1D29"/>
    <w:rsid w:val="00BF1F02"/>
    <w:rsid w:val="00BF2185"/>
    <w:rsid w:val="00BF2225"/>
    <w:rsid w:val="00BF242C"/>
    <w:rsid w:val="00BF26FB"/>
    <w:rsid w:val="00BF27FA"/>
    <w:rsid w:val="00BF2866"/>
    <w:rsid w:val="00BF2A86"/>
    <w:rsid w:val="00BF2B84"/>
    <w:rsid w:val="00BF2B88"/>
    <w:rsid w:val="00BF330B"/>
    <w:rsid w:val="00BF3691"/>
    <w:rsid w:val="00BF3A42"/>
    <w:rsid w:val="00BF3A7A"/>
    <w:rsid w:val="00BF3F0F"/>
    <w:rsid w:val="00BF3F24"/>
    <w:rsid w:val="00BF4084"/>
    <w:rsid w:val="00BF4144"/>
    <w:rsid w:val="00BF4358"/>
    <w:rsid w:val="00BF4459"/>
    <w:rsid w:val="00BF453D"/>
    <w:rsid w:val="00BF456C"/>
    <w:rsid w:val="00BF466F"/>
    <w:rsid w:val="00BF46E6"/>
    <w:rsid w:val="00BF4706"/>
    <w:rsid w:val="00BF4842"/>
    <w:rsid w:val="00BF4885"/>
    <w:rsid w:val="00BF489D"/>
    <w:rsid w:val="00BF48AC"/>
    <w:rsid w:val="00BF49E9"/>
    <w:rsid w:val="00BF4DB2"/>
    <w:rsid w:val="00BF54D7"/>
    <w:rsid w:val="00BF5883"/>
    <w:rsid w:val="00BF5909"/>
    <w:rsid w:val="00BF5911"/>
    <w:rsid w:val="00BF5998"/>
    <w:rsid w:val="00BF5BD1"/>
    <w:rsid w:val="00BF5FAB"/>
    <w:rsid w:val="00BF606B"/>
    <w:rsid w:val="00BF6100"/>
    <w:rsid w:val="00BF62C7"/>
    <w:rsid w:val="00BF6307"/>
    <w:rsid w:val="00BF6641"/>
    <w:rsid w:val="00BF68B3"/>
    <w:rsid w:val="00BF68D1"/>
    <w:rsid w:val="00BF69F8"/>
    <w:rsid w:val="00BF6B66"/>
    <w:rsid w:val="00BF6BC8"/>
    <w:rsid w:val="00BF6D17"/>
    <w:rsid w:val="00BF7311"/>
    <w:rsid w:val="00BF7456"/>
    <w:rsid w:val="00BF7708"/>
    <w:rsid w:val="00BF77D3"/>
    <w:rsid w:val="00BF77FC"/>
    <w:rsid w:val="00BF7879"/>
    <w:rsid w:val="00BF78F5"/>
    <w:rsid w:val="00BF78F8"/>
    <w:rsid w:val="00BF7B22"/>
    <w:rsid w:val="00BF7EFF"/>
    <w:rsid w:val="00C0000A"/>
    <w:rsid w:val="00C00148"/>
    <w:rsid w:val="00C0035B"/>
    <w:rsid w:val="00C003C6"/>
    <w:rsid w:val="00C004C4"/>
    <w:rsid w:val="00C004CD"/>
    <w:rsid w:val="00C005BF"/>
    <w:rsid w:val="00C00790"/>
    <w:rsid w:val="00C007EA"/>
    <w:rsid w:val="00C00854"/>
    <w:rsid w:val="00C00B5B"/>
    <w:rsid w:val="00C00C3E"/>
    <w:rsid w:val="00C0110D"/>
    <w:rsid w:val="00C01310"/>
    <w:rsid w:val="00C01311"/>
    <w:rsid w:val="00C014BC"/>
    <w:rsid w:val="00C016A6"/>
    <w:rsid w:val="00C0176D"/>
    <w:rsid w:val="00C01795"/>
    <w:rsid w:val="00C0199C"/>
    <w:rsid w:val="00C01BE7"/>
    <w:rsid w:val="00C01EE4"/>
    <w:rsid w:val="00C02101"/>
    <w:rsid w:val="00C0220E"/>
    <w:rsid w:val="00C024FA"/>
    <w:rsid w:val="00C025C4"/>
    <w:rsid w:val="00C0287A"/>
    <w:rsid w:val="00C0293E"/>
    <w:rsid w:val="00C02A82"/>
    <w:rsid w:val="00C02B25"/>
    <w:rsid w:val="00C02B9E"/>
    <w:rsid w:val="00C0310A"/>
    <w:rsid w:val="00C0349D"/>
    <w:rsid w:val="00C03630"/>
    <w:rsid w:val="00C038D9"/>
    <w:rsid w:val="00C03A2A"/>
    <w:rsid w:val="00C03A31"/>
    <w:rsid w:val="00C03B3C"/>
    <w:rsid w:val="00C03FED"/>
    <w:rsid w:val="00C042D3"/>
    <w:rsid w:val="00C0443F"/>
    <w:rsid w:val="00C04665"/>
    <w:rsid w:val="00C046B2"/>
    <w:rsid w:val="00C0485B"/>
    <w:rsid w:val="00C04C20"/>
    <w:rsid w:val="00C05128"/>
    <w:rsid w:val="00C054F2"/>
    <w:rsid w:val="00C056AC"/>
    <w:rsid w:val="00C05781"/>
    <w:rsid w:val="00C05BAB"/>
    <w:rsid w:val="00C05C5E"/>
    <w:rsid w:val="00C05CE2"/>
    <w:rsid w:val="00C05CFB"/>
    <w:rsid w:val="00C06445"/>
    <w:rsid w:val="00C06A1C"/>
    <w:rsid w:val="00C0771B"/>
    <w:rsid w:val="00C077B1"/>
    <w:rsid w:val="00C077C4"/>
    <w:rsid w:val="00C078BC"/>
    <w:rsid w:val="00C07B14"/>
    <w:rsid w:val="00C07BEF"/>
    <w:rsid w:val="00C07BFF"/>
    <w:rsid w:val="00C07C1F"/>
    <w:rsid w:val="00C07C8C"/>
    <w:rsid w:val="00C07D80"/>
    <w:rsid w:val="00C10100"/>
    <w:rsid w:val="00C102A7"/>
    <w:rsid w:val="00C10507"/>
    <w:rsid w:val="00C106F0"/>
    <w:rsid w:val="00C107CE"/>
    <w:rsid w:val="00C10FE2"/>
    <w:rsid w:val="00C11120"/>
    <w:rsid w:val="00C11185"/>
    <w:rsid w:val="00C114F4"/>
    <w:rsid w:val="00C116C4"/>
    <w:rsid w:val="00C11741"/>
    <w:rsid w:val="00C11792"/>
    <w:rsid w:val="00C11A24"/>
    <w:rsid w:val="00C11AB2"/>
    <w:rsid w:val="00C11C53"/>
    <w:rsid w:val="00C1242D"/>
    <w:rsid w:val="00C125BB"/>
    <w:rsid w:val="00C12A51"/>
    <w:rsid w:val="00C12A5D"/>
    <w:rsid w:val="00C13015"/>
    <w:rsid w:val="00C1344B"/>
    <w:rsid w:val="00C13DEF"/>
    <w:rsid w:val="00C13F19"/>
    <w:rsid w:val="00C14229"/>
    <w:rsid w:val="00C145B3"/>
    <w:rsid w:val="00C14761"/>
    <w:rsid w:val="00C14920"/>
    <w:rsid w:val="00C149D0"/>
    <w:rsid w:val="00C14BBC"/>
    <w:rsid w:val="00C14BC9"/>
    <w:rsid w:val="00C15242"/>
    <w:rsid w:val="00C1591E"/>
    <w:rsid w:val="00C15A96"/>
    <w:rsid w:val="00C15F4F"/>
    <w:rsid w:val="00C15F74"/>
    <w:rsid w:val="00C163ED"/>
    <w:rsid w:val="00C16409"/>
    <w:rsid w:val="00C1657E"/>
    <w:rsid w:val="00C1667A"/>
    <w:rsid w:val="00C1667B"/>
    <w:rsid w:val="00C166E3"/>
    <w:rsid w:val="00C16980"/>
    <w:rsid w:val="00C169C6"/>
    <w:rsid w:val="00C16DF8"/>
    <w:rsid w:val="00C16E5F"/>
    <w:rsid w:val="00C16E7F"/>
    <w:rsid w:val="00C17235"/>
    <w:rsid w:val="00C1724A"/>
    <w:rsid w:val="00C173C2"/>
    <w:rsid w:val="00C17519"/>
    <w:rsid w:val="00C1773D"/>
    <w:rsid w:val="00C17768"/>
    <w:rsid w:val="00C17918"/>
    <w:rsid w:val="00C17985"/>
    <w:rsid w:val="00C17B86"/>
    <w:rsid w:val="00C17DF6"/>
    <w:rsid w:val="00C17E32"/>
    <w:rsid w:val="00C17E3A"/>
    <w:rsid w:val="00C17E7B"/>
    <w:rsid w:val="00C17E9F"/>
    <w:rsid w:val="00C20245"/>
    <w:rsid w:val="00C203CD"/>
    <w:rsid w:val="00C20799"/>
    <w:rsid w:val="00C20A29"/>
    <w:rsid w:val="00C20C17"/>
    <w:rsid w:val="00C20D66"/>
    <w:rsid w:val="00C2112D"/>
    <w:rsid w:val="00C2136A"/>
    <w:rsid w:val="00C21652"/>
    <w:rsid w:val="00C21781"/>
    <w:rsid w:val="00C21A59"/>
    <w:rsid w:val="00C21BF8"/>
    <w:rsid w:val="00C21C23"/>
    <w:rsid w:val="00C21DE2"/>
    <w:rsid w:val="00C22AAA"/>
    <w:rsid w:val="00C22BCB"/>
    <w:rsid w:val="00C22DEF"/>
    <w:rsid w:val="00C22F16"/>
    <w:rsid w:val="00C22F3F"/>
    <w:rsid w:val="00C234CF"/>
    <w:rsid w:val="00C2358A"/>
    <w:rsid w:val="00C2382C"/>
    <w:rsid w:val="00C238A5"/>
    <w:rsid w:val="00C23C28"/>
    <w:rsid w:val="00C23CAF"/>
    <w:rsid w:val="00C23E79"/>
    <w:rsid w:val="00C23F38"/>
    <w:rsid w:val="00C242F1"/>
    <w:rsid w:val="00C246EE"/>
    <w:rsid w:val="00C24B7D"/>
    <w:rsid w:val="00C24E25"/>
    <w:rsid w:val="00C24F44"/>
    <w:rsid w:val="00C24FDC"/>
    <w:rsid w:val="00C25056"/>
    <w:rsid w:val="00C254D1"/>
    <w:rsid w:val="00C25541"/>
    <w:rsid w:val="00C2580C"/>
    <w:rsid w:val="00C258C8"/>
    <w:rsid w:val="00C259A9"/>
    <w:rsid w:val="00C25A31"/>
    <w:rsid w:val="00C26045"/>
    <w:rsid w:val="00C264B5"/>
    <w:rsid w:val="00C26506"/>
    <w:rsid w:val="00C2662A"/>
    <w:rsid w:val="00C2663A"/>
    <w:rsid w:val="00C26746"/>
    <w:rsid w:val="00C267DA"/>
    <w:rsid w:val="00C268F8"/>
    <w:rsid w:val="00C26E50"/>
    <w:rsid w:val="00C26E56"/>
    <w:rsid w:val="00C2720B"/>
    <w:rsid w:val="00C2727D"/>
    <w:rsid w:val="00C273F8"/>
    <w:rsid w:val="00C273FD"/>
    <w:rsid w:val="00C275A6"/>
    <w:rsid w:val="00C2767E"/>
    <w:rsid w:val="00C27938"/>
    <w:rsid w:val="00C27C81"/>
    <w:rsid w:val="00C27E85"/>
    <w:rsid w:val="00C3029B"/>
    <w:rsid w:val="00C305D9"/>
    <w:rsid w:val="00C30AF2"/>
    <w:rsid w:val="00C30DD6"/>
    <w:rsid w:val="00C30EB7"/>
    <w:rsid w:val="00C31195"/>
    <w:rsid w:val="00C313B7"/>
    <w:rsid w:val="00C314A2"/>
    <w:rsid w:val="00C314E6"/>
    <w:rsid w:val="00C320EA"/>
    <w:rsid w:val="00C327E4"/>
    <w:rsid w:val="00C32DAB"/>
    <w:rsid w:val="00C32EC5"/>
    <w:rsid w:val="00C32FA5"/>
    <w:rsid w:val="00C331BB"/>
    <w:rsid w:val="00C331D4"/>
    <w:rsid w:val="00C332ED"/>
    <w:rsid w:val="00C33371"/>
    <w:rsid w:val="00C33469"/>
    <w:rsid w:val="00C33666"/>
    <w:rsid w:val="00C337E8"/>
    <w:rsid w:val="00C33822"/>
    <w:rsid w:val="00C33A7A"/>
    <w:rsid w:val="00C33AA4"/>
    <w:rsid w:val="00C33B04"/>
    <w:rsid w:val="00C34073"/>
    <w:rsid w:val="00C343D8"/>
    <w:rsid w:val="00C3448E"/>
    <w:rsid w:val="00C3452D"/>
    <w:rsid w:val="00C346E3"/>
    <w:rsid w:val="00C34768"/>
    <w:rsid w:val="00C349AB"/>
    <w:rsid w:val="00C349EF"/>
    <w:rsid w:val="00C34A25"/>
    <w:rsid w:val="00C34B53"/>
    <w:rsid w:val="00C34D51"/>
    <w:rsid w:val="00C34EF4"/>
    <w:rsid w:val="00C3529B"/>
    <w:rsid w:val="00C355DC"/>
    <w:rsid w:val="00C359EC"/>
    <w:rsid w:val="00C35EBA"/>
    <w:rsid w:val="00C36028"/>
    <w:rsid w:val="00C363AE"/>
    <w:rsid w:val="00C36689"/>
    <w:rsid w:val="00C3683B"/>
    <w:rsid w:val="00C3685D"/>
    <w:rsid w:val="00C368DB"/>
    <w:rsid w:val="00C36900"/>
    <w:rsid w:val="00C36ABB"/>
    <w:rsid w:val="00C36BBD"/>
    <w:rsid w:val="00C36E70"/>
    <w:rsid w:val="00C36E8A"/>
    <w:rsid w:val="00C37468"/>
    <w:rsid w:val="00C375FA"/>
    <w:rsid w:val="00C37C78"/>
    <w:rsid w:val="00C37F6D"/>
    <w:rsid w:val="00C40378"/>
    <w:rsid w:val="00C40462"/>
    <w:rsid w:val="00C40491"/>
    <w:rsid w:val="00C4077C"/>
    <w:rsid w:val="00C40B7D"/>
    <w:rsid w:val="00C40BD7"/>
    <w:rsid w:val="00C40CF4"/>
    <w:rsid w:val="00C411A3"/>
    <w:rsid w:val="00C41395"/>
    <w:rsid w:val="00C41403"/>
    <w:rsid w:val="00C41708"/>
    <w:rsid w:val="00C41740"/>
    <w:rsid w:val="00C419FF"/>
    <w:rsid w:val="00C41A0F"/>
    <w:rsid w:val="00C41F42"/>
    <w:rsid w:val="00C4208E"/>
    <w:rsid w:val="00C4223D"/>
    <w:rsid w:val="00C4228E"/>
    <w:rsid w:val="00C4231C"/>
    <w:rsid w:val="00C427EF"/>
    <w:rsid w:val="00C42AC4"/>
    <w:rsid w:val="00C42AC5"/>
    <w:rsid w:val="00C42C3B"/>
    <w:rsid w:val="00C42D48"/>
    <w:rsid w:val="00C4306C"/>
    <w:rsid w:val="00C4312B"/>
    <w:rsid w:val="00C4338C"/>
    <w:rsid w:val="00C43440"/>
    <w:rsid w:val="00C43487"/>
    <w:rsid w:val="00C43604"/>
    <w:rsid w:val="00C43720"/>
    <w:rsid w:val="00C43D8A"/>
    <w:rsid w:val="00C4418C"/>
    <w:rsid w:val="00C44233"/>
    <w:rsid w:val="00C442E4"/>
    <w:rsid w:val="00C443B5"/>
    <w:rsid w:val="00C443F2"/>
    <w:rsid w:val="00C4442F"/>
    <w:rsid w:val="00C4445E"/>
    <w:rsid w:val="00C445A0"/>
    <w:rsid w:val="00C44662"/>
    <w:rsid w:val="00C446B6"/>
    <w:rsid w:val="00C44A6E"/>
    <w:rsid w:val="00C44A85"/>
    <w:rsid w:val="00C44BC1"/>
    <w:rsid w:val="00C44C11"/>
    <w:rsid w:val="00C451AA"/>
    <w:rsid w:val="00C45308"/>
    <w:rsid w:val="00C4566B"/>
    <w:rsid w:val="00C45674"/>
    <w:rsid w:val="00C457C8"/>
    <w:rsid w:val="00C45833"/>
    <w:rsid w:val="00C458BA"/>
    <w:rsid w:val="00C45BF3"/>
    <w:rsid w:val="00C45CD5"/>
    <w:rsid w:val="00C45E9E"/>
    <w:rsid w:val="00C460D6"/>
    <w:rsid w:val="00C4622F"/>
    <w:rsid w:val="00C46689"/>
    <w:rsid w:val="00C466B6"/>
    <w:rsid w:val="00C46924"/>
    <w:rsid w:val="00C46B58"/>
    <w:rsid w:val="00C46C14"/>
    <w:rsid w:val="00C46CA9"/>
    <w:rsid w:val="00C46CD6"/>
    <w:rsid w:val="00C46E64"/>
    <w:rsid w:val="00C46F53"/>
    <w:rsid w:val="00C470C2"/>
    <w:rsid w:val="00C47314"/>
    <w:rsid w:val="00C47364"/>
    <w:rsid w:val="00C47531"/>
    <w:rsid w:val="00C475DE"/>
    <w:rsid w:val="00C476CD"/>
    <w:rsid w:val="00C47715"/>
    <w:rsid w:val="00C47769"/>
    <w:rsid w:val="00C47901"/>
    <w:rsid w:val="00C47A9A"/>
    <w:rsid w:val="00C47B14"/>
    <w:rsid w:val="00C47ED8"/>
    <w:rsid w:val="00C50041"/>
    <w:rsid w:val="00C50083"/>
    <w:rsid w:val="00C5010F"/>
    <w:rsid w:val="00C5031D"/>
    <w:rsid w:val="00C5044B"/>
    <w:rsid w:val="00C5055E"/>
    <w:rsid w:val="00C50575"/>
    <w:rsid w:val="00C505C5"/>
    <w:rsid w:val="00C5085A"/>
    <w:rsid w:val="00C508EB"/>
    <w:rsid w:val="00C50A83"/>
    <w:rsid w:val="00C50C86"/>
    <w:rsid w:val="00C50D59"/>
    <w:rsid w:val="00C50FEA"/>
    <w:rsid w:val="00C512F0"/>
    <w:rsid w:val="00C51779"/>
    <w:rsid w:val="00C51BD4"/>
    <w:rsid w:val="00C51C88"/>
    <w:rsid w:val="00C51DCF"/>
    <w:rsid w:val="00C52078"/>
    <w:rsid w:val="00C527B4"/>
    <w:rsid w:val="00C529AD"/>
    <w:rsid w:val="00C52A20"/>
    <w:rsid w:val="00C52B37"/>
    <w:rsid w:val="00C52C09"/>
    <w:rsid w:val="00C52DC0"/>
    <w:rsid w:val="00C52F28"/>
    <w:rsid w:val="00C53163"/>
    <w:rsid w:val="00C53293"/>
    <w:rsid w:val="00C535F0"/>
    <w:rsid w:val="00C53823"/>
    <w:rsid w:val="00C53905"/>
    <w:rsid w:val="00C53907"/>
    <w:rsid w:val="00C539AF"/>
    <w:rsid w:val="00C53C50"/>
    <w:rsid w:val="00C53D8C"/>
    <w:rsid w:val="00C53D9C"/>
    <w:rsid w:val="00C53EAD"/>
    <w:rsid w:val="00C54092"/>
    <w:rsid w:val="00C5411B"/>
    <w:rsid w:val="00C5412B"/>
    <w:rsid w:val="00C541AB"/>
    <w:rsid w:val="00C54336"/>
    <w:rsid w:val="00C5446A"/>
    <w:rsid w:val="00C544A2"/>
    <w:rsid w:val="00C54607"/>
    <w:rsid w:val="00C549FD"/>
    <w:rsid w:val="00C54B08"/>
    <w:rsid w:val="00C54BE2"/>
    <w:rsid w:val="00C55083"/>
    <w:rsid w:val="00C551E7"/>
    <w:rsid w:val="00C554B5"/>
    <w:rsid w:val="00C55568"/>
    <w:rsid w:val="00C559C4"/>
    <w:rsid w:val="00C55A7C"/>
    <w:rsid w:val="00C55DFE"/>
    <w:rsid w:val="00C561F6"/>
    <w:rsid w:val="00C56325"/>
    <w:rsid w:val="00C563AB"/>
    <w:rsid w:val="00C56810"/>
    <w:rsid w:val="00C57080"/>
    <w:rsid w:val="00C571AE"/>
    <w:rsid w:val="00C5723F"/>
    <w:rsid w:val="00C572E1"/>
    <w:rsid w:val="00C57308"/>
    <w:rsid w:val="00C573EC"/>
    <w:rsid w:val="00C5765D"/>
    <w:rsid w:val="00C57783"/>
    <w:rsid w:val="00C57970"/>
    <w:rsid w:val="00C57D55"/>
    <w:rsid w:val="00C57D93"/>
    <w:rsid w:val="00C600F5"/>
    <w:rsid w:val="00C60176"/>
    <w:rsid w:val="00C60344"/>
    <w:rsid w:val="00C603CB"/>
    <w:rsid w:val="00C603EA"/>
    <w:rsid w:val="00C604E8"/>
    <w:rsid w:val="00C606B5"/>
    <w:rsid w:val="00C6073A"/>
    <w:rsid w:val="00C609D8"/>
    <w:rsid w:val="00C60AE7"/>
    <w:rsid w:val="00C60C18"/>
    <w:rsid w:val="00C6100D"/>
    <w:rsid w:val="00C6126B"/>
    <w:rsid w:val="00C6129E"/>
    <w:rsid w:val="00C6150D"/>
    <w:rsid w:val="00C61BD7"/>
    <w:rsid w:val="00C61C84"/>
    <w:rsid w:val="00C61F20"/>
    <w:rsid w:val="00C61F82"/>
    <w:rsid w:val="00C62158"/>
    <w:rsid w:val="00C6236F"/>
    <w:rsid w:val="00C627DC"/>
    <w:rsid w:val="00C62B23"/>
    <w:rsid w:val="00C62B2D"/>
    <w:rsid w:val="00C62BEA"/>
    <w:rsid w:val="00C62C79"/>
    <w:rsid w:val="00C62DC4"/>
    <w:rsid w:val="00C62DF2"/>
    <w:rsid w:val="00C632BB"/>
    <w:rsid w:val="00C63318"/>
    <w:rsid w:val="00C634D8"/>
    <w:rsid w:val="00C635A4"/>
    <w:rsid w:val="00C63883"/>
    <w:rsid w:val="00C63955"/>
    <w:rsid w:val="00C63AE9"/>
    <w:rsid w:val="00C63D7C"/>
    <w:rsid w:val="00C63ED9"/>
    <w:rsid w:val="00C63F5B"/>
    <w:rsid w:val="00C6409C"/>
    <w:rsid w:val="00C642BF"/>
    <w:rsid w:val="00C6436D"/>
    <w:rsid w:val="00C64A90"/>
    <w:rsid w:val="00C65194"/>
    <w:rsid w:val="00C65726"/>
    <w:rsid w:val="00C658E8"/>
    <w:rsid w:val="00C65D05"/>
    <w:rsid w:val="00C65E1A"/>
    <w:rsid w:val="00C65F0B"/>
    <w:rsid w:val="00C65F2F"/>
    <w:rsid w:val="00C65F32"/>
    <w:rsid w:val="00C660E7"/>
    <w:rsid w:val="00C662D3"/>
    <w:rsid w:val="00C667B6"/>
    <w:rsid w:val="00C66982"/>
    <w:rsid w:val="00C66990"/>
    <w:rsid w:val="00C66997"/>
    <w:rsid w:val="00C66B60"/>
    <w:rsid w:val="00C66BA6"/>
    <w:rsid w:val="00C66BD7"/>
    <w:rsid w:val="00C66C5C"/>
    <w:rsid w:val="00C66D6F"/>
    <w:rsid w:val="00C670B1"/>
    <w:rsid w:val="00C672BC"/>
    <w:rsid w:val="00C67351"/>
    <w:rsid w:val="00C675C4"/>
    <w:rsid w:val="00C67F4F"/>
    <w:rsid w:val="00C67F8E"/>
    <w:rsid w:val="00C7018E"/>
    <w:rsid w:val="00C70495"/>
    <w:rsid w:val="00C7049B"/>
    <w:rsid w:val="00C704A7"/>
    <w:rsid w:val="00C7076A"/>
    <w:rsid w:val="00C7077F"/>
    <w:rsid w:val="00C707EF"/>
    <w:rsid w:val="00C70A26"/>
    <w:rsid w:val="00C70CC2"/>
    <w:rsid w:val="00C70CE2"/>
    <w:rsid w:val="00C7137C"/>
    <w:rsid w:val="00C71393"/>
    <w:rsid w:val="00C7173B"/>
    <w:rsid w:val="00C71970"/>
    <w:rsid w:val="00C725F3"/>
    <w:rsid w:val="00C72603"/>
    <w:rsid w:val="00C727F0"/>
    <w:rsid w:val="00C72BD2"/>
    <w:rsid w:val="00C72C39"/>
    <w:rsid w:val="00C72D0A"/>
    <w:rsid w:val="00C72DEA"/>
    <w:rsid w:val="00C72E34"/>
    <w:rsid w:val="00C73076"/>
    <w:rsid w:val="00C7338E"/>
    <w:rsid w:val="00C7344F"/>
    <w:rsid w:val="00C736AB"/>
    <w:rsid w:val="00C7376A"/>
    <w:rsid w:val="00C7378B"/>
    <w:rsid w:val="00C73CB5"/>
    <w:rsid w:val="00C7442F"/>
    <w:rsid w:val="00C7446C"/>
    <w:rsid w:val="00C7452E"/>
    <w:rsid w:val="00C745A3"/>
    <w:rsid w:val="00C745FD"/>
    <w:rsid w:val="00C74689"/>
    <w:rsid w:val="00C747DC"/>
    <w:rsid w:val="00C749D2"/>
    <w:rsid w:val="00C749D5"/>
    <w:rsid w:val="00C74BF0"/>
    <w:rsid w:val="00C74D99"/>
    <w:rsid w:val="00C74FCA"/>
    <w:rsid w:val="00C750C0"/>
    <w:rsid w:val="00C753B8"/>
    <w:rsid w:val="00C7554D"/>
    <w:rsid w:val="00C756F5"/>
    <w:rsid w:val="00C7580F"/>
    <w:rsid w:val="00C75997"/>
    <w:rsid w:val="00C75AA7"/>
    <w:rsid w:val="00C75B19"/>
    <w:rsid w:val="00C75E41"/>
    <w:rsid w:val="00C75F52"/>
    <w:rsid w:val="00C75F95"/>
    <w:rsid w:val="00C76049"/>
    <w:rsid w:val="00C7611F"/>
    <w:rsid w:val="00C7613F"/>
    <w:rsid w:val="00C766C6"/>
    <w:rsid w:val="00C76BDA"/>
    <w:rsid w:val="00C76E2C"/>
    <w:rsid w:val="00C76F0F"/>
    <w:rsid w:val="00C77094"/>
    <w:rsid w:val="00C77186"/>
    <w:rsid w:val="00C77227"/>
    <w:rsid w:val="00C77388"/>
    <w:rsid w:val="00C77412"/>
    <w:rsid w:val="00C77925"/>
    <w:rsid w:val="00C77A1B"/>
    <w:rsid w:val="00C77C1D"/>
    <w:rsid w:val="00C77C93"/>
    <w:rsid w:val="00C77DB9"/>
    <w:rsid w:val="00C8002F"/>
    <w:rsid w:val="00C800AF"/>
    <w:rsid w:val="00C8010A"/>
    <w:rsid w:val="00C8037B"/>
    <w:rsid w:val="00C80513"/>
    <w:rsid w:val="00C80662"/>
    <w:rsid w:val="00C80689"/>
    <w:rsid w:val="00C806CE"/>
    <w:rsid w:val="00C8089C"/>
    <w:rsid w:val="00C80A2A"/>
    <w:rsid w:val="00C80B05"/>
    <w:rsid w:val="00C80B1E"/>
    <w:rsid w:val="00C80CDA"/>
    <w:rsid w:val="00C80E41"/>
    <w:rsid w:val="00C80FA8"/>
    <w:rsid w:val="00C8119C"/>
    <w:rsid w:val="00C81538"/>
    <w:rsid w:val="00C81768"/>
    <w:rsid w:val="00C8178E"/>
    <w:rsid w:val="00C81962"/>
    <w:rsid w:val="00C819AC"/>
    <w:rsid w:val="00C81AD0"/>
    <w:rsid w:val="00C81B44"/>
    <w:rsid w:val="00C81D61"/>
    <w:rsid w:val="00C8201A"/>
    <w:rsid w:val="00C8218F"/>
    <w:rsid w:val="00C821C9"/>
    <w:rsid w:val="00C821DB"/>
    <w:rsid w:val="00C824A9"/>
    <w:rsid w:val="00C82668"/>
    <w:rsid w:val="00C82707"/>
    <w:rsid w:val="00C82726"/>
    <w:rsid w:val="00C82974"/>
    <w:rsid w:val="00C82A36"/>
    <w:rsid w:val="00C82D99"/>
    <w:rsid w:val="00C82FF5"/>
    <w:rsid w:val="00C8302B"/>
    <w:rsid w:val="00C831C8"/>
    <w:rsid w:val="00C83278"/>
    <w:rsid w:val="00C83336"/>
    <w:rsid w:val="00C8339F"/>
    <w:rsid w:val="00C83526"/>
    <w:rsid w:val="00C8389D"/>
    <w:rsid w:val="00C83A26"/>
    <w:rsid w:val="00C83A57"/>
    <w:rsid w:val="00C83BDB"/>
    <w:rsid w:val="00C83C75"/>
    <w:rsid w:val="00C83C9E"/>
    <w:rsid w:val="00C83F79"/>
    <w:rsid w:val="00C84033"/>
    <w:rsid w:val="00C84258"/>
    <w:rsid w:val="00C8444C"/>
    <w:rsid w:val="00C84826"/>
    <w:rsid w:val="00C848F1"/>
    <w:rsid w:val="00C84917"/>
    <w:rsid w:val="00C84C5A"/>
    <w:rsid w:val="00C84CB6"/>
    <w:rsid w:val="00C84CDF"/>
    <w:rsid w:val="00C8514E"/>
    <w:rsid w:val="00C851EA"/>
    <w:rsid w:val="00C85277"/>
    <w:rsid w:val="00C8563D"/>
    <w:rsid w:val="00C858A9"/>
    <w:rsid w:val="00C85F00"/>
    <w:rsid w:val="00C85FCD"/>
    <w:rsid w:val="00C8609F"/>
    <w:rsid w:val="00C8618C"/>
    <w:rsid w:val="00C864EA"/>
    <w:rsid w:val="00C865A6"/>
    <w:rsid w:val="00C86871"/>
    <w:rsid w:val="00C868EA"/>
    <w:rsid w:val="00C8694E"/>
    <w:rsid w:val="00C86A1D"/>
    <w:rsid w:val="00C86C23"/>
    <w:rsid w:val="00C86DE8"/>
    <w:rsid w:val="00C87150"/>
    <w:rsid w:val="00C87154"/>
    <w:rsid w:val="00C87245"/>
    <w:rsid w:val="00C87303"/>
    <w:rsid w:val="00C87516"/>
    <w:rsid w:val="00C87592"/>
    <w:rsid w:val="00C8762D"/>
    <w:rsid w:val="00C87857"/>
    <w:rsid w:val="00C87997"/>
    <w:rsid w:val="00C879C8"/>
    <w:rsid w:val="00C87DCA"/>
    <w:rsid w:val="00C87E24"/>
    <w:rsid w:val="00C87E95"/>
    <w:rsid w:val="00C90291"/>
    <w:rsid w:val="00C906EA"/>
    <w:rsid w:val="00C907CB"/>
    <w:rsid w:val="00C90ABF"/>
    <w:rsid w:val="00C90CA9"/>
    <w:rsid w:val="00C90CC7"/>
    <w:rsid w:val="00C90F14"/>
    <w:rsid w:val="00C90F71"/>
    <w:rsid w:val="00C90FFF"/>
    <w:rsid w:val="00C9128F"/>
    <w:rsid w:val="00C917DC"/>
    <w:rsid w:val="00C917FA"/>
    <w:rsid w:val="00C919D1"/>
    <w:rsid w:val="00C91B0D"/>
    <w:rsid w:val="00C91B71"/>
    <w:rsid w:val="00C91E24"/>
    <w:rsid w:val="00C91EAF"/>
    <w:rsid w:val="00C91F7A"/>
    <w:rsid w:val="00C91FBC"/>
    <w:rsid w:val="00C924A2"/>
    <w:rsid w:val="00C924E5"/>
    <w:rsid w:val="00C9276A"/>
    <w:rsid w:val="00C928FA"/>
    <w:rsid w:val="00C92957"/>
    <w:rsid w:val="00C92B01"/>
    <w:rsid w:val="00C92E97"/>
    <w:rsid w:val="00C92FD3"/>
    <w:rsid w:val="00C9315F"/>
    <w:rsid w:val="00C93178"/>
    <w:rsid w:val="00C932EF"/>
    <w:rsid w:val="00C9383D"/>
    <w:rsid w:val="00C93BFA"/>
    <w:rsid w:val="00C93D19"/>
    <w:rsid w:val="00C93D69"/>
    <w:rsid w:val="00C94329"/>
    <w:rsid w:val="00C9448D"/>
    <w:rsid w:val="00C946A2"/>
    <w:rsid w:val="00C94AE5"/>
    <w:rsid w:val="00C94EB2"/>
    <w:rsid w:val="00C94EFA"/>
    <w:rsid w:val="00C94F8F"/>
    <w:rsid w:val="00C94FD1"/>
    <w:rsid w:val="00C95192"/>
    <w:rsid w:val="00C952FC"/>
    <w:rsid w:val="00C953F1"/>
    <w:rsid w:val="00C956D7"/>
    <w:rsid w:val="00C9572C"/>
    <w:rsid w:val="00C95E90"/>
    <w:rsid w:val="00C95EBE"/>
    <w:rsid w:val="00C96217"/>
    <w:rsid w:val="00C96224"/>
    <w:rsid w:val="00C967CF"/>
    <w:rsid w:val="00C967D6"/>
    <w:rsid w:val="00C96B57"/>
    <w:rsid w:val="00C96DFD"/>
    <w:rsid w:val="00C96EE3"/>
    <w:rsid w:val="00C96F19"/>
    <w:rsid w:val="00C9706C"/>
    <w:rsid w:val="00C97203"/>
    <w:rsid w:val="00C97519"/>
    <w:rsid w:val="00C976E5"/>
    <w:rsid w:val="00C977CF"/>
    <w:rsid w:val="00C97807"/>
    <w:rsid w:val="00C97B0A"/>
    <w:rsid w:val="00C97D62"/>
    <w:rsid w:val="00C97E93"/>
    <w:rsid w:val="00CA0A12"/>
    <w:rsid w:val="00CA0FAC"/>
    <w:rsid w:val="00CA1007"/>
    <w:rsid w:val="00CA1051"/>
    <w:rsid w:val="00CA11D0"/>
    <w:rsid w:val="00CA11DE"/>
    <w:rsid w:val="00CA1227"/>
    <w:rsid w:val="00CA13B1"/>
    <w:rsid w:val="00CA1480"/>
    <w:rsid w:val="00CA15F8"/>
    <w:rsid w:val="00CA161A"/>
    <w:rsid w:val="00CA169C"/>
    <w:rsid w:val="00CA173C"/>
    <w:rsid w:val="00CA1A44"/>
    <w:rsid w:val="00CA1B1C"/>
    <w:rsid w:val="00CA1C97"/>
    <w:rsid w:val="00CA1DE5"/>
    <w:rsid w:val="00CA1E59"/>
    <w:rsid w:val="00CA234D"/>
    <w:rsid w:val="00CA25AE"/>
    <w:rsid w:val="00CA2658"/>
    <w:rsid w:val="00CA26DE"/>
    <w:rsid w:val="00CA27E6"/>
    <w:rsid w:val="00CA2AE7"/>
    <w:rsid w:val="00CA2D20"/>
    <w:rsid w:val="00CA2DA8"/>
    <w:rsid w:val="00CA33C0"/>
    <w:rsid w:val="00CA36CC"/>
    <w:rsid w:val="00CA39EE"/>
    <w:rsid w:val="00CA3C41"/>
    <w:rsid w:val="00CA3D5A"/>
    <w:rsid w:val="00CA3F61"/>
    <w:rsid w:val="00CA43F9"/>
    <w:rsid w:val="00CA4906"/>
    <w:rsid w:val="00CA4953"/>
    <w:rsid w:val="00CA4980"/>
    <w:rsid w:val="00CA4C0B"/>
    <w:rsid w:val="00CA4D51"/>
    <w:rsid w:val="00CA4F2B"/>
    <w:rsid w:val="00CA4F83"/>
    <w:rsid w:val="00CA51B5"/>
    <w:rsid w:val="00CA51C9"/>
    <w:rsid w:val="00CA5439"/>
    <w:rsid w:val="00CA5542"/>
    <w:rsid w:val="00CA5550"/>
    <w:rsid w:val="00CA567E"/>
    <w:rsid w:val="00CA5BDB"/>
    <w:rsid w:val="00CA5E86"/>
    <w:rsid w:val="00CA5F04"/>
    <w:rsid w:val="00CA60E4"/>
    <w:rsid w:val="00CA6202"/>
    <w:rsid w:val="00CA6322"/>
    <w:rsid w:val="00CA64E1"/>
    <w:rsid w:val="00CA6599"/>
    <w:rsid w:val="00CA6A11"/>
    <w:rsid w:val="00CA6C71"/>
    <w:rsid w:val="00CA6E14"/>
    <w:rsid w:val="00CA7096"/>
    <w:rsid w:val="00CA7169"/>
    <w:rsid w:val="00CA72AD"/>
    <w:rsid w:val="00CA746F"/>
    <w:rsid w:val="00CA7833"/>
    <w:rsid w:val="00CA7BEF"/>
    <w:rsid w:val="00CA7DE6"/>
    <w:rsid w:val="00CB011A"/>
    <w:rsid w:val="00CB08D6"/>
    <w:rsid w:val="00CB0D06"/>
    <w:rsid w:val="00CB0D35"/>
    <w:rsid w:val="00CB0EB6"/>
    <w:rsid w:val="00CB0F5E"/>
    <w:rsid w:val="00CB1157"/>
    <w:rsid w:val="00CB12E5"/>
    <w:rsid w:val="00CB1424"/>
    <w:rsid w:val="00CB1447"/>
    <w:rsid w:val="00CB1489"/>
    <w:rsid w:val="00CB1875"/>
    <w:rsid w:val="00CB19E1"/>
    <w:rsid w:val="00CB1B7B"/>
    <w:rsid w:val="00CB1B8E"/>
    <w:rsid w:val="00CB1EFE"/>
    <w:rsid w:val="00CB1F1B"/>
    <w:rsid w:val="00CB22FA"/>
    <w:rsid w:val="00CB2403"/>
    <w:rsid w:val="00CB2573"/>
    <w:rsid w:val="00CB2660"/>
    <w:rsid w:val="00CB27BF"/>
    <w:rsid w:val="00CB27FE"/>
    <w:rsid w:val="00CB28B9"/>
    <w:rsid w:val="00CB2AA9"/>
    <w:rsid w:val="00CB2C52"/>
    <w:rsid w:val="00CB2C9F"/>
    <w:rsid w:val="00CB3612"/>
    <w:rsid w:val="00CB36B8"/>
    <w:rsid w:val="00CB3888"/>
    <w:rsid w:val="00CB3CC7"/>
    <w:rsid w:val="00CB3E34"/>
    <w:rsid w:val="00CB3F87"/>
    <w:rsid w:val="00CB401D"/>
    <w:rsid w:val="00CB47DC"/>
    <w:rsid w:val="00CB4836"/>
    <w:rsid w:val="00CB493D"/>
    <w:rsid w:val="00CB4CBC"/>
    <w:rsid w:val="00CB4CD5"/>
    <w:rsid w:val="00CB5089"/>
    <w:rsid w:val="00CB5334"/>
    <w:rsid w:val="00CB57D5"/>
    <w:rsid w:val="00CB584E"/>
    <w:rsid w:val="00CB5A70"/>
    <w:rsid w:val="00CB5D34"/>
    <w:rsid w:val="00CB5F98"/>
    <w:rsid w:val="00CB610D"/>
    <w:rsid w:val="00CB6550"/>
    <w:rsid w:val="00CB6582"/>
    <w:rsid w:val="00CB6D06"/>
    <w:rsid w:val="00CB6F6C"/>
    <w:rsid w:val="00CB71AC"/>
    <w:rsid w:val="00CB742E"/>
    <w:rsid w:val="00CB7497"/>
    <w:rsid w:val="00CB751D"/>
    <w:rsid w:val="00CB7546"/>
    <w:rsid w:val="00CB757D"/>
    <w:rsid w:val="00CB75C2"/>
    <w:rsid w:val="00CB75CB"/>
    <w:rsid w:val="00CB786B"/>
    <w:rsid w:val="00CB7D3D"/>
    <w:rsid w:val="00CB7EBD"/>
    <w:rsid w:val="00CB7FB8"/>
    <w:rsid w:val="00CB7FF1"/>
    <w:rsid w:val="00CC0153"/>
    <w:rsid w:val="00CC022F"/>
    <w:rsid w:val="00CC0280"/>
    <w:rsid w:val="00CC02CB"/>
    <w:rsid w:val="00CC05F7"/>
    <w:rsid w:val="00CC088C"/>
    <w:rsid w:val="00CC0A30"/>
    <w:rsid w:val="00CC0F32"/>
    <w:rsid w:val="00CC0FA8"/>
    <w:rsid w:val="00CC109B"/>
    <w:rsid w:val="00CC146B"/>
    <w:rsid w:val="00CC15BF"/>
    <w:rsid w:val="00CC15FB"/>
    <w:rsid w:val="00CC16FF"/>
    <w:rsid w:val="00CC17DC"/>
    <w:rsid w:val="00CC1B42"/>
    <w:rsid w:val="00CC1D49"/>
    <w:rsid w:val="00CC1EA9"/>
    <w:rsid w:val="00CC212E"/>
    <w:rsid w:val="00CC2230"/>
    <w:rsid w:val="00CC23CF"/>
    <w:rsid w:val="00CC27E8"/>
    <w:rsid w:val="00CC2A1E"/>
    <w:rsid w:val="00CC2B50"/>
    <w:rsid w:val="00CC2D24"/>
    <w:rsid w:val="00CC2FAA"/>
    <w:rsid w:val="00CC3193"/>
    <w:rsid w:val="00CC3288"/>
    <w:rsid w:val="00CC3485"/>
    <w:rsid w:val="00CC3499"/>
    <w:rsid w:val="00CC3BE6"/>
    <w:rsid w:val="00CC3EA4"/>
    <w:rsid w:val="00CC41D2"/>
    <w:rsid w:val="00CC4449"/>
    <w:rsid w:val="00CC4789"/>
    <w:rsid w:val="00CC4CBF"/>
    <w:rsid w:val="00CC4CCC"/>
    <w:rsid w:val="00CC4E31"/>
    <w:rsid w:val="00CC5045"/>
    <w:rsid w:val="00CC5063"/>
    <w:rsid w:val="00CC5067"/>
    <w:rsid w:val="00CC5178"/>
    <w:rsid w:val="00CC58F4"/>
    <w:rsid w:val="00CC59CD"/>
    <w:rsid w:val="00CC5A2F"/>
    <w:rsid w:val="00CC5C2B"/>
    <w:rsid w:val="00CC5C54"/>
    <w:rsid w:val="00CC5C9E"/>
    <w:rsid w:val="00CC5D10"/>
    <w:rsid w:val="00CC5DCE"/>
    <w:rsid w:val="00CC5E33"/>
    <w:rsid w:val="00CC5E6B"/>
    <w:rsid w:val="00CC64DE"/>
    <w:rsid w:val="00CC6A80"/>
    <w:rsid w:val="00CC6F77"/>
    <w:rsid w:val="00CC70BB"/>
    <w:rsid w:val="00CC72C7"/>
    <w:rsid w:val="00CC72F6"/>
    <w:rsid w:val="00CC758C"/>
    <w:rsid w:val="00CC7633"/>
    <w:rsid w:val="00CC7B93"/>
    <w:rsid w:val="00CC7D47"/>
    <w:rsid w:val="00CD00DC"/>
    <w:rsid w:val="00CD016F"/>
    <w:rsid w:val="00CD01B5"/>
    <w:rsid w:val="00CD06A3"/>
    <w:rsid w:val="00CD0B45"/>
    <w:rsid w:val="00CD1237"/>
    <w:rsid w:val="00CD1281"/>
    <w:rsid w:val="00CD128C"/>
    <w:rsid w:val="00CD13A6"/>
    <w:rsid w:val="00CD1A44"/>
    <w:rsid w:val="00CD1AAF"/>
    <w:rsid w:val="00CD1D06"/>
    <w:rsid w:val="00CD1D7C"/>
    <w:rsid w:val="00CD257E"/>
    <w:rsid w:val="00CD26EC"/>
    <w:rsid w:val="00CD2782"/>
    <w:rsid w:val="00CD2A58"/>
    <w:rsid w:val="00CD2ADC"/>
    <w:rsid w:val="00CD2C26"/>
    <w:rsid w:val="00CD2C42"/>
    <w:rsid w:val="00CD2CCA"/>
    <w:rsid w:val="00CD2DA1"/>
    <w:rsid w:val="00CD2E74"/>
    <w:rsid w:val="00CD30EE"/>
    <w:rsid w:val="00CD3254"/>
    <w:rsid w:val="00CD3345"/>
    <w:rsid w:val="00CD342C"/>
    <w:rsid w:val="00CD34B2"/>
    <w:rsid w:val="00CD34EC"/>
    <w:rsid w:val="00CD35DF"/>
    <w:rsid w:val="00CD37D7"/>
    <w:rsid w:val="00CD38D8"/>
    <w:rsid w:val="00CD3BE0"/>
    <w:rsid w:val="00CD3C4A"/>
    <w:rsid w:val="00CD3D8C"/>
    <w:rsid w:val="00CD3E4D"/>
    <w:rsid w:val="00CD3EF1"/>
    <w:rsid w:val="00CD3F03"/>
    <w:rsid w:val="00CD4338"/>
    <w:rsid w:val="00CD4434"/>
    <w:rsid w:val="00CD44FF"/>
    <w:rsid w:val="00CD47AC"/>
    <w:rsid w:val="00CD49A4"/>
    <w:rsid w:val="00CD4B8B"/>
    <w:rsid w:val="00CD4C18"/>
    <w:rsid w:val="00CD4CFF"/>
    <w:rsid w:val="00CD4D41"/>
    <w:rsid w:val="00CD59B8"/>
    <w:rsid w:val="00CD5B1E"/>
    <w:rsid w:val="00CD5C5A"/>
    <w:rsid w:val="00CD5E0D"/>
    <w:rsid w:val="00CD6475"/>
    <w:rsid w:val="00CD6548"/>
    <w:rsid w:val="00CD6956"/>
    <w:rsid w:val="00CD6BBD"/>
    <w:rsid w:val="00CD6BF2"/>
    <w:rsid w:val="00CD6DB6"/>
    <w:rsid w:val="00CD6E65"/>
    <w:rsid w:val="00CD6ECE"/>
    <w:rsid w:val="00CD7266"/>
    <w:rsid w:val="00CD72C4"/>
    <w:rsid w:val="00CD7340"/>
    <w:rsid w:val="00CD755B"/>
    <w:rsid w:val="00CD7647"/>
    <w:rsid w:val="00CD79C1"/>
    <w:rsid w:val="00CD7BB3"/>
    <w:rsid w:val="00CD7C00"/>
    <w:rsid w:val="00CD7C99"/>
    <w:rsid w:val="00CD7E30"/>
    <w:rsid w:val="00CE006D"/>
    <w:rsid w:val="00CE06CB"/>
    <w:rsid w:val="00CE0923"/>
    <w:rsid w:val="00CE0B04"/>
    <w:rsid w:val="00CE0C8C"/>
    <w:rsid w:val="00CE10A5"/>
    <w:rsid w:val="00CE112E"/>
    <w:rsid w:val="00CE119E"/>
    <w:rsid w:val="00CE1425"/>
    <w:rsid w:val="00CE164C"/>
    <w:rsid w:val="00CE16BC"/>
    <w:rsid w:val="00CE17FE"/>
    <w:rsid w:val="00CE1AE7"/>
    <w:rsid w:val="00CE1BE9"/>
    <w:rsid w:val="00CE1D0F"/>
    <w:rsid w:val="00CE1E09"/>
    <w:rsid w:val="00CE1E84"/>
    <w:rsid w:val="00CE2147"/>
    <w:rsid w:val="00CE21F9"/>
    <w:rsid w:val="00CE22F0"/>
    <w:rsid w:val="00CE249A"/>
    <w:rsid w:val="00CE29D0"/>
    <w:rsid w:val="00CE2A6C"/>
    <w:rsid w:val="00CE2C2A"/>
    <w:rsid w:val="00CE2E0D"/>
    <w:rsid w:val="00CE2F35"/>
    <w:rsid w:val="00CE3214"/>
    <w:rsid w:val="00CE324D"/>
    <w:rsid w:val="00CE325F"/>
    <w:rsid w:val="00CE327B"/>
    <w:rsid w:val="00CE34CE"/>
    <w:rsid w:val="00CE359D"/>
    <w:rsid w:val="00CE365B"/>
    <w:rsid w:val="00CE3B08"/>
    <w:rsid w:val="00CE3BEA"/>
    <w:rsid w:val="00CE3C8B"/>
    <w:rsid w:val="00CE3F8C"/>
    <w:rsid w:val="00CE3FCC"/>
    <w:rsid w:val="00CE44E0"/>
    <w:rsid w:val="00CE44E5"/>
    <w:rsid w:val="00CE454D"/>
    <w:rsid w:val="00CE4580"/>
    <w:rsid w:val="00CE4918"/>
    <w:rsid w:val="00CE492F"/>
    <w:rsid w:val="00CE49C7"/>
    <w:rsid w:val="00CE4BB2"/>
    <w:rsid w:val="00CE4FC6"/>
    <w:rsid w:val="00CE52B2"/>
    <w:rsid w:val="00CE55E6"/>
    <w:rsid w:val="00CE5814"/>
    <w:rsid w:val="00CE5904"/>
    <w:rsid w:val="00CE5BEA"/>
    <w:rsid w:val="00CE5C58"/>
    <w:rsid w:val="00CE61A7"/>
    <w:rsid w:val="00CE64C2"/>
    <w:rsid w:val="00CE668B"/>
    <w:rsid w:val="00CE66C1"/>
    <w:rsid w:val="00CE6B0B"/>
    <w:rsid w:val="00CE7085"/>
    <w:rsid w:val="00CE72D0"/>
    <w:rsid w:val="00CE73ED"/>
    <w:rsid w:val="00CE7730"/>
    <w:rsid w:val="00CE78A3"/>
    <w:rsid w:val="00CE7B89"/>
    <w:rsid w:val="00CE7BCC"/>
    <w:rsid w:val="00CE7D13"/>
    <w:rsid w:val="00CE7EBA"/>
    <w:rsid w:val="00CE7F16"/>
    <w:rsid w:val="00CE7FC5"/>
    <w:rsid w:val="00CF02A5"/>
    <w:rsid w:val="00CF0535"/>
    <w:rsid w:val="00CF0618"/>
    <w:rsid w:val="00CF0657"/>
    <w:rsid w:val="00CF085B"/>
    <w:rsid w:val="00CF088C"/>
    <w:rsid w:val="00CF0961"/>
    <w:rsid w:val="00CF0996"/>
    <w:rsid w:val="00CF0A82"/>
    <w:rsid w:val="00CF0D42"/>
    <w:rsid w:val="00CF0DCF"/>
    <w:rsid w:val="00CF0F7F"/>
    <w:rsid w:val="00CF0F94"/>
    <w:rsid w:val="00CF0FC0"/>
    <w:rsid w:val="00CF0FEF"/>
    <w:rsid w:val="00CF0FF1"/>
    <w:rsid w:val="00CF1162"/>
    <w:rsid w:val="00CF12AB"/>
    <w:rsid w:val="00CF14BD"/>
    <w:rsid w:val="00CF1650"/>
    <w:rsid w:val="00CF17F3"/>
    <w:rsid w:val="00CF1867"/>
    <w:rsid w:val="00CF1EC3"/>
    <w:rsid w:val="00CF2444"/>
    <w:rsid w:val="00CF251B"/>
    <w:rsid w:val="00CF25BB"/>
    <w:rsid w:val="00CF2B15"/>
    <w:rsid w:val="00CF2B60"/>
    <w:rsid w:val="00CF2D0E"/>
    <w:rsid w:val="00CF2D61"/>
    <w:rsid w:val="00CF2DEA"/>
    <w:rsid w:val="00CF2F13"/>
    <w:rsid w:val="00CF3158"/>
    <w:rsid w:val="00CF33F6"/>
    <w:rsid w:val="00CF343E"/>
    <w:rsid w:val="00CF38A2"/>
    <w:rsid w:val="00CF38C7"/>
    <w:rsid w:val="00CF3979"/>
    <w:rsid w:val="00CF3B45"/>
    <w:rsid w:val="00CF3D78"/>
    <w:rsid w:val="00CF4070"/>
    <w:rsid w:val="00CF41AC"/>
    <w:rsid w:val="00CF42E0"/>
    <w:rsid w:val="00CF443C"/>
    <w:rsid w:val="00CF448F"/>
    <w:rsid w:val="00CF4B38"/>
    <w:rsid w:val="00CF4C2C"/>
    <w:rsid w:val="00CF4D92"/>
    <w:rsid w:val="00CF4E0C"/>
    <w:rsid w:val="00CF4EFF"/>
    <w:rsid w:val="00CF52FA"/>
    <w:rsid w:val="00CF56FC"/>
    <w:rsid w:val="00CF5B57"/>
    <w:rsid w:val="00CF5C7B"/>
    <w:rsid w:val="00CF5EBE"/>
    <w:rsid w:val="00CF62BB"/>
    <w:rsid w:val="00CF62D4"/>
    <w:rsid w:val="00CF64AF"/>
    <w:rsid w:val="00CF6B24"/>
    <w:rsid w:val="00CF6CCB"/>
    <w:rsid w:val="00CF6D88"/>
    <w:rsid w:val="00CF728E"/>
    <w:rsid w:val="00CF72B9"/>
    <w:rsid w:val="00CF72EA"/>
    <w:rsid w:val="00CF73C0"/>
    <w:rsid w:val="00CF7430"/>
    <w:rsid w:val="00CF74A5"/>
    <w:rsid w:val="00CF74F7"/>
    <w:rsid w:val="00CF7681"/>
    <w:rsid w:val="00CF7B3F"/>
    <w:rsid w:val="00CF7C01"/>
    <w:rsid w:val="00CF7F03"/>
    <w:rsid w:val="00CF7F32"/>
    <w:rsid w:val="00CF7F65"/>
    <w:rsid w:val="00D000E4"/>
    <w:rsid w:val="00D0028B"/>
    <w:rsid w:val="00D00324"/>
    <w:rsid w:val="00D004A0"/>
    <w:rsid w:val="00D006E0"/>
    <w:rsid w:val="00D00CB6"/>
    <w:rsid w:val="00D00CB9"/>
    <w:rsid w:val="00D01104"/>
    <w:rsid w:val="00D01299"/>
    <w:rsid w:val="00D0139B"/>
    <w:rsid w:val="00D014F4"/>
    <w:rsid w:val="00D0169B"/>
    <w:rsid w:val="00D01778"/>
    <w:rsid w:val="00D0194F"/>
    <w:rsid w:val="00D01A0F"/>
    <w:rsid w:val="00D01AF6"/>
    <w:rsid w:val="00D01C08"/>
    <w:rsid w:val="00D01F2D"/>
    <w:rsid w:val="00D01F82"/>
    <w:rsid w:val="00D02004"/>
    <w:rsid w:val="00D020C9"/>
    <w:rsid w:val="00D0236D"/>
    <w:rsid w:val="00D02383"/>
    <w:rsid w:val="00D025CC"/>
    <w:rsid w:val="00D0293C"/>
    <w:rsid w:val="00D02BF4"/>
    <w:rsid w:val="00D02BFA"/>
    <w:rsid w:val="00D02C44"/>
    <w:rsid w:val="00D02FC2"/>
    <w:rsid w:val="00D03189"/>
    <w:rsid w:val="00D03355"/>
    <w:rsid w:val="00D03574"/>
    <w:rsid w:val="00D038BE"/>
    <w:rsid w:val="00D03AC1"/>
    <w:rsid w:val="00D040AF"/>
    <w:rsid w:val="00D043F6"/>
    <w:rsid w:val="00D04433"/>
    <w:rsid w:val="00D04651"/>
    <w:rsid w:val="00D046CB"/>
    <w:rsid w:val="00D04910"/>
    <w:rsid w:val="00D0493A"/>
    <w:rsid w:val="00D04A30"/>
    <w:rsid w:val="00D04BD1"/>
    <w:rsid w:val="00D04BD8"/>
    <w:rsid w:val="00D04CC2"/>
    <w:rsid w:val="00D04F3F"/>
    <w:rsid w:val="00D05055"/>
    <w:rsid w:val="00D052FF"/>
    <w:rsid w:val="00D05AB5"/>
    <w:rsid w:val="00D05ABA"/>
    <w:rsid w:val="00D05ABF"/>
    <w:rsid w:val="00D05B52"/>
    <w:rsid w:val="00D05BE5"/>
    <w:rsid w:val="00D05E2B"/>
    <w:rsid w:val="00D05F3B"/>
    <w:rsid w:val="00D060E7"/>
    <w:rsid w:val="00D06209"/>
    <w:rsid w:val="00D0620C"/>
    <w:rsid w:val="00D06365"/>
    <w:rsid w:val="00D064CA"/>
    <w:rsid w:val="00D06692"/>
    <w:rsid w:val="00D06726"/>
    <w:rsid w:val="00D06C8A"/>
    <w:rsid w:val="00D06DCC"/>
    <w:rsid w:val="00D07241"/>
    <w:rsid w:val="00D072C8"/>
    <w:rsid w:val="00D073F7"/>
    <w:rsid w:val="00D07575"/>
    <w:rsid w:val="00D0759B"/>
    <w:rsid w:val="00D0769B"/>
    <w:rsid w:val="00D076CE"/>
    <w:rsid w:val="00D07875"/>
    <w:rsid w:val="00D079CF"/>
    <w:rsid w:val="00D07A33"/>
    <w:rsid w:val="00D07D0C"/>
    <w:rsid w:val="00D07FCE"/>
    <w:rsid w:val="00D100E7"/>
    <w:rsid w:val="00D10309"/>
    <w:rsid w:val="00D105D9"/>
    <w:rsid w:val="00D1064E"/>
    <w:rsid w:val="00D10728"/>
    <w:rsid w:val="00D108A9"/>
    <w:rsid w:val="00D10BAD"/>
    <w:rsid w:val="00D10D55"/>
    <w:rsid w:val="00D10FB3"/>
    <w:rsid w:val="00D10FCF"/>
    <w:rsid w:val="00D11248"/>
    <w:rsid w:val="00D11B05"/>
    <w:rsid w:val="00D11C87"/>
    <w:rsid w:val="00D11EE3"/>
    <w:rsid w:val="00D11FDB"/>
    <w:rsid w:val="00D12095"/>
    <w:rsid w:val="00D120F8"/>
    <w:rsid w:val="00D1234A"/>
    <w:rsid w:val="00D125A5"/>
    <w:rsid w:val="00D1265F"/>
    <w:rsid w:val="00D126D3"/>
    <w:rsid w:val="00D126EB"/>
    <w:rsid w:val="00D1272C"/>
    <w:rsid w:val="00D127BF"/>
    <w:rsid w:val="00D127C3"/>
    <w:rsid w:val="00D1284B"/>
    <w:rsid w:val="00D129DA"/>
    <w:rsid w:val="00D12CB4"/>
    <w:rsid w:val="00D12F80"/>
    <w:rsid w:val="00D12FA8"/>
    <w:rsid w:val="00D1332C"/>
    <w:rsid w:val="00D13413"/>
    <w:rsid w:val="00D13594"/>
    <w:rsid w:val="00D138D0"/>
    <w:rsid w:val="00D13A09"/>
    <w:rsid w:val="00D13A3A"/>
    <w:rsid w:val="00D13FF9"/>
    <w:rsid w:val="00D14093"/>
    <w:rsid w:val="00D142AF"/>
    <w:rsid w:val="00D145FB"/>
    <w:rsid w:val="00D1493C"/>
    <w:rsid w:val="00D14A2E"/>
    <w:rsid w:val="00D14A3D"/>
    <w:rsid w:val="00D14BBB"/>
    <w:rsid w:val="00D14D95"/>
    <w:rsid w:val="00D14F32"/>
    <w:rsid w:val="00D1501C"/>
    <w:rsid w:val="00D152D4"/>
    <w:rsid w:val="00D15318"/>
    <w:rsid w:val="00D15713"/>
    <w:rsid w:val="00D15721"/>
    <w:rsid w:val="00D15900"/>
    <w:rsid w:val="00D15A6C"/>
    <w:rsid w:val="00D15E50"/>
    <w:rsid w:val="00D1605A"/>
    <w:rsid w:val="00D160D6"/>
    <w:rsid w:val="00D163A0"/>
    <w:rsid w:val="00D164B6"/>
    <w:rsid w:val="00D16784"/>
    <w:rsid w:val="00D16787"/>
    <w:rsid w:val="00D168E8"/>
    <w:rsid w:val="00D16A12"/>
    <w:rsid w:val="00D17112"/>
    <w:rsid w:val="00D171C4"/>
    <w:rsid w:val="00D175AB"/>
    <w:rsid w:val="00D202F8"/>
    <w:rsid w:val="00D20334"/>
    <w:rsid w:val="00D207AD"/>
    <w:rsid w:val="00D209FD"/>
    <w:rsid w:val="00D20AF6"/>
    <w:rsid w:val="00D20DD0"/>
    <w:rsid w:val="00D210FF"/>
    <w:rsid w:val="00D21145"/>
    <w:rsid w:val="00D21266"/>
    <w:rsid w:val="00D2128A"/>
    <w:rsid w:val="00D21302"/>
    <w:rsid w:val="00D2142A"/>
    <w:rsid w:val="00D21594"/>
    <w:rsid w:val="00D216CC"/>
    <w:rsid w:val="00D216F8"/>
    <w:rsid w:val="00D21887"/>
    <w:rsid w:val="00D21AA1"/>
    <w:rsid w:val="00D21D0A"/>
    <w:rsid w:val="00D21E29"/>
    <w:rsid w:val="00D220C5"/>
    <w:rsid w:val="00D224DD"/>
    <w:rsid w:val="00D22689"/>
    <w:rsid w:val="00D22AF6"/>
    <w:rsid w:val="00D22B4D"/>
    <w:rsid w:val="00D22B77"/>
    <w:rsid w:val="00D22DF9"/>
    <w:rsid w:val="00D22F1B"/>
    <w:rsid w:val="00D23246"/>
    <w:rsid w:val="00D2329F"/>
    <w:rsid w:val="00D23514"/>
    <w:rsid w:val="00D23588"/>
    <w:rsid w:val="00D23746"/>
    <w:rsid w:val="00D2398C"/>
    <w:rsid w:val="00D239BB"/>
    <w:rsid w:val="00D23A07"/>
    <w:rsid w:val="00D23A3D"/>
    <w:rsid w:val="00D23BCC"/>
    <w:rsid w:val="00D23E42"/>
    <w:rsid w:val="00D23F88"/>
    <w:rsid w:val="00D23F9F"/>
    <w:rsid w:val="00D24094"/>
    <w:rsid w:val="00D240B8"/>
    <w:rsid w:val="00D24119"/>
    <w:rsid w:val="00D241E9"/>
    <w:rsid w:val="00D2466A"/>
    <w:rsid w:val="00D24681"/>
    <w:rsid w:val="00D24712"/>
    <w:rsid w:val="00D2499A"/>
    <w:rsid w:val="00D24C94"/>
    <w:rsid w:val="00D25019"/>
    <w:rsid w:val="00D250E0"/>
    <w:rsid w:val="00D25223"/>
    <w:rsid w:val="00D255F1"/>
    <w:rsid w:val="00D25759"/>
    <w:rsid w:val="00D25DAB"/>
    <w:rsid w:val="00D25DBA"/>
    <w:rsid w:val="00D25DED"/>
    <w:rsid w:val="00D25F3E"/>
    <w:rsid w:val="00D26230"/>
    <w:rsid w:val="00D26322"/>
    <w:rsid w:val="00D263EC"/>
    <w:rsid w:val="00D26E2C"/>
    <w:rsid w:val="00D27097"/>
    <w:rsid w:val="00D273CB"/>
    <w:rsid w:val="00D279A3"/>
    <w:rsid w:val="00D27CEA"/>
    <w:rsid w:val="00D30057"/>
    <w:rsid w:val="00D30420"/>
    <w:rsid w:val="00D304F9"/>
    <w:rsid w:val="00D306FF"/>
    <w:rsid w:val="00D307AF"/>
    <w:rsid w:val="00D3098E"/>
    <w:rsid w:val="00D30D83"/>
    <w:rsid w:val="00D30F65"/>
    <w:rsid w:val="00D30FA8"/>
    <w:rsid w:val="00D311D2"/>
    <w:rsid w:val="00D313DC"/>
    <w:rsid w:val="00D314D5"/>
    <w:rsid w:val="00D31519"/>
    <w:rsid w:val="00D316B1"/>
    <w:rsid w:val="00D31726"/>
    <w:rsid w:val="00D31B7B"/>
    <w:rsid w:val="00D31CEE"/>
    <w:rsid w:val="00D31D75"/>
    <w:rsid w:val="00D31FA0"/>
    <w:rsid w:val="00D32588"/>
    <w:rsid w:val="00D3281E"/>
    <w:rsid w:val="00D32825"/>
    <w:rsid w:val="00D32A8F"/>
    <w:rsid w:val="00D32ADF"/>
    <w:rsid w:val="00D331FF"/>
    <w:rsid w:val="00D33275"/>
    <w:rsid w:val="00D3339A"/>
    <w:rsid w:val="00D33845"/>
    <w:rsid w:val="00D33927"/>
    <w:rsid w:val="00D33D74"/>
    <w:rsid w:val="00D33D8D"/>
    <w:rsid w:val="00D3402A"/>
    <w:rsid w:val="00D3403E"/>
    <w:rsid w:val="00D3417C"/>
    <w:rsid w:val="00D34185"/>
    <w:rsid w:val="00D345ED"/>
    <w:rsid w:val="00D34648"/>
    <w:rsid w:val="00D347C1"/>
    <w:rsid w:val="00D34889"/>
    <w:rsid w:val="00D34941"/>
    <w:rsid w:val="00D34E9A"/>
    <w:rsid w:val="00D34F4D"/>
    <w:rsid w:val="00D35068"/>
    <w:rsid w:val="00D350B9"/>
    <w:rsid w:val="00D350F8"/>
    <w:rsid w:val="00D351DD"/>
    <w:rsid w:val="00D352FF"/>
    <w:rsid w:val="00D35531"/>
    <w:rsid w:val="00D35EC0"/>
    <w:rsid w:val="00D36448"/>
    <w:rsid w:val="00D36544"/>
    <w:rsid w:val="00D366E0"/>
    <w:rsid w:val="00D3670C"/>
    <w:rsid w:val="00D36BA8"/>
    <w:rsid w:val="00D36BF0"/>
    <w:rsid w:val="00D36DBD"/>
    <w:rsid w:val="00D3724B"/>
    <w:rsid w:val="00D374BB"/>
    <w:rsid w:val="00D37645"/>
    <w:rsid w:val="00D3784B"/>
    <w:rsid w:val="00D37B88"/>
    <w:rsid w:val="00D37CAE"/>
    <w:rsid w:val="00D37D4F"/>
    <w:rsid w:val="00D37E46"/>
    <w:rsid w:val="00D37F3E"/>
    <w:rsid w:val="00D4012C"/>
    <w:rsid w:val="00D40201"/>
    <w:rsid w:val="00D405BE"/>
    <w:rsid w:val="00D40721"/>
    <w:rsid w:val="00D408EE"/>
    <w:rsid w:val="00D409A3"/>
    <w:rsid w:val="00D40C84"/>
    <w:rsid w:val="00D40D50"/>
    <w:rsid w:val="00D40F11"/>
    <w:rsid w:val="00D40F5D"/>
    <w:rsid w:val="00D411CB"/>
    <w:rsid w:val="00D41282"/>
    <w:rsid w:val="00D41826"/>
    <w:rsid w:val="00D418D7"/>
    <w:rsid w:val="00D41ADA"/>
    <w:rsid w:val="00D41B8D"/>
    <w:rsid w:val="00D41C5A"/>
    <w:rsid w:val="00D41D35"/>
    <w:rsid w:val="00D42321"/>
    <w:rsid w:val="00D42500"/>
    <w:rsid w:val="00D4260A"/>
    <w:rsid w:val="00D427C7"/>
    <w:rsid w:val="00D427F1"/>
    <w:rsid w:val="00D42C46"/>
    <w:rsid w:val="00D42CB4"/>
    <w:rsid w:val="00D42D23"/>
    <w:rsid w:val="00D42F4E"/>
    <w:rsid w:val="00D4301D"/>
    <w:rsid w:val="00D434E8"/>
    <w:rsid w:val="00D43805"/>
    <w:rsid w:val="00D43857"/>
    <w:rsid w:val="00D43AA2"/>
    <w:rsid w:val="00D43F66"/>
    <w:rsid w:val="00D43F86"/>
    <w:rsid w:val="00D4410F"/>
    <w:rsid w:val="00D44413"/>
    <w:rsid w:val="00D447B0"/>
    <w:rsid w:val="00D44D28"/>
    <w:rsid w:val="00D45251"/>
    <w:rsid w:val="00D45302"/>
    <w:rsid w:val="00D45456"/>
    <w:rsid w:val="00D4557E"/>
    <w:rsid w:val="00D457E0"/>
    <w:rsid w:val="00D457EB"/>
    <w:rsid w:val="00D45876"/>
    <w:rsid w:val="00D4588E"/>
    <w:rsid w:val="00D458AB"/>
    <w:rsid w:val="00D4592C"/>
    <w:rsid w:val="00D4592E"/>
    <w:rsid w:val="00D45A14"/>
    <w:rsid w:val="00D45A90"/>
    <w:rsid w:val="00D45D56"/>
    <w:rsid w:val="00D465A8"/>
    <w:rsid w:val="00D4662C"/>
    <w:rsid w:val="00D469A4"/>
    <w:rsid w:val="00D46AFA"/>
    <w:rsid w:val="00D46C27"/>
    <w:rsid w:val="00D46D60"/>
    <w:rsid w:val="00D46F23"/>
    <w:rsid w:val="00D46F93"/>
    <w:rsid w:val="00D47117"/>
    <w:rsid w:val="00D473DD"/>
    <w:rsid w:val="00D4743D"/>
    <w:rsid w:val="00D47619"/>
    <w:rsid w:val="00D47A3F"/>
    <w:rsid w:val="00D47BAB"/>
    <w:rsid w:val="00D47E13"/>
    <w:rsid w:val="00D50116"/>
    <w:rsid w:val="00D501E6"/>
    <w:rsid w:val="00D50533"/>
    <w:rsid w:val="00D50569"/>
    <w:rsid w:val="00D5063D"/>
    <w:rsid w:val="00D509A5"/>
    <w:rsid w:val="00D50A9E"/>
    <w:rsid w:val="00D50B01"/>
    <w:rsid w:val="00D50C5D"/>
    <w:rsid w:val="00D50E1E"/>
    <w:rsid w:val="00D50F3C"/>
    <w:rsid w:val="00D510A3"/>
    <w:rsid w:val="00D510AD"/>
    <w:rsid w:val="00D5135B"/>
    <w:rsid w:val="00D5146B"/>
    <w:rsid w:val="00D51AA1"/>
    <w:rsid w:val="00D51D28"/>
    <w:rsid w:val="00D522AD"/>
    <w:rsid w:val="00D529DF"/>
    <w:rsid w:val="00D52C0E"/>
    <w:rsid w:val="00D52E84"/>
    <w:rsid w:val="00D52EFC"/>
    <w:rsid w:val="00D52F06"/>
    <w:rsid w:val="00D53213"/>
    <w:rsid w:val="00D532E0"/>
    <w:rsid w:val="00D53558"/>
    <w:rsid w:val="00D53644"/>
    <w:rsid w:val="00D53667"/>
    <w:rsid w:val="00D53885"/>
    <w:rsid w:val="00D53931"/>
    <w:rsid w:val="00D53C13"/>
    <w:rsid w:val="00D53C89"/>
    <w:rsid w:val="00D53DE1"/>
    <w:rsid w:val="00D53EC0"/>
    <w:rsid w:val="00D54190"/>
    <w:rsid w:val="00D54490"/>
    <w:rsid w:val="00D54539"/>
    <w:rsid w:val="00D546CA"/>
    <w:rsid w:val="00D54E51"/>
    <w:rsid w:val="00D55316"/>
    <w:rsid w:val="00D5548E"/>
    <w:rsid w:val="00D5549B"/>
    <w:rsid w:val="00D55793"/>
    <w:rsid w:val="00D557D6"/>
    <w:rsid w:val="00D55BD2"/>
    <w:rsid w:val="00D55E57"/>
    <w:rsid w:val="00D55F75"/>
    <w:rsid w:val="00D55F9D"/>
    <w:rsid w:val="00D56120"/>
    <w:rsid w:val="00D561B3"/>
    <w:rsid w:val="00D5624B"/>
    <w:rsid w:val="00D56312"/>
    <w:rsid w:val="00D56455"/>
    <w:rsid w:val="00D568C0"/>
    <w:rsid w:val="00D56A03"/>
    <w:rsid w:val="00D56B3A"/>
    <w:rsid w:val="00D56B8A"/>
    <w:rsid w:val="00D56CE6"/>
    <w:rsid w:val="00D56DC7"/>
    <w:rsid w:val="00D572C0"/>
    <w:rsid w:val="00D574C1"/>
    <w:rsid w:val="00D57648"/>
    <w:rsid w:val="00D576A5"/>
    <w:rsid w:val="00D57B6A"/>
    <w:rsid w:val="00D57C9D"/>
    <w:rsid w:val="00D57F74"/>
    <w:rsid w:val="00D60193"/>
    <w:rsid w:val="00D60280"/>
    <w:rsid w:val="00D6044C"/>
    <w:rsid w:val="00D605C6"/>
    <w:rsid w:val="00D60A1E"/>
    <w:rsid w:val="00D60BCD"/>
    <w:rsid w:val="00D60CE9"/>
    <w:rsid w:val="00D61663"/>
    <w:rsid w:val="00D61A23"/>
    <w:rsid w:val="00D61CAB"/>
    <w:rsid w:val="00D61D23"/>
    <w:rsid w:val="00D61F41"/>
    <w:rsid w:val="00D622F5"/>
    <w:rsid w:val="00D62309"/>
    <w:rsid w:val="00D627C4"/>
    <w:rsid w:val="00D6297A"/>
    <w:rsid w:val="00D62C26"/>
    <w:rsid w:val="00D62C85"/>
    <w:rsid w:val="00D62EF4"/>
    <w:rsid w:val="00D62F08"/>
    <w:rsid w:val="00D62F52"/>
    <w:rsid w:val="00D63207"/>
    <w:rsid w:val="00D63772"/>
    <w:rsid w:val="00D6378C"/>
    <w:rsid w:val="00D63978"/>
    <w:rsid w:val="00D63A31"/>
    <w:rsid w:val="00D63A70"/>
    <w:rsid w:val="00D63AF0"/>
    <w:rsid w:val="00D63BD8"/>
    <w:rsid w:val="00D63D08"/>
    <w:rsid w:val="00D63E60"/>
    <w:rsid w:val="00D63EE2"/>
    <w:rsid w:val="00D6414B"/>
    <w:rsid w:val="00D6415D"/>
    <w:rsid w:val="00D64574"/>
    <w:rsid w:val="00D64878"/>
    <w:rsid w:val="00D64889"/>
    <w:rsid w:val="00D648E2"/>
    <w:rsid w:val="00D64BDA"/>
    <w:rsid w:val="00D64E12"/>
    <w:rsid w:val="00D64E95"/>
    <w:rsid w:val="00D64F6E"/>
    <w:rsid w:val="00D6506F"/>
    <w:rsid w:val="00D65253"/>
    <w:rsid w:val="00D654EC"/>
    <w:rsid w:val="00D65729"/>
    <w:rsid w:val="00D658BA"/>
    <w:rsid w:val="00D65A67"/>
    <w:rsid w:val="00D65EE2"/>
    <w:rsid w:val="00D65F22"/>
    <w:rsid w:val="00D66027"/>
    <w:rsid w:val="00D66051"/>
    <w:rsid w:val="00D660A1"/>
    <w:rsid w:val="00D66373"/>
    <w:rsid w:val="00D66B0B"/>
    <w:rsid w:val="00D66C8F"/>
    <w:rsid w:val="00D66CD9"/>
    <w:rsid w:val="00D6720E"/>
    <w:rsid w:val="00D677EE"/>
    <w:rsid w:val="00D6781C"/>
    <w:rsid w:val="00D678B6"/>
    <w:rsid w:val="00D678CE"/>
    <w:rsid w:val="00D679A9"/>
    <w:rsid w:val="00D679F1"/>
    <w:rsid w:val="00D67AD3"/>
    <w:rsid w:val="00D67B5B"/>
    <w:rsid w:val="00D67DD3"/>
    <w:rsid w:val="00D67F30"/>
    <w:rsid w:val="00D67FB6"/>
    <w:rsid w:val="00D70545"/>
    <w:rsid w:val="00D7067F"/>
    <w:rsid w:val="00D707DD"/>
    <w:rsid w:val="00D70A0D"/>
    <w:rsid w:val="00D70BF9"/>
    <w:rsid w:val="00D70C99"/>
    <w:rsid w:val="00D70D01"/>
    <w:rsid w:val="00D70D26"/>
    <w:rsid w:val="00D70D43"/>
    <w:rsid w:val="00D70EA5"/>
    <w:rsid w:val="00D7101D"/>
    <w:rsid w:val="00D721A4"/>
    <w:rsid w:val="00D723A2"/>
    <w:rsid w:val="00D72456"/>
    <w:rsid w:val="00D724D7"/>
    <w:rsid w:val="00D72E17"/>
    <w:rsid w:val="00D72E99"/>
    <w:rsid w:val="00D72F85"/>
    <w:rsid w:val="00D72FDD"/>
    <w:rsid w:val="00D731A2"/>
    <w:rsid w:val="00D731DC"/>
    <w:rsid w:val="00D733EA"/>
    <w:rsid w:val="00D73516"/>
    <w:rsid w:val="00D73C78"/>
    <w:rsid w:val="00D73CB5"/>
    <w:rsid w:val="00D73D29"/>
    <w:rsid w:val="00D73F74"/>
    <w:rsid w:val="00D73FD7"/>
    <w:rsid w:val="00D74550"/>
    <w:rsid w:val="00D745AD"/>
    <w:rsid w:val="00D7470B"/>
    <w:rsid w:val="00D74BDA"/>
    <w:rsid w:val="00D751E0"/>
    <w:rsid w:val="00D7530D"/>
    <w:rsid w:val="00D753A9"/>
    <w:rsid w:val="00D75620"/>
    <w:rsid w:val="00D75684"/>
    <w:rsid w:val="00D75705"/>
    <w:rsid w:val="00D75C96"/>
    <w:rsid w:val="00D75CD9"/>
    <w:rsid w:val="00D75F90"/>
    <w:rsid w:val="00D75FBD"/>
    <w:rsid w:val="00D76040"/>
    <w:rsid w:val="00D76334"/>
    <w:rsid w:val="00D7644E"/>
    <w:rsid w:val="00D767E9"/>
    <w:rsid w:val="00D76903"/>
    <w:rsid w:val="00D76B0D"/>
    <w:rsid w:val="00D76CD8"/>
    <w:rsid w:val="00D76CFC"/>
    <w:rsid w:val="00D76EB8"/>
    <w:rsid w:val="00D76F4E"/>
    <w:rsid w:val="00D77071"/>
    <w:rsid w:val="00D77291"/>
    <w:rsid w:val="00D7736B"/>
    <w:rsid w:val="00D7742D"/>
    <w:rsid w:val="00D774E4"/>
    <w:rsid w:val="00D7767F"/>
    <w:rsid w:val="00D776A7"/>
    <w:rsid w:val="00D7779A"/>
    <w:rsid w:val="00D77B16"/>
    <w:rsid w:val="00D77B35"/>
    <w:rsid w:val="00D77CCF"/>
    <w:rsid w:val="00D80156"/>
    <w:rsid w:val="00D801BD"/>
    <w:rsid w:val="00D8045F"/>
    <w:rsid w:val="00D80537"/>
    <w:rsid w:val="00D8067A"/>
    <w:rsid w:val="00D80A11"/>
    <w:rsid w:val="00D80A59"/>
    <w:rsid w:val="00D80DCA"/>
    <w:rsid w:val="00D80FBC"/>
    <w:rsid w:val="00D8132E"/>
    <w:rsid w:val="00D8139A"/>
    <w:rsid w:val="00D816AE"/>
    <w:rsid w:val="00D816EB"/>
    <w:rsid w:val="00D81742"/>
    <w:rsid w:val="00D8175D"/>
    <w:rsid w:val="00D8178C"/>
    <w:rsid w:val="00D818ED"/>
    <w:rsid w:val="00D819DF"/>
    <w:rsid w:val="00D81A6A"/>
    <w:rsid w:val="00D81EB7"/>
    <w:rsid w:val="00D82002"/>
    <w:rsid w:val="00D82004"/>
    <w:rsid w:val="00D82360"/>
    <w:rsid w:val="00D826F9"/>
    <w:rsid w:val="00D82745"/>
    <w:rsid w:val="00D827AC"/>
    <w:rsid w:val="00D82AE6"/>
    <w:rsid w:val="00D82CD6"/>
    <w:rsid w:val="00D82DE9"/>
    <w:rsid w:val="00D8306D"/>
    <w:rsid w:val="00D83149"/>
    <w:rsid w:val="00D83392"/>
    <w:rsid w:val="00D835D7"/>
    <w:rsid w:val="00D8373D"/>
    <w:rsid w:val="00D83B7F"/>
    <w:rsid w:val="00D83C5B"/>
    <w:rsid w:val="00D8405F"/>
    <w:rsid w:val="00D84186"/>
    <w:rsid w:val="00D844F6"/>
    <w:rsid w:val="00D845A1"/>
    <w:rsid w:val="00D8492E"/>
    <w:rsid w:val="00D84B6E"/>
    <w:rsid w:val="00D84BA2"/>
    <w:rsid w:val="00D84C0D"/>
    <w:rsid w:val="00D84E1B"/>
    <w:rsid w:val="00D84ED8"/>
    <w:rsid w:val="00D84EFA"/>
    <w:rsid w:val="00D84FF6"/>
    <w:rsid w:val="00D8501C"/>
    <w:rsid w:val="00D851C3"/>
    <w:rsid w:val="00D85334"/>
    <w:rsid w:val="00D8545C"/>
    <w:rsid w:val="00D859D5"/>
    <w:rsid w:val="00D85A7A"/>
    <w:rsid w:val="00D85D1F"/>
    <w:rsid w:val="00D85EF3"/>
    <w:rsid w:val="00D86063"/>
    <w:rsid w:val="00D86589"/>
    <w:rsid w:val="00D865B4"/>
    <w:rsid w:val="00D86B10"/>
    <w:rsid w:val="00D86CF2"/>
    <w:rsid w:val="00D86D37"/>
    <w:rsid w:val="00D86EE5"/>
    <w:rsid w:val="00D87333"/>
    <w:rsid w:val="00D8737A"/>
    <w:rsid w:val="00D87392"/>
    <w:rsid w:val="00D878DD"/>
    <w:rsid w:val="00D87AD3"/>
    <w:rsid w:val="00D87B4D"/>
    <w:rsid w:val="00D87CEC"/>
    <w:rsid w:val="00D87D93"/>
    <w:rsid w:val="00D87EC1"/>
    <w:rsid w:val="00D9000F"/>
    <w:rsid w:val="00D9006A"/>
    <w:rsid w:val="00D90154"/>
    <w:rsid w:val="00D90247"/>
    <w:rsid w:val="00D90279"/>
    <w:rsid w:val="00D9028C"/>
    <w:rsid w:val="00D902C4"/>
    <w:rsid w:val="00D90466"/>
    <w:rsid w:val="00D90618"/>
    <w:rsid w:val="00D908EE"/>
    <w:rsid w:val="00D90963"/>
    <w:rsid w:val="00D90D0D"/>
    <w:rsid w:val="00D90D2B"/>
    <w:rsid w:val="00D9120E"/>
    <w:rsid w:val="00D914A4"/>
    <w:rsid w:val="00D914CA"/>
    <w:rsid w:val="00D916EA"/>
    <w:rsid w:val="00D9174C"/>
    <w:rsid w:val="00D9175A"/>
    <w:rsid w:val="00D9190C"/>
    <w:rsid w:val="00D91ADB"/>
    <w:rsid w:val="00D91C31"/>
    <w:rsid w:val="00D91DD5"/>
    <w:rsid w:val="00D91E2A"/>
    <w:rsid w:val="00D91EEE"/>
    <w:rsid w:val="00D91FD1"/>
    <w:rsid w:val="00D923CF"/>
    <w:rsid w:val="00D92413"/>
    <w:rsid w:val="00D9264F"/>
    <w:rsid w:val="00D926AA"/>
    <w:rsid w:val="00D929B6"/>
    <w:rsid w:val="00D92A74"/>
    <w:rsid w:val="00D92C7B"/>
    <w:rsid w:val="00D92D69"/>
    <w:rsid w:val="00D92F4B"/>
    <w:rsid w:val="00D93027"/>
    <w:rsid w:val="00D9321A"/>
    <w:rsid w:val="00D933F9"/>
    <w:rsid w:val="00D934F4"/>
    <w:rsid w:val="00D9368F"/>
    <w:rsid w:val="00D93B73"/>
    <w:rsid w:val="00D93C04"/>
    <w:rsid w:val="00D940C7"/>
    <w:rsid w:val="00D94223"/>
    <w:rsid w:val="00D94512"/>
    <w:rsid w:val="00D9468B"/>
    <w:rsid w:val="00D94907"/>
    <w:rsid w:val="00D9495F"/>
    <w:rsid w:val="00D94AB1"/>
    <w:rsid w:val="00D94ADF"/>
    <w:rsid w:val="00D94AEF"/>
    <w:rsid w:val="00D94BD8"/>
    <w:rsid w:val="00D94D2E"/>
    <w:rsid w:val="00D94E23"/>
    <w:rsid w:val="00D953BB"/>
    <w:rsid w:val="00D95516"/>
    <w:rsid w:val="00D957E7"/>
    <w:rsid w:val="00D9587E"/>
    <w:rsid w:val="00D95A5E"/>
    <w:rsid w:val="00D95A8F"/>
    <w:rsid w:val="00D95BB8"/>
    <w:rsid w:val="00D95C5E"/>
    <w:rsid w:val="00D95DA4"/>
    <w:rsid w:val="00D95EBF"/>
    <w:rsid w:val="00D960DF"/>
    <w:rsid w:val="00D96136"/>
    <w:rsid w:val="00D96198"/>
    <w:rsid w:val="00D96380"/>
    <w:rsid w:val="00D965BA"/>
    <w:rsid w:val="00D96674"/>
    <w:rsid w:val="00D9673C"/>
    <w:rsid w:val="00D96797"/>
    <w:rsid w:val="00D9699B"/>
    <w:rsid w:val="00D969C0"/>
    <w:rsid w:val="00D96D35"/>
    <w:rsid w:val="00D97392"/>
    <w:rsid w:val="00D97502"/>
    <w:rsid w:val="00D978EB"/>
    <w:rsid w:val="00D97C90"/>
    <w:rsid w:val="00DA005C"/>
    <w:rsid w:val="00DA038A"/>
    <w:rsid w:val="00DA04CF"/>
    <w:rsid w:val="00DA0557"/>
    <w:rsid w:val="00DA05E6"/>
    <w:rsid w:val="00DA09EA"/>
    <w:rsid w:val="00DA0A46"/>
    <w:rsid w:val="00DA0C09"/>
    <w:rsid w:val="00DA0F97"/>
    <w:rsid w:val="00DA135D"/>
    <w:rsid w:val="00DA1662"/>
    <w:rsid w:val="00DA17B0"/>
    <w:rsid w:val="00DA1C2C"/>
    <w:rsid w:val="00DA1D21"/>
    <w:rsid w:val="00DA1FDC"/>
    <w:rsid w:val="00DA2588"/>
    <w:rsid w:val="00DA25D5"/>
    <w:rsid w:val="00DA2625"/>
    <w:rsid w:val="00DA2AC5"/>
    <w:rsid w:val="00DA2BD7"/>
    <w:rsid w:val="00DA2CAA"/>
    <w:rsid w:val="00DA2E9F"/>
    <w:rsid w:val="00DA31D3"/>
    <w:rsid w:val="00DA3321"/>
    <w:rsid w:val="00DA35CA"/>
    <w:rsid w:val="00DA366F"/>
    <w:rsid w:val="00DA37AA"/>
    <w:rsid w:val="00DA398A"/>
    <w:rsid w:val="00DA3B72"/>
    <w:rsid w:val="00DA40E1"/>
    <w:rsid w:val="00DA4405"/>
    <w:rsid w:val="00DA4476"/>
    <w:rsid w:val="00DA4555"/>
    <w:rsid w:val="00DA470C"/>
    <w:rsid w:val="00DA496C"/>
    <w:rsid w:val="00DA4B78"/>
    <w:rsid w:val="00DA4B9B"/>
    <w:rsid w:val="00DA4D5F"/>
    <w:rsid w:val="00DA4DF2"/>
    <w:rsid w:val="00DA4F69"/>
    <w:rsid w:val="00DA50D2"/>
    <w:rsid w:val="00DA54F5"/>
    <w:rsid w:val="00DA5753"/>
    <w:rsid w:val="00DA595C"/>
    <w:rsid w:val="00DA5BB2"/>
    <w:rsid w:val="00DA5E7D"/>
    <w:rsid w:val="00DA5EF2"/>
    <w:rsid w:val="00DA63A0"/>
    <w:rsid w:val="00DA63C0"/>
    <w:rsid w:val="00DA65A7"/>
    <w:rsid w:val="00DA67DA"/>
    <w:rsid w:val="00DA69BB"/>
    <w:rsid w:val="00DA6C63"/>
    <w:rsid w:val="00DA6D02"/>
    <w:rsid w:val="00DA7088"/>
    <w:rsid w:val="00DA72B1"/>
    <w:rsid w:val="00DA761B"/>
    <w:rsid w:val="00DA76F9"/>
    <w:rsid w:val="00DA773F"/>
    <w:rsid w:val="00DA7842"/>
    <w:rsid w:val="00DA7A13"/>
    <w:rsid w:val="00DA7A28"/>
    <w:rsid w:val="00DA7B97"/>
    <w:rsid w:val="00DA7E2D"/>
    <w:rsid w:val="00DB021D"/>
    <w:rsid w:val="00DB0439"/>
    <w:rsid w:val="00DB0537"/>
    <w:rsid w:val="00DB06DC"/>
    <w:rsid w:val="00DB06E5"/>
    <w:rsid w:val="00DB0B9B"/>
    <w:rsid w:val="00DB0C69"/>
    <w:rsid w:val="00DB0C73"/>
    <w:rsid w:val="00DB1282"/>
    <w:rsid w:val="00DB1296"/>
    <w:rsid w:val="00DB13E4"/>
    <w:rsid w:val="00DB14AE"/>
    <w:rsid w:val="00DB1A0E"/>
    <w:rsid w:val="00DB1B04"/>
    <w:rsid w:val="00DB1C74"/>
    <w:rsid w:val="00DB208B"/>
    <w:rsid w:val="00DB2361"/>
    <w:rsid w:val="00DB2458"/>
    <w:rsid w:val="00DB25AE"/>
    <w:rsid w:val="00DB2A19"/>
    <w:rsid w:val="00DB2DFF"/>
    <w:rsid w:val="00DB30A1"/>
    <w:rsid w:val="00DB3572"/>
    <w:rsid w:val="00DB3A00"/>
    <w:rsid w:val="00DB3C51"/>
    <w:rsid w:val="00DB3D38"/>
    <w:rsid w:val="00DB3EAB"/>
    <w:rsid w:val="00DB403D"/>
    <w:rsid w:val="00DB4114"/>
    <w:rsid w:val="00DB447B"/>
    <w:rsid w:val="00DB4616"/>
    <w:rsid w:val="00DB5016"/>
    <w:rsid w:val="00DB5275"/>
    <w:rsid w:val="00DB54F5"/>
    <w:rsid w:val="00DB55E9"/>
    <w:rsid w:val="00DB5885"/>
    <w:rsid w:val="00DB58AA"/>
    <w:rsid w:val="00DB5BC2"/>
    <w:rsid w:val="00DB5C86"/>
    <w:rsid w:val="00DB5CAE"/>
    <w:rsid w:val="00DB5D1E"/>
    <w:rsid w:val="00DB5D76"/>
    <w:rsid w:val="00DB6059"/>
    <w:rsid w:val="00DB641A"/>
    <w:rsid w:val="00DB65E1"/>
    <w:rsid w:val="00DB66D5"/>
    <w:rsid w:val="00DB66F1"/>
    <w:rsid w:val="00DB6736"/>
    <w:rsid w:val="00DB6D70"/>
    <w:rsid w:val="00DB6D8F"/>
    <w:rsid w:val="00DB701B"/>
    <w:rsid w:val="00DB7180"/>
    <w:rsid w:val="00DB71E0"/>
    <w:rsid w:val="00DB72F4"/>
    <w:rsid w:val="00DB73C3"/>
    <w:rsid w:val="00DB742E"/>
    <w:rsid w:val="00DB742F"/>
    <w:rsid w:val="00DB7457"/>
    <w:rsid w:val="00DB79C6"/>
    <w:rsid w:val="00DB7CAA"/>
    <w:rsid w:val="00DB7D6C"/>
    <w:rsid w:val="00DB7D6F"/>
    <w:rsid w:val="00DB7FBA"/>
    <w:rsid w:val="00DC03AC"/>
    <w:rsid w:val="00DC03B7"/>
    <w:rsid w:val="00DC0703"/>
    <w:rsid w:val="00DC0781"/>
    <w:rsid w:val="00DC0883"/>
    <w:rsid w:val="00DC0A87"/>
    <w:rsid w:val="00DC0D57"/>
    <w:rsid w:val="00DC0EC5"/>
    <w:rsid w:val="00DC1095"/>
    <w:rsid w:val="00DC19F0"/>
    <w:rsid w:val="00DC1D5D"/>
    <w:rsid w:val="00DC1D79"/>
    <w:rsid w:val="00DC1F8E"/>
    <w:rsid w:val="00DC2017"/>
    <w:rsid w:val="00DC225A"/>
    <w:rsid w:val="00DC22BF"/>
    <w:rsid w:val="00DC22D9"/>
    <w:rsid w:val="00DC2503"/>
    <w:rsid w:val="00DC28A8"/>
    <w:rsid w:val="00DC28AE"/>
    <w:rsid w:val="00DC2942"/>
    <w:rsid w:val="00DC2B59"/>
    <w:rsid w:val="00DC31A0"/>
    <w:rsid w:val="00DC331A"/>
    <w:rsid w:val="00DC3504"/>
    <w:rsid w:val="00DC355F"/>
    <w:rsid w:val="00DC37EA"/>
    <w:rsid w:val="00DC39AA"/>
    <w:rsid w:val="00DC3B6F"/>
    <w:rsid w:val="00DC3BE7"/>
    <w:rsid w:val="00DC3D59"/>
    <w:rsid w:val="00DC3EA1"/>
    <w:rsid w:val="00DC4040"/>
    <w:rsid w:val="00DC4491"/>
    <w:rsid w:val="00DC48C6"/>
    <w:rsid w:val="00DC4902"/>
    <w:rsid w:val="00DC4BAC"/>
    <w:rsid w:val="00DC4BBA"/>
    <w:rsid w:val="00DC4D3D"/>
    <w:rsid w:val="00DC51C7"/>
    <w:rsid w:val="00DC5448"/>
    <w:rsid w:val="00DC56A0"/>
    <w:rsid w:val="00DC57CB"/>
    <w:rsid w:val="00DC5A24"/>
    <w:rsid w:val="00DC628D"/>
    <w:rsid w:val="00DC660F"/>
    <w:rsid w:val="00DC668B"/>
    <w:rsid w:val="00DC66B5"/>
    <w:rsid w:val="00DC67E4"/>
    <w:rsid w:val="00DC69D9"/>
    <w:rsid w:val="00DC6A7D"/>
    <w:rsid w:val="00DC6A8B"/>
    <w:rsid w:val="00DC6B15"/>
    <w:rsid w:val="00DC6D6F"/>
    <w:rsid w:val="00DC707E"/>
    <w:rsid w:val="00DC7083"/>
    <w:rsid w:val="00DC74CF"/>
    <w:rsid w:val="00DC7747"/>
    <w:rsid w:val="00DC77FA"/>
    <w:rsid w:val="00DC7ECC"/>
    <w:rsid w:val="00DD028D"/>
    <w:rsid w:val="00DD0684"/>
    <w:rsid w:val="00DD0A8A"/>
    <w:rsid w:val="00DD0CE3"/>
    <w:rsid w:val="00DD0E0E"/>
    <w:rsid w:val="00DD105E"/>
    <w:rsid w:val="00DD1286"/>
    <w:rsid w:val="00DD13FD"/>
    <w:rsid w:val="00DD158C"/>
    <w:rsid w:val="00DD15E3"/>
    <w:rsid w:val="00DD1613"/>
    <w:rsid w:val="00DD18F6"/>
    <w:rsid w:val="00DD1C7A"/>
    <w:rsid w:val="00DD2030"/>
    <w:rsid w:val="00DD20DE"/>
    <w:rsid w:val="00DD21F1"/>
    <w:rsid w:val="00DD2236"/>
    <w:rsid w:val="00DD22F3"/>
    <w:rsid w:val="00DD2375"/>
    <w:rsid w:val="00DD23A5"/>
    <w:rsid w:val="00DD24D4"/>
    <w:rsid w:val="00DD2614"/>
    <w:rsid w:val="00DD2722"/>
    <w:rsid w:val="00DD2935"/>
    <w:rsid w:val="00DD29C2"/>
    <w:rsid w:val="00DD2AD4"/>
    <w:rsid w:val="00DD2B3B"/>
    <w:rsid w:val="00DD2CAB"/>
    <w:rsid w:val="00DD2FB9"/>
    <w:rsid w:val="00DD33BC"/>
    <w:rsid w:val="00DD36FE"/>
    <w:rsid w:val="00DD3826"/>
    <w:rsid w:val="00DD3EE9"/>
    <w:rsid w:val="00DD41D8"/>
    <w:rsid w:val="00DD4653"/>
    <w:rsid w:val="00DD47D1"/>
    <w:rsid w:val="00DD4F1D"/>
    <w:rsid w:val="00DD55C6"/>
    <w:rsid w:val="00DD5712"/>
    <w:rsid w:val="00DD5A18"/>
    <w:rsid w:val="00DD5AEB"/>
    <w:rsid w:val="00DD5B1F"/>
    <w:rsid w:val="00DD5B23"/>
    <w:rsid w:val="00DD6459"/>
    <w:rsid w:val="00DD6539"/>
    <w:rsid w:val="00DD67DE"/>
    <w:rsid w:val="00DD695F"/>
    <w:rsid w:val="00DD6A21"/>
    <w:rsid w:val="00DD6E13"/>
    <w:rsid w:val="00DD6E99"/>
    <w:rsid w:val="00DD70F7"/>
    <w:rsid w:val="00DD7258"/>
    <w:rsid w:val="00DD7419"/>
    <w:rsid w:val="00DD7676"/>
    <w:rsid w:val="00DD769B"/>
    <w:rsid w:val="00DD7A09"/>
    <w:rsid w:val="00DD7D4A"/>
    <w:rsid w:val="00DD7F01"/>
    <w:rsid w:val="00DD7FC1"/>
    <w:rsid w:val="00DD7FC4"/>
    <w:rsid w:val="00DE0178"/>
    <w:rsid w:val="00DE022D"/>
    <w:rsid w:val="00DE04A3"/>
    <w:rsid w:val="00DE0520"/>
    <w:rsid w:val="00DE088B"/>
    <w:rsid w:val="00DE08EE"/>
    <w:rsid w:val="00DE0B2B"/>
    <w:rsid w:val="00DE0D49"/>
    <w:rsid w:val="00DE0D8E"/>
    <w:rsid w:val="00DE12B2"/>
    <w:rsid w:val="00DE134E"/>
    <w:rsid w:val="00DE15BC"/>
    <w:rsid w:val="00DE16D2"/>
    <w:rsid w:val="00DE18EF"/>
    <w:rsid w:val="00DE1953"/>
    <w:rsid w:val="00DE1C54"/>
    <w:rsid w:val="00DE1EE3"/>
    <w:rsid w:val="00DE1FA8"/>
    <w:rsid w:val="00DE20D8"/>
    <w:rsid w:val="00DE2149"/>
    <w:rsid w:val="00DE21E8"/>
    <w:rsid w:val="00DE2B22"/>
    <w:rsid w:val="00DE2B28"/>
    <w:rsid w:val="00DE2C3C"/>
    <w:rsid w:val="00DE2CCC"/>
    <w:rsid w:val="00DE2DC0"/>
    <w:rsid w:val="00DE2E2B"/>
    <w:rsid w:val="00DE2E3B"/>
    <w:rsid w:val="00DE2F28"/>
    <w:rsid w:val="00DE33B4"/>
    <w:rsid w:val="00DE34BD"/>
    <w:rsid w:val="00DE34CF"/>
    <w:rsid w:val="00DE34EC"/>
    <w:rsid w:val="00DE4188"/>
    <w:rsid w:val="00DE44F7"/>
    <w:rsid w:val="00DE4585"/>
    <w:rsid w:val="00DE45B8"/>
    <w:rsid w:val="00DE46F3"/>
    <w:rsid w:val="00DE4DB1"/>
    <w:rsid w:val="00DE50D5"/>
    <w:rsid w:val="00DE51F5"/>
    <w:rsid w:val="00DE53A7"/>
    <w:rsid w:val="00DE55F1"/>
    <w:rsid w:val="00DE59E1"/>
    <w:rsid w:val="00DE5B26"/>
    <w:rsid w:val="00DE5BC3"/>
    <w:rsid w:val="00DE5CCB"/>
    <w:rsid w:val="00DE6346"/>
    <w:rsid w:val="00DE6548"/>
    <w:rsid w:val="00DE6BA9"/>
    <w:rsid w:val="00DE6D15"/>
    <w:rsid w:val="00DE6D59"/>
    <w:rsid w:val="00DE6D5D"/>
    <w:rsid w:val="00DE6E30"/>
    <w:rsid w:val="00DE6F1A"/>
    <w:rsid w:val="00DE70AA"/>
    <w:rsid w:val="00DE70AB"/>
    <w:rsid w:val="00DE730F"/>
    <w:rsid w:val="00DE7552"/>
    <w:rsid w:val="00DE75AA"/>
    <w:rsid w:val="00DE7AC4"/>
    <w:rsid w:val="00DE7ED5"/>
    <w:rsid w:val="00DF0000"/>
    <w:rsid w:val="00DF02DE"/>
    <w:rsid w:val="00DF03B4"/>
    <w:rsid w:val="00DF03D2"/>
    <w:rsid w:val="00DF0835"/>
    <w:rsid w:val="00DF0858"/>
    <w:rsid w:val="00DF090F"/>
    <w:rsid w:val="00DF09C5"/>
    <w:rsid w:val="00DF0A3C"/>
    <w:rsid w:val="00DF0BA8"/>
    <w:rsid w:val="00DF0E0C"/>
    <w:rsid w:val="00DF1224"/>
    <w:rsid w:val="00DF1298"/>
    <w:rsid w:val="00DF12F8"/>
    <w:rsid w:val="00DF13BA"/>
    <w:rsid w:val="00DF14DB"/>
    <w:rsid w:val="00DF1ADB"/>
    <w:rsid w:val="00DF1B2E"/>
    <w:rsid w:val="00DF1DE3"/>
    <w:rsid w:val="00DF22D7"/>
    <w:rsid w:val="00DF232A"/>
    <w:rsid w:val="00DF24B6"/>
    <w:rsid w:val="00DF24FE"/>
    <w:rsid w:val="00DF272E"/>
    <w:rsid w:val="00DF2A5B"/>
    <w:rsid w:val="00DF34B8"/>
    <w:rsid w:val="00DF361E"/>
    <w:rsid w:val="00DF39A4"/>
    <w:rsid w:val="00DF3B3E"/>
    <w:rsid w:val="00DF3B8C"/>
    <w:rsid w:val="00DF400F"/>
    <w:rsid w:val="00DF420B"/>
    <w:rsid w:val="00DF42C0"/>
    <w:rsid w:val="00DF4425"/>
    <w:rsid w:val="00DF4459"/>
    <w:rsid w:val="00DF4687"/>
    <w:rsid w:val="00DF4AE8"/>
    <w:rsid w:val="00DF4AFE"/>
    <w:rsid w:val="00DF4CB4"/>
    <w:rsid w:val="00DF4E96"/>
    <w:rsid w:val="00DF4F36"/>
    <w:rsid w:val="00DF5051"/>
    <w:rsid w:val="00DF50AF"/>
    <w:rsid w:val="00DF5144"/>
    <w:rsid w:val="00DF5A4D"/>
    <w:rsid w:val="00DF5AA6"/>
    <w:rsid w:val="00DF5B71"/>
    <w:rsid w:val="00DF5DC7"/>
    <w:rsid w:val="00DF6255"/>
    <w:rsid w:val="00DF627A"/>
    <w:rsid w:val="00DF6368"/>
    <w:rsid w:val="00DF64B3"/>
    <w:rsid w:val="00DF65C5"/>
    <w:rsid w:val="00DF676B"/>
    <w:rsid w:val="00DF683D"/>
    <w:rsid w:val="00DF6860"/>
    <w:rsid w:val="00DF6946"/>
    <w:rsid w:val="00DF6A29"/>
    <w:rsid w:val="00DF6DD9"/>
    <w:rsid w:val="00DF70DE"/>
    <w:rsid w:val="00DF72D5"/>
    <w:rsid w:val="00DF739C"/>
    <w:rsid w:val="00DF75D9"/>
    <w:rsid w:val="00DF769D"/>
    <w:rsid w:val="00DF7816"/>
    <w:rsid w:val="00DF78FD"/>
    <w:rsid w:val="00DF7924"/>
    <w:rsid w:val="00DF7B33"/>
    <w:rsid w:val="00DF7D67"/>
    <w:rsid w:val="00E0019C"/>
    <w:rsid w:val="00E001F7"/>
    <w:rsid w:val="00E002BA"/>
    <w:rsid w:val="00E002EE"/>
    <w:rsid w:val="00E00321"/>
    <w:rsid w:val="00E00331"/>
    <w:rsid w:val="00E0044B"/>
    <w:rsid w:val="00E005FE"/>
    <w:rsid w:val="00E0079D"/>
    <w:rsid w:val="00E007FD"/>
    <w:rsid w:val="00E008EB"/>
    <w:rsid w:val="00E00996"/>
    <w:rsid w:val="00E00BCA"/>
    <w:rsid w:val="00E00E72"/>
    <w:rsid w:val="00E0107C"/>
    <w:rsid w:val="00E011C8"/>
    <w:rsid w:val="00E01470"/>
    <w:rsid w:val="00E01494"/>
    <w:rsid w:val="00E014C4"/>
    <w:rsid w:val="00E017FC"/>
    <w:rsid w:val="00E0183D"/>
    <w:rsid w:val="00E01850"/>
    <w:rsid w:val="00E01B27"/>
    <w:rsid w:val="00E01CA9"/>
    <w:rsid w:val="00E01F26"/>
    <w:rsid w:val="00E01FBE"/>
    <w:rsid w:val="00E02039"/>
    <w:rsid w:val="00E020CF"/>
    <w:rsid w:val="00E02195"/>
    <w:rsid w:val="00E0232A"/>
    <w:rsid w:val="00E0237E"/>
    <w:rsid w:val="00E024E3"/>
    <w:rsid w:val="00E02673"/>
    <w:rsid w:val="00E026EA"/>
    <w:rsid w:val="00E02D12"/>
    <w:rsid w:val="00E02E3B"/>
    <w:rsid w:val="00E02F6A"/>
    <w:rsid w:val="00E03221"/>
    <w:rsid w:val="00E03249"/>
    <w:rsid w:val="00E03326"/>
    <w:rsid w:val="00E0350B"/>
    <w:rsid w:val="00E036FE"/>
    <w:rsid w:val="00E03B00"/>
    <w:rsid w:val="00E03F77"/>
    <w:rsid w:val="00E04457"/>
    <w:rsid w:val="00E0453E"/>
    <w:rsid w:val="00E045F0"/>
    <w:rsid w:val="00E04768"/>
    <w:rsid w:val="00E0494F"/>
    <w:rsid w:val="00E049C8"/>
    <w:rsid w:val="00E04B36"/>
    <w:rsid w:val="00E04E8E"/>
    <w:rsid w:val="00E04FE1"/>
    <w:rsid w:val="00E051E9"/>
    <w:rsid w:val="00E05275"/>
    <w:rsid w:val="00E056B5"/>
    <w:rsid w:val="00E05920"/>
    <w:rsid w:val="00E05A15"/>
    <w:rsid w:val="00E062BE"/>
    <w:rsid w:val="00E06506"/>
    <w:rsid w:val="00E0650F"/>
    <w:rsid w:val="00E06595"/>
    <w:rsid w:val="00E06632"/>
    <w:rsid w:val="00E06917"/>
    <w:rsid w:val="00E06A19"/>
    <w:rsid w:val="00E06A47"/>
    <w:rsid w:val="00E06B91"/>
    <w:rsid w:val="00E06C4A"/>
    <w:rsid w:val="00E07059"/>
    <w:rsid w:val="00E07BD7"/>
    <w:rsid w:val="00E07C0A"/>
    <w:rsid w:val="00E07E61"/>
    <w:rsid w:val="00E07E78"/>
    <w:rsid w:val="00E07E92"/>
    <w:rsid w:val="00E10377"/>
    <w:rsid w:val="00E10478"/>
    <w:rsid w:val="00E1078E"/>
    <w:rsid w:val="00E10874"/>
    <w:rsid w:val="00E10902"/>
    <w:rsid w:val="00E1097C"/>
    <w:rsid w:val="00E10995"/>
    <w:rsid w:val="00E10A61"/>
    <w:rsid w:val="00E10AAA"/>
    <w:rsid w:val="00E10ADF"/>
    <w:rsid w:val="00E10B6C"/>
    <w:rsid w:val="00E10C81"/>
    <w:rsid w:val="00E10D3F"/>
    <w:rsid w:val="00E110D3"/>
    <w:rsid w:val="00E115CE"/>
    <w:rsid w:val="00E117AA"/>
    <w:rsid w:val="00E11816"/>
    <w:rsid w:val="00E11C9F"/>
    <w:rsid w:val="00E11D5E"/>
    <w:rsid w:val="00E11D7A"/>
    <w:rsid w:val="00E11FC6"/>
    <w:rsid w:val="00E120C3"/>
    <w:rsid w:val="00E120CB"/>
    <w:rsid w:val="00E122E8"/>
    <w:rsid w:val="00E123DA"/>
    <w:rsid w:val="00E12691"/>
    <w:rsid w:val="00E127B1"/>
    <w:rsid w:val="00E12A79"/>
    <w:rsid w:val="00E12DAC"/>
    <w:rsid w:val="00E12E34"/>
    <w:rsid w:val="00E1303E"/>
    <w:rsid w:val="00E130DA"/>
    <w:rsid w:val="00E133CC"/>
    <w:rsid w:val="00E1370C"/>
    <w:rsid w:val="00E139D6"/>
    <w:rsid w:val="00E13C0C"/>
    <w:rsid w:val="00E13C4E"/>
    <w:rsid w:val="00E13CC5"/>
    <w:rsid w:val="00E13F4E"/>
    <w:rsid w:val="00E13F65"/>
    <w:rsid w:val="00E13F7C"/>
    <w:rsid w:val="00E142A4"/>
    <w:rsid w:val="00E144C9"/>
    <w:rsid w:val="00E14500"/>
    <w:rsid w:val="00E145DC"/>
    <w:rsid w:val="00E148F2"/>
    <w:rsid w:val="00E14CA2"/>
    <w:rsid w:val="00E14CA9"/>
    <w:rsid w:val="00E14F65"/>
    <w:rsid w:val="00E1500B"/>
    <w:rsid w:val="00E15658"/>
    <w:rsid w:val="00E15752"/>
    <w:rsid w:val="00E15B7A"/>
    <w:rsid w:val="00E15D73"/>
    <w:rsid w:val="00E163C4"/>
    <w:rsid w:val="00E163EE"/>
    <w:rsid w:val="00E16629"/>
    <w:rsid w:val="00E1683D"/>
    <w:rsid w:val="00E16A82"/>
    <w:rsid w:val="00E16B65"/>
    <w:rsid w:val="00E1700C"/>
    <w:rsid w:val="00E1746F"/>
    <w:rsid w:val="00E17515"/>
    <w:rsid w:val="00E1772E"/>
    <w:rsid w:val="00E1785B"/>
    <w:rsid w:val="00E17AB9"/>
    <w:rsid w:val="00E17C7F"/>
    <w:rsid w:val="00E17E31"/>
    <w:rsid w:val="00E2003B"/>
    <w:rsid w:val="00E2010D"/>
    <w:rsid w:val="00E20226"/>
    <w:rsid w:val="00E20513"/>
    <w:rsid w:val="00E20862"/>
    <w:rsid w:val="00E20B38"/>
    <w:rsid w:val="00E20E04"/>
    <w:rsid w:val="00E20F2A"/>
    <w:rsid w:val="00E20F58"/>
    <w:rsid w:val="00E21024"/>
    <w:rsid w:val="00E2122A"/>
    <w:rsid w:val="00E2151C"/>
    <w:rsid w:val="00E2156A"/>
    <w:rsid w:val="00E21AD5"/>
    <w:rsid w:val="00E21AE6"/>
    <w:rsid w:val="00E21F64"/>
    <w:rsid w:val="00E220A5"/>
    <w:rsid w:val="00E220DC"/>
    <w:rsid w:val="00E229CA"/>
    <w:rsid w:val="00E22A18"/>
    <w:rsid w:val="00E22B67"/>
    <w:rsid w:val="00E22CDB"/>
    <w:rsid w:val="00E22DD3"/>
    <w:rsid w:val="00E22E9D"/>
    <w:rsid w:val="00E23345"/>
    <w:rsid w:val="00E23361"/>
    <w:rsid w:val="00E23685"/>
    <w:rsid w:val="00E23784"/>
    <w:rsid w:val="00E2394E"/>
    <w:rsid w:val="00E23A7D"/>
    <w:rsid w:val="00E23D5B"/>
    <w:rsid w:val="00E243B8"/>
    <w:rsid w:val="00E24720"/>
    <w:rsid w:val="00E247C0"/>
    <w:rsid w:val="00E24B61"/>
    <w:rsid w:val="00E25234"/>
    <w:rsid w:val="00E25305"/>
    <w:rsid w:val="00E25414"/>
    <w:rsid w:val="00E25528"/>
    <w:rsid w:val="00E25877"/>
    <w:rsid w:val="00E25B38"/>
    <w:rsid w:val="00E26075"/>
    <w:rsid w:val="00E261F4"/>
    <w:rsid w:val="00E26380"/>
    <w:rsid w:val="00E2638F"/>
    <w:rsid w:val="00E264AA"/>
    <w:rsid w:val="00E26776"/>
    <w:rsid w:val="00E27087"/>
    <w:rsid w:val="00E2717D"/>
    <w:rsid w:val="00E27665"/>
    <w:rsid w:val="00E2785C"/>
    <w:rsid w:val="00E27AFF"/>
    <w:rsid w:val="00E27DC4"/>
    <w:rsid w:val="00E30169"/>
    <w:rsid w:val="00E30282"/>
    <w:rsid w:val="00E302A2"/>
    <w:rsid w:val="00E304FE"/>
    <w:rsid w:val="00E30554"/>
    <w:rsid w:val="00E30559"/>
    <w:rsid w:val="00E305F4"/>
    <w:rsid w:val="00E308F0"/>
    <w:rsid w:val="00E30A4A"/>
    <w:rsid w:val="00E30B72"/>
    <w:rsid w:val="00E30D1B"/>
    <w:rsid w:val="00E30DA6"/>
    <w:rsid w:val="00E3103D"/>
    <w:rsid w:val="00E3110B"/>
    <w:rsid w:val="00E3111C"/>
    <w:rsid w:val="00E3146B"/>
    <w:rsid w:val="00E3147F"/>
    <w:rsid w:val="00E314E1"/>
    <w:rsid w:val="00E3154B"/>
    <w:rsid w:val="00E31866"/>
    <w:rsid w:val="00E318F1"/>
    <w:rsid w:val="00E3194B"/>
    <w:rsid w:val="00E319B4"/>
    <w:rsid w:val="00E31BD0"/>
    <w:rsid w:val="00E31C45"/>
    <w:rsid w:val="00E32042"/>
    <w:rsid w:val="00E3236B"/>
    <w:rsid w:val="00E32513"/>
    <w:rsid w:val="00E325A0"/>
    <w:rsid w:val="00E32A4C"/>
    <w:rsid w:val="00E32D34"/>
    <w:rsid w:val="00E33042"/>
    <w:rsid w:val="00E331CF"/>
    <w:rsid w:val="00E33394"/>
    <w:rsid w:val="00E335AD"/>
    <w:rsid w:val="00E338F8"/>
    <w:rsid w:val="00E339E5"/>
    <w:rsid w:val="00E33A25"/>
    <w:rsid w:val="00E33B1C"/>
    <w:rsid w:val="00E33CA4"/>
    <w:rsid w:val="00E33F6D"/>
    <w:rsid w:val="00E34304"/>
    <w:rsid w:val="00E346BA"/>
    <w:rsid w:val="00E34729"/>
    <w:rsid w:val="00E3497F"/>
    <w:rsid w:val="00E34A20"/>
    <w:rsid w:val="00E34C08"/>
    <w:rsid w:val="00E34C18"/>
    <w:rsid w:val="00E34CC5"/>
    <w:rsid w:val="00E34D30"/>
    <w:rsid w:val="00E34D9F"/>
    <w:rsid w:val="00E34E20"/>
    <w:rsid w:val="00E34F71"/>
    <w:rsid w:val="00E353A2"/>
    <w:rsid w:val="00E35457"/>
    <w:rsid w:val="00E356E5"/>
    <w:rsid w:val="00E35AF8"/>
    <w:rsid w:val="00E35D51"/>
    <w:rsid w:val="00E35FBA"/>
    <w:rsid w:val="00E360F3"/>
    <w:rsid w:val="00E362E2"/>
    <w:rsid w:val="00E364B2"/>
    <w:rsid w:val="00E365AE"/>
    <w:rsid w:val="00E36768"/>
    <w:rsid w:val="00E36C64"/>
    <w:rsid w:val="00E36CC4"/>
    <w:rsid w:val="00E36E67"/>
    <w:rsid w:val="00E37252"/>
    <w:rsid w:val="00E372AE"/>
    <w:rsid w:val="00E3770B"/>
    <w:rsid w:val="00E379BC"/>
    <w:rsid w:val="00E404B6"/>
    <w:rsid w:val="00E407FD"/>
    <w:rsid w:val="00E40848"/>
    <w:rsid w:val="00E40D03"/>
    <w:rsid w:val="00E40DD2"/>
    <w:rsid w:val="00E40F90"/>
    <w:rsid w:val="00E40FE2"/>
    <w:rsid w:val="00E41397"/>
    <w:rsid w:val="00E414A6"/>
    <w:rsid w:val="00E415F0"/>
    <w:rsid w:val="00E416FA"/>
    <w:rsid w:val="00E41898"/>
    <w:rsid w:val="00E4199D"/>
    <w:rsid w:val="00E41ABE"/>
    <w:rsid w:val="00E41ACD"/>
    <w:rsid w:val="00E42391"/>
    <w:rsid w:val="00E423B2"/>
    <w:rsid w:val="00E423FE"/>
    <w:rsid w:val="00E4270F"/>
    <w:rsid w:val="00E42A50"/>
    <w:rsid w:val="00E42B48"/>
    <w:rsid w:val="00E42D8A"/>
    <w:rsid w:val="00E42E9B"/>
    <w:rsid w:val="00E43086"/>
    <w:rsid w:val="00E430B6"/>
    <w:rsid w:val="00E43201"/>
    <w:rsid w:val="00E43783"/>
    <w:rsid w:val="00E437FC"/>
    <w:rsid w:val="00E43A04"/>
    <w:rsid w:val="00E43C28"/>
    <w:rsid w:val="00E43CC5"/>
    <w:rsid w:val="00E43D97"/>
    <w:rsid w:val="00E43E8B"/>
    <w:rsid w:val="00E43EC1"/>
    <w:rsid w:val="00E441D7"/>
    <w:rsid w:val="00E448C0"/>
    <w:rsid w:val="00E4498B"/>
    <w:rsid w:val="00E44A87"/>
    <w:rsid w:val="00E44B6F"/>
    <w:rsid w:val="00E44D17"/>
    <w:rsid w:val="00E44D57"/>
    <w:rsid w:val="00E44D8C"/>
    <w:rsid w:val="00E45103"/>
    <w:rsid w:val="00E45191"/>
    <w:rsid w:val="00E45398"/>
    <w:rsid w:val="00E45650"/>
    <w:rsid w:val="00E4565F"/>
    <w:rsid w:val="00E456AA"/>
    <w:rsid w:val="00E459DF"/>
    <w:rsid w:val="00E45D78"/>
    <w:rsid w:val="00E45DDA"/>
    <w:rsid w:val="00E45FAF"/>
    <w:rsid w:val="00E4637E"/>
    <w:rsid w:val="00E463C8"/>
    <w:rsid w:val="00E46414"/>
    <w:rsid w:val="00E466B2"/>
    <w:rsid w:val="00E4671C"/>
    <w:rsid w:val="00E46965"/>
    <w:rsid w:val="00E46A77"/>
    <w:rsid w:val="00E46BD0"/>
    <w:rsid w:val="00E46C05"/>
    <w:rsid w:val="00E47016"/>
    <w:rsid w:val="00E472BA"/>
    <w:rsid w:val="00E4749F"/>
    <w:rsid w:val="00E4764D"/>
    <w:rsid w:val="00E476C7"/>
    <w:rsid w:val="00E4778E"/>
    <w:rsid w:val="00E47AFF"/>
    <w:rsid w:val="00E47E06"/>
    <w:rsid w:val="00E47ECF"/>
    <w:rsid w:val="00E5002A"/>
    <w:rsid w:val="00E500AB"/>
    <w:rsid w:val="00E500D4"/>
    <w:rsid w:val="00E500DC"/>
    <w:rsid w:val="00E50154"/>
    <w:rsid w:val="00E5027F"/>
    <w:rsid w:val="00E50336"/>
    <w:rsid w:val="00E505AC"/>
    <w:rsid w:val="00E50977"/>
    <w:rsid w:val="00E50DC7"/>
    <w:rsid w:val="00E50E65"/>
    <w:rsid w:val="00E5157C"/>
    <w:rsid w:val="00E515D8"/>
    <w:rsid w:val="00E5185B"/>
    <w:rsid w:val="00E51C3D"/>
    <w:rsid w:val="00E51FDB"/>
    <w:rsid w:val="00E52259"/>
    <w:rsid w:val="00E52445"/>
    <w:rsid w:val="00E526ED"/>
    <w:rsid w:val="00E5276D"/>
    <w:rsid w:val="00E52B3E"/>
    <w:rsid w:val="00E53071"/>
    <w:rsid w:val="00E536D3"/>
    <w:rsid w:val="00E537A6"/>
    <w:rsid w:val="00E5390E"/>
    <w:rsid w:val="00E53B38"/>
    <w:rsid w:val="00E53EA9"/>
    <w:rsid w:val="00E53F38"/>
    <w:rsid w:val="00E54149"/>
    <w:rsid w:val="00E544A0"/>
    <w:rsid w:val="00E54BE0"/>
    <w:rsid w:val="00E54CCD"/>
    <w:rsid w:val="00E55169"/>
    <w:rsid w:val="00E553F7"/>
    <w:rsid w:val="00E55960"/>
    <w:rsid w:val="00E55A7A"/>
    <w:rsid w:val="00E55DD8"/>
    <w:rsid w:val="00E55FC4"/>
    <w:rsid w:val="00E56168"/>
    <w:rsid w:val="00E562B3"/>
    <w:rsid w:val="00E56323"/>
    <w:rsid w:val="00E56327"/>
    <w:rsid w:val="00E56350"/>
    <w:rsid w:val="00E56365"/>
    <w:rsid w:val="00E56467"/>
    <w:rsid w:val="00E5674C"/>
    <w:rsid w:val="00E56948"/>
    <w:rsid w:val="00E56E66"/>
    <w:rsid w:val="00E57300"/>
    <w:rsid w:val="00E57595"/>
    <w:rsid w:val="00E579C7"/>
    <w:rsid w:val="00E579DA"/>
    <w:rsid w:val="00E57B90"/>
    <w:rsid w:val="00E57C9B"/>
    <w:rsid w:val="00E57DCB"/>
    <w:rsid w:val="00E57E9C"/>
    <w:rsid w:val="00E57F7A"/>
    <w:rsid w:val="00E57F8C"/>
    <w:rsid w:val="00E57FF0"/>
    <w:rsid w:val="00E602D5"/>
    <w:rsid w:val="00E603AD"/>
    <w:rsid w:val="00E60612"/>
    <w:rsid w:val="00E6070D"/>
    <w:rsid w:val="00E60B14"/>
    <w:rsid w:val="00E60CDF"/>
    <w:rsid w:val="00E60E42"/>
    <w:rsid w:val="00E60E50"/>
    <w:rsid w:val="00E60E96"/>
    <w:rsid w:val="00E611A0"/>
    <w:rsid w:val="00E612C5"/>
    <w:rsid w:val="00E61320"/>
    <w:rsid w:val="00E613DD"/>
    <w:rsid w:val="00E6144C"/>
    <w:rsid w:val="00E614C2"/>
    <w:rsid w:val="00E61519"/>
    <w:rsid w:val="00E6184F"/>
    <w:rsid w:val="00E61922"/>
    <w:rsid w:val="00E61926"/>
    <w:rsid w:val="00E61944"/>
    <w:rsid w:val="00E6198C"/>
    <w:rsid w:val="00E61CFE"/>
    <w:rsid w:val="00E61F0C"/>
    <w:rsid w:val="00E621FD"/>
    <w:rsid w:val="00E6221D"/>
    <w:rsid w:val="00E62335"/>
    <w:rsid w:val="00E62476"/>
    <w:rsid w:val="00E6272C"/>
    <w:rsid w:val="00E628BA"/>
    <w:rsid w:val="00E62CDD"/>
    <w:rsid w:val="00E62E29"/>
    <w:rsid w:val="00E62F87"/>
    <w:rsid w:val="00E630C6"/>
    <w:rsid w:val="00E6330D"/>
    <w:rsid w:val="00E633A5"/>
    <w:rsid w:val="00E63553"/>
    <w:rsid w:val="00E635C0"/>
    <w:rsid w:val="00E635C2"/>
    <w:rsid w:val="00E635DF"/>
    <w:rsid w:val="00E63717"/>
    <w:rsid w:val="00E639FA"/>
    <w:rsid w:val="00E63CC4"/>
    <w:rsid w:val="00E640D1"/>
    <w:rsid w:val="00E6413A"/>
    <w:rsid w:val="00E64163"/>
    <w:rsid w:val="00E64562"/>
    <w:rsid w:val="00E645C4"/>
    <w:rsid w:val="00E64683"/>
    <w:rsid w:val="00E64767"/>
    <w:rsid w:val="00E648D8"/>
    <w:rsid w:val="00E64B1D"/>
    <w:rsid w:val="00E64C60"/>
    <w:rsid w:val="00E64DAE"/>
    <w:rsid w:val="00E64E58"/>
    <w:rsid w:val="00E651CF"/>
    <w:rsid w:val="00E653E8"/>
    <w:rsid w:val="00E6548D"/>
    <w:rsid w:val="00E658C5"/>
    <w:rsid w:val="00E6595C"/>
    <w:rsid w:val="00E659BC"/>
    <w:rsid w:val="00E65A5B"/>
    <w:rsid w:val="00E65A91"/>
    <w:rsid w:val="00E65D73"/>
    <w:rsid w:val="00E65DAA"/>
    <w:rsid w:val="00E65E0B"/>
    <w:rsid w:val="00E65E45"/>
    <w:rsid w:val="00E660B7"/>
    <w:rsid w:val="00E66134"/>
    <w:rsid w:val="00E661F3"/>
    <w:rsid w:val="00E664C3"/>
    <w:rsid w:val="00E665C0"/>
    <w:rsid w:val="00E6661C"/>
    <w:rsid w:val="00E66775"/>
    <w:rsid w:val="00E66B5A"/>
    <w:rsid w:val="00E66ECF"/>
    <w:rsid w:val="00E66F8C"/>
    <w:rsid w:val="00E6703B"/>
    <w:rsid w:val="00E67082"/>
    <w:rsid w:val="00E67128"/>
    <w:rsid w:val="00E6726E"/>
    <w:rsid w:val="00E6763B"/>
    <w:rsid w:val="00E676F3"/>
    <w:rsid w:val="00E67825"/>
    <w:rsid w:val="00E6796D"/>
    <w:rsid w:val="00E6798F"/>
    <w:rsid w:val="00E67A3A"/>
    <w:rsid w:val="00E67EE9"/>
    <w:rsid w:val="00E700FD"/>
    <w:rsid w:val="00E7014B"/>
    <w:rsid w:val="00E7025E"/>
    <w:rsid w:val="00E70342"/>
    <w:rsid w:val="00E70572"/>
    <w:rsid w:val="00E705DF"/>
    <w:rsid w:val="00E7082F"/>
    <w:rsid w:val="00E70A52"/>
    <w:rsid w:val="00E70AAA"/>
    <w:rsid w:val="00E70C55"/>
    <w:rsid w:val="00E70DD5"/>
    <w:rsid w:val="00E71043"/>
    <w:rsid w:val="00E71241"/>
    <w:rsid w:val="00E712FF"/>
    <w:rsid w:val="00E713BC"/>
    <w:rsid w:val="00E714C3"/>
    <w:rsid w:val="00E7152D"/>
    <w:rsid w:val="00E71695"/>
    <w:rsid w:val="00E719FB"/>
    <w:rsid w:val="00E719FE"/>
    <w:rsid w:val="00E71A87"/>
    <w:rsid w:val="00E71C7A"/>
    <w:rsid w:val="00E7201D"/>
    <w:rsid w:val="00E720AB"/>
    <w:rsid w:val="00E72876"/>
    <w:rsid w:val="00E72EBA"/>
    <w:rsid w:val="00E72F9F"/>
    <w:rsid w:val="00E72FFC"/>
    <w:rsid w:val="00E73375"/>
    <w:rsid w:val="00E73383"/>
    <w:rsid w:val="00E7367A"/>
    <w:rsid w:val="00E736EA"/>
    <w:rsid w:val="00E737AA"/>
    <w:rsid w:val="00E739D2"/>
    <w:rsid w:val="00E73C82"/>
    <w:rsid w:val="00E73D39"/>
    <w:rsid w:val="00E73EE3"/>
    <w:rsid w:val="00E743E8"/>
    <w:rsid w:val="00E744E6"/>
    <w:rsid w:val="00E74BC8"/>
    <w:rsid w:val="00E74EF8"/>
    <w:rsid w:val="00E75022"/>
    <w:rsid w:val="00E750D7"/>
    <w:rsid w:val="00E751D0"/>
    <w:rsid w:val="00E7538F"/>
    <w:rsid w:val="00E75464"/>
    <w:rsid w:val="00E75881"/>
    <w:rsid w:val="00E75D4D"/>
    <w:rsid w:val="00E76007"/>
    <w:rsid w:val="00E76386"/>
    <w:rsid w:val="00E7641D"/>
    <w:rsid w:val="00E76887"/>
    <w:rsid w:val="00E76B73"/>
    <w:rsid w:val="00E76C07"/>
    <w:rsid w:val="00E76F61"/>
    <w:rsid w:val="00E7727F"/>
    <w:rsid w:val="00E774CF"/>
    <w:rsid w:val="00E777E0"/>
    <w:rsid w:val="00E778FA"/>
    <w:rsid w:val="00E77A1F"/>
    <w:rsid w:val="00E77A6D"/>
    <w:rsid w:val="00E77E65"/>
    <w:rsid w:val="00E8005D"/>
    <w:rsid w:val="00E8006C"/>
    <w:rsid w:val="00E80206"/>
    <w:rsid w:val="00E8021A"/>
    <w:rsid w:val="00E8024A"/>
    <w:rsid w:val="00E804B0"/>
    <w:rsid w:val="00E805CB"/>
    <w:rsid w:val="00E805F5"/>
    <w:rsid w:val="00E8082E"/>
    <w:rsid w:val="00E808A4"/>
    <w:rsid w:val="00E80A28"/>
    <w:rsid w:val="00E80FF9"/>
    <w:rsid w:val="00E81116"/>
    <w:rsid w:val="00E81197"/>
    <w:rsid w:val="00E811B2"/>
    <w:rsid w:val="00E81686"/>
    <w:rsid w:val="00E81792"/>
    <w:rsid w:val="00E817D9"/>
    <w:rsid w:val="00E81ACA"/>
    <w:rsid w:val="00E81B28"/>
    <w:rsid w:val="00E8225F"/>
    <w:rsid w:val="00E8237B"/>
    <w:rsid w:val="00E824CE"/>
    <w:rsid w:val="00E82615"/>
    <w:rsid w:val="00E828B7"/>
    <w:rsid w:val="00E82B7F"/>
    <w:rsid w:val="00E82C2B"/>
    <w:rsid w:val="00E82C6D"/>
    <w:rsid w:val="00E82C9A"/>
    <w:rsid w:val="00E82D8F"/>
    <w:rsid w:val="00E83023"/>
    <w:rsid w:val="00E83227"/>
    <w:rsid w:val="00E832D2"/>
    <w:rsid w:val="00E832E5"/>
    <w:rsid w:val="00E8338F"/>
    <w:rsid w:val="00E8341B"/>
    <w:rsid w:val="00E83436"/>
    <w:rsid w:val="00E837CD"/>
    <w:rsid w:val="00E8381C"/>
    <w:rsid w:val="00E8397D"/>
    <w:rsid w:val="00E83A52"/>
    <w:rsid w:val="00E83CB1"/>
    <w:rsid w:val="00E83DA1"/>
    <w:rsid w:val="00E83F8F"/>
    <w:rsid w:val="00E844CF"/>
    <w:rsid w:val="00E847B9"/>
    <w:rsid w:val="00E84807"/>
    <w:rsid w:val="00E84B1D"/>
    <w:rsid w:val="00E84D11"/>
    <w:rsid w:val="00E84D95"/>
    <w:rsid w:val="00E84FBF"/>
    <w:rsid w:val="00E85149"/>
    <w:rsid w:val="00E85162"/>
    <w:rsid w:val="00E8518B"/>
    <w:rsid w:val="00E851F7"/>
    <w:rsid w:val="00E853F1"/>
    <w:rsid w:val="00E855DC"/>
    <w:rsid w:val="00E8565A"/>
    <w:rsid w:val="00E85874"/>
    <w:rsid w:val="00E85969"/>
    <w:rsid w:val="00E859F0"/>
    <w:rsid w:val="00E8629F"/>
    <w:rsid w:val="00E862CC"/>
    <w:rsid w:val="00E8656C"/>
    <w:rsid w:val="00E865B6"/>
    <w:rsid w:val="00E8672C"/>
    <w:rsid w:val="00E86886"/>
    <w:rsid w:val="00E868A7"/>
    <w:rsid w:val="00E868BB"/>
    <w:rsid w:val="00E86E41"/>
    <w:rsid w:val="00E86E7C"/>
    <w:rsid w:val="00E86EF8"/>
    <w:rsid w:val="00E87189"/>
    <w:rsid w:val="00E877F3"/>
    <w:rsid w:val="00E87839"/>
    <w:rsid w:val="00E87960"/>
    <w:rsid w:val="00E8799E"/>
    <w:rsid w:val="00E87A63"/>
    <w:rsid w:val="00E903B3"/>
    <w:rsid w:val="00E9048F"/>
    <w:rsid w:val="00E906C1"/>
    <w:rsid w:val="00E909F0"/>
    <w:rsid w:val="00E90BF6"/>
    <w:rsid w:val="00E90D45"/>
    <w:rsid w:val="00E91234"/>
    <w:rsid w:val="00E91895"/>
    <w:rsid w:val="00E919B0"/>
    <w:rsid w:val="00E91B2A"/>
    <w:rsid w:val="00E91B8E"/>
    <w:rsid w:val="00E91C7E"/>
    <w:rsid w:val="00E91FE0"/>
    <w:rsid w:val="00E92165"/>
    <w:rsid w:val="00E925FA"/>
    <w:rsid w:val="00E927B7"/>
    <w:rsid w:val="00E929FB"/>
    <w:rsid w:val="00E929FC"/>
    <w:rsid w:val="00E92B18"/>
    <w:rsid w:val="00E92C6B"/>
    <w:rsid w:val="00E92CBD"/>
    <w:rsid w:val="00E92F36"/>
    <w:rsid w:val="00E932C2"/>
    <w:rsid w:val="00E933DF"/>
    <w:rsid w:val="00E9357D"/>
    <w:rsid w:val="00E938BA"/>
    <w:rsid w:val="00E9393A"/>
    <w:rsid w:val="00E93AFF"/>
    <w:rsid w:val="00E93B8A"/>
    <w:rsid w:val="00E93DCB"/>
    <w:rsid w:val="00E93EB9"/>
    <w:rsid w:val="00E94084"/>
    <w:rsid w:val="00E9416A"/>
    <w:rsid w:val="00E945A1"/>
    <w:rsid w:val="00E94811"/>
    <w:rsid w:val="00E94BDC"/>
    <w:rsid w:val="00E94D28"/>
    <w:rsid w:val="00E94E8E"/>
    <w:rsid w:val="00E94F4B"/>
    <w:rsid w:val="00E9501C"/>
    <w:rsid w:val="00E950C8"/>
    <w:rsid w:val="00E952FE"/>
    <w:rsid w:val="00E95597"/>
    <w:rsid w:val="00E95797"/>
    <w:rsid w:val="00E95B22"/>
    <w:rsid w:val="00E95C81"/>
    <w:rsid w:val="00E95CA7"/>
    <w:rsid w:val="00E95ED0"/>
    <w:rsid w:val="00E96040"/>
    <w:rsid w:val="00E962F6"/>
    <w:rsid w:val="00E96417"/>
    <w:rsid w:val="00E9649F"/>
    <w:rsid w:val="00E96542"/>
    <w:rsid w:val="00E9662D"/>
    <w:rsid w:val="00E9679B"/>
    <w:rsid w:val="00E9682B"/>
    <w:rsid w:val="00E96859"/>
    <w:rsid w:val="00E96A82"/>
    <w:rsid w:val="00E96AD8"/>
    <w:rsid w:val="00E96C1D"/>
    <w:rsid w:val="00E96E84"/>
    <w:rsid w:val="00E96F20"/>
    <w:rsid w:val="00E970D6"/>
    <w:rsid w:val="00E97254"/>
    <w:rsid w:val="00E97509"/>
    <w:rsid w:val="00E97624"/>
    <w:rsid w:val="00E9787A"/>
    <w:rsid w:val="00E979A8"/>
    <w:rsid w:val="00E97DF6"/>
    <w:rsid w:val="00E97EA3"/>
    <w:rsid w:val="00EA0094"/>
    <w:rsid w:val="00EA06C9"/>
    <w:rsid w:val="00EA0A64"/>
    <w:rsid w:val="00EA0CCA"/>
    <w:rsid w:val="00EA0E3A"/>
    <w:rsid w:val="00EA11F2"/>
    <w:rsid w:val="00EA11F6"/>
    <w:rsid w:val="00EA1211"/>
    <w:rsid w:val="00EA14A8"/>
    <w:rsid w:val="00EA19B7"/>
    <w:rsid w:val="00EA1AA9"/>
    <w:rsid w:val="00EA1B63"/>
    <w:rsid w:val="00EA1C88"/>
    <w:rsid w:val="00EA2185"/>
    <w:rsid w:val="00EA21D8"/>
    <w:rsid w:val="00EA2333"/>
    <w:rsid w:val="00EA23C9"/>
    <w:rsid w:val="00EA25E9"/>
    <w:rsid w:val="00EA2758"/>
    <w:rsid w:val="00EA2773"/>
    <w:rsid w:val="00EA28B0"/>
    <w:rsid w:val="00EA2901"/>
    <w:rsid w:val="00EA2BA2"/>
    <w:rsid w:val="00EA2F60"/>
    <w:rsid w:val="00EA302F"/>
    <w:rsid w:val="00EA3177"/>
    <w:rsid w:val="00EA330E"/>
    <w:rsid w:val="00EA3464"/>
    <w:rsid w:val="00EA37E0"/>
    <w:rsid w:val="00EA3B60"/>
    <w:rsid w:val="00EA406D"/>
    <w:rsid w:val="00EA4577"/>
    <w:rsid w:val="00EA47A3"/>
    <w:rsid w:val="00EA47B8"/>
    <w:rsid w:val="00EA4C4C"/>
    <w:rsid w:val="00EA4DF7"/>
    <w:rsid w:val="00EA4E4F"/>
    <w:rsid w:val="00EA5032"/>
    <w:rsid w:val="00EA5151"/>
    <w:rsid w:val="00EA516F"/>
    <w:rsid w:val="00EA5267"/>
    <w:rsid w:val="00EA5317"/>
    <w:rsid w:val="00EA58B0"/>
    <w:rsid w:val="00EA5AAE"/>
    <w:rsid w:val="00EA5FE8"/>
    <w:rsid w:val="00EA60C0"/>
    <w:rsid w:val="00EA60E9"/>
    <w:rsid w:val="00EA6410"/>
    <w:rsid w:val="00EA65A1"/>
    <w:rsid w:val="00EA688F"/>
    <w:rsid w:val="00EA6B2D"/>
    <w:rsid w:val="00EA6E0D"/>
    <w:rsid w:val="00EA6E55"/>
    <w:rsid w:val="00EA71C0"/>
    <w:rsid w:val="00EA71C1"/>
    <w:rsid w:val="00EA72B1"/>
    <w:rsid w:val="00EA7416"/>
    <w:rsid w:val="00EA7424"/>
    <w:rsid w:val="00EA7C22"/>
    <w:rsid w:val="00EA7EFE"/>
    <w:rsid w:val="00EB0181"/>
    <w:rsid w:val="00EB0877"/>
    <w:rsid w:val="00EB08F9"/>
    <w:rsid w:val="00EB0C62"/>
    <w:rsid w:val="00EB0D55"/>
    <w:rsid w:val="00EB0E27"/>
    <w:rsid w:val="00EB10EF"/>
    <w:rsid w:val="00EB1245"/>
    <w:rsid w:val="00EB12A5"/>
    <w:rsid w:val="00EB1544"/>
    <w:rsid w:val="00EB15E0"/>
    <w:rsid w:val="00EB177E"/>
    <w:rsid w:val="00EB23D2"/>
    <w:rsid w:val="00EB2555"/>
    <w:rsid w:val="00EB256C"/>
    <w:rsid w:val="00EB2705"/>
    <w:rsid w:val="00EB27CC"/>
    <w:rsid w:val="00EB2906"/>
    <w:rsid w:val="00EB2AC7"/>
    <w:rsid w:val="00EB30B8"/>
    <w:rsid w:val="00EB3397"/>
    <w:rsid w:val="00EB33B6"/>
    <w:rsid w:val="00EB35FE"/>
    <w:rsid w:val="00EB3674"/>
    <w:rsid w:val="00EB3796"/>
    <w:rsid w:val="00EB37EB"/>
    <w:rsid w:val="00EB3BBD"/>
    <w:rsid w:val="00EB3EB6"/>
    <w:rsid w:val="00EB3ED7"/>
    <w:rsid w:val="00EB4031"/>
    <w:rsid w:val="00EB4103"/>
    <w:rsid w:val="00EB4319"/>
    <w:rsid w:val="00EB450C"/>
    <w:rsid w:val="00EB4799"/>
    <w:rsid w:val="00EB50AA"/>
    <w:rsid w:val="00EB52C1"/>
    <w:rsid w:val="00EB53DB"/>
    <w:rsid w:val="00EB5401"/>
    <w:rsid w:val="00EB550D"/>
    <w:rsid w:val="00EB586E"/>
    <w:rsid w:val="00EB5960"/>
    <w:rsid w:val="00EB5BBB"/>
    <w:rsid w:val="00EB5E41"/>
    <w:rsid w:val="00EB5F48"/>
    <w:rsid w:val="00EB6164"/>
    <w:rsid w:val="00EB618C"/>
    <w:rsid w:val="00EB62B5"/>
    <w:rsid w:val="00EB62D6"/>
    <w:rsid w:val="00EB62EF"/>
    <w:rsid w:val="00EB662C"/>
    <w:rsid w:val="00EB6744"/>
    <w:rsid w:val="00EB6868"/>
    <w:rsid w:val="00EB692E"/>
    <w:rsid w:val="00EB6A9C"/>
    <w:rsid w:val="00EB6E73"/>
    <w:rsid w:val="00EB6E7A"/>
    <w:rsid w:val="00EB7280"/>
    <w:rsid w:val="00EB7332"/>
    <w:rsid w:val="00EB77F2"/>
    <w:rsid w:val="00EB7895"/>
    <w:rsid w:val="00EB7D5E"/>
    <w:rsid w:val="00EB7F43"/>
    <w:rsid w:val="00EB7FED"/>
    <w:rsid w:val="00EC0836"/>
    <w:rsid w:val="00EC08A2"/>
    <w:rsid w:val="00EC08D7"/>
    <w:rsid w:val="00EC0DC8"/>
    <w:rsid w:val="00EC15AC"/>
    <w:rsid w:val="00EC1689"/>
    <w:rsid w:val="00EC1C9E"/>
    <w:rsid w:val="00EC2061"/>
    <w:rsid w:val="00EC21D8"/>
    <w:rsid w:val="00EC231A"/>
    <w:rsid w:val="00EC24AF"/>
    <w:rsid w:val="00EC2659"/>
    <w:rsid w:val="00EC2822"/>
    <w:rsid w:val="00EC2871"/>
    <w:rsid w:val="00EC2C88"/>
    <w:rsid w:val="00EC2F74"/>
    <w:rsid w:val="00EC2FCB"/>
    <w:rsid w:val="00EC3161"/>
    <w:rsid w:val="00EC34F3"/>
    <w:rsid w:val="00EC36A6"/>
    <w:rsid w:val="00EC3A85"/>
    <w:rsid w:val="00EC3B3D"/>
    <w:rsid w:val="00EC3B90"/>
    <w:rsid w:val="00EC3C68"/>
    <w:rsid w:val="00EC3F89"/>
    <w:rsid w:val="00EC44B5"/>
    <w:rsid w:val="00EC45E6"/>
    <w:rsid w:val="00EC4CB8"/>
    <w:rsid w:val="00EC4CD0"/>
    <w:rsid w:val="00EC4E39"/>
    <w:rsid w:val="00EC4E76"/>
    <w:rsid w:val="00EC4EFB"/>
    <w:rsid w:val="00EC4F5D"/>
    <w:rsid w:val="00EC5160"/>
    <w:rsid w:val="00EC54DB"/>
    <w:rsid w:val="00EC5594"/>
    <w:rsid w:val="00EC55D0"/>
    <w:rsid w:val="00EC58E4"/>
    <w:rsid w:val="00EC5B26"/>
    <w:rsid w:val="00EC60C3"/>
    <w:rsid w:val="00EC6129"/>
    <w:rsid w:val="00EC6444"/>
    <w:rsid w:val="00EC6455"/>
    <w:rsid w:val="00EC6778"/>
    <w:rsid w:val="00EC6C43"/>
    <w:rsid w:val="00EC6D38"/>
    <w:rsid w:val="00EC6E61"/>
    <w:rsid w:val="00EC6FEB"/>
    <w:rsid w:val="00EC7037"/>
    <w:rsid w:val="00EC7370"/>
    <w:rsid w:val="00EC73A9"/>
    <w:rsid w:val="00EC7591"/>
    <w:rsid w:val="00EC75F2"/>
    <w:rsid w:val="00EC76D3"/>
    <w:rsid w:val="00EC771A"/>
    <w:rsid w:val="00EC7832"/>
    <w:rsid w:val="00EC7E13"/>
    <w:rsid w:val="00EC7E7C"/>
    <w:rsid w:val="00ED006B"/>
    <w:rsid w:val="00ED07CE"/>
    <w:rsid w:val="00ED0BC4"/>
    <w:rsid w:val="00ED0BD4"/>
    <w:rsid w:val="00ED0E6F"/>
    <w:rsid w:val="00ED1020"/>
    <w:rsid w:val="00ED10A1"/>
    <w:rsid w:val="00ED10F0"/>
    <w:rsid w:val="00ED1151"/>
    <w:rsid w:val="00ED119A"/>
    <w:rsid w:val="00ED11D2"/>
    <w:rsid w:val="00ED1224"/>
    <w:rsid w:val="00ED12F6"/>
    <w:rsid w:val="00ED1A9A"/>
    <w:rsid w:val="00ED1DFC"/>
    <w:rsid w:val="00ED2101"/>
    <w:rsid w:val="00ED2BFA"/>
    <w:rsid w:val="00ED2EA1"/>
    <w:rsid w:val="00ED364B"/>
    <w:rsid w:val="00ED36E5"/>
    <w:rsid w:val="00ED378C"/>
    <w:rsid w:val="00ED37EC"/>
    <w:rsid w:val="00ED39AE"/>
    <w:rsid w:val="00ED39E4"/>
    <w:rsid w:val="00ED3A50"/>
    <w:rsid w:val="00ED3AD2"/>
    <w:rsid w:val="00ED3B88"/>
    <w:rsid w:val="00ED3E04"/>
    <w:rsid w:val="00ED402F"/>
    <w:rsid w:val="00ED458F"/>
    <w:rsid w:val="00ED46F0"/>
    <w:rsid w:val="00ED4873"/>
    <w:rsid w:val="00ED4A34"/>
    <w:rsid w:val="00ED4B15"/>
    <w:rsid w:val="00ED4BBD"/>
    <w:rsid w:val="00ED4E2A"/>
    <w:rsid w:val="00ED4FEE"/>
    <w:rsid w:val="00ED50EF"/>
    <w:rsid w:val="00ED5173"/>
    <w:rsid w:val="00ED5215"/>
    <w:rsid w:val="00ED5433"/>
    <w:rsid w:val="00ED556B"/>
    <w:rsid w:val="00ED55D0"/>
    <w:rsid w:val="00ED586D"/>
    <w:rsid w:val="00ED5D2F"/>
    <w:rsid w:val="00ED5D99"/>
    <w:rsid w:val="00ED5E16"/>
    <w:rsid w:val="00ED5EDB"/>
    <w:rsid w:val="00ED6043"/>
    <w:rsid w:val="00ED668D"/>
    <w:rsid w:val="00ED69CD"/>
    <w:rsid w:val="00ED6A11"/>
    <w:rsid w:val="00ED6ACB"/>
    <w:rsid w:val="00ED6BA3"/>
    <w:rsid w:val="00ED6CB1"/>
    <w:rsid w:val="00ED6DB3"/>
    <w:rsid w:val="00ED6E01"/>
    <w:rsid w:val="00ED6F4B"/>
    <w:rsid w:val="00ED6F63"/>
    <w:rsid w:val="00ED6F67"/>
    <w:rsid w:val="00ED72D6"/>
    <w:rsid w:val="00ED7390"/>
    <w:rsid w:val="00ED73DE"/>
    <w:rsid w:val="00ED770A"/>
    <w:rsid w:val="00ED7911"/>
    <w:rsid w:val="00ED7AEA"/>
    <w:rsid w:val="00ED7BC9"/>
    <w:rsid w:val="00ED7D23"/>
    <w:rsid w:val="00ED7F89"/>
    <w:rsid w:val="00EE0216"/>
    <w:rsid w:val="00EE07C7"/>
    <w:rsid w:val="00EE095D"/>
    <w:rsid w:val="00EE0B1B"/>
    <w:rsid w:val="00EE0C0B"/>
    <w:rsid w:val="00EE0D35"/>
    <w:rsid w:val="00EE0EB2"/>
    <w:rsid w:val="00EE0F89"/>
    <w:rsid w:val="00EE10A0"/>
    <w:rsid w:val="00EE1246"/>
    <w:rsid w:val="00EE13D7"/>
    <w:rsid w:val="00EE1417"/>
    <w:rsid w:val="00EE1569"/>
    <w:rsid w:val="00EE1573"/>
    <w:rsid w:val="00EE15F1"/>
    <w:rsid w:val="00EE1D4D"/>
    <w:rsid w:val="00EE1FCE"/>
    <w:rsid w:val="00EE1FE0"/>
    <w:rsid w:val="00EE202D"/>
    <w:rsid w:val="00EE20AA"/>
    <w:rsid w:val="00EE210E"/>
    <w:rsid w:val="00EE21CE"/>
    <w:rsid w:val="00EE25BE"/>
    <w:rsid w:val="00EE27B4"/>
    <w:rsid w:val="00EE2A6C"/>
    <w:rsid w:val="00EE2AB9"/>
    <w:rsid w:val="00EE2C0F"/>
    <w:rsid w:val="00EE2D96"/>
    <w:rsid w:val="00EE312B"/>
    <w:rsid w:val="00EE32AD"/>
    <w:rsid w:val="00EE3435"/>
    <w:rsid w:val="00EE373B"/>
    <w:rsid w:val="00EE3779"/>
    <w:rsid w:val="00EE390B"/>
    <w:rsid w:val="00EE3923"/>
    <w:rsid w:val="00EE3976"/>
    <w:rsid w:val="00EE3B61"/>
    <w:rsid w:val="00EE3BA4"/>
    <w:rsid w:val="00EE3BEA"/>
    <w:rsid w:val="00EE3C50"/>
    <w:rsid w:val="00EE3D07"/>
    <w:rsid w:val="00EE3EE1"/>
    <w:rsid w:val="00EE408D"/>
    <w:rsid w:val="00EE423A"/>
    <w:rsid w:val="00EE4348"/>
    <w:rsid w:val="00EE45EB"/>
    <w:rsid w:val="00EE4AF6"/>
    <w:rsid w:val="00EE4B5D"/>
    <w:rsid w:val="00EE4C17"/>
    <w:rsid w:val="00EE4D17"/>
    <w:rsid w:val="00EE4F54"/>
    <w:rsid w:val="00EE4F56"/>
    <w:rsid w:val="00EE50D2"/>
    <w:rsid w:val="00EE5134"/>
    <w:rsid w:val="00EE51AE"/>
    <w:rsid w:val="00EE51D2"/>
    <w:rsid w:val="00EE529A"/>
    <w:rsid w:val="00EE55D7"/>
    <w:rsid w:val="00EE565C"/>
    <w:rsid w:val="00EE5664"/>
    <w:rsid w:val="00EE5758"/>
    <w:rsid w:val="00EE585A"/>
    <w:rsid w:val="00EE5935"/>
    <w:rsid w:val="00EE5B53"/>
    <w:rsid w:val="00EE62CA"/>
    <w:rsid w:val="00EE641B"/>
    <w:rsid w:val="00EE64CE"/>
    <w:rsid w:val="00EE65B7"/>
    <w:rsid w:val="00EE694E"/>
    <w:rsid w:val="00EE6956"/>
    <w:rsid w:val="00EE6A45"/>
    <w:rsid w:val="00EE6ACA"/>
    <w:rsid w:val="00EE6B26"/>
    <w:rsid w:val="00EE6BB7"/>
    <w:rsid w:val="00EE6C2F"/>
    <w:rsid w:val="00EE6EBB"/>
    <w:rsid w:val="00EE7185"/>
    <w:rsid w:val="00EE7243"/>
    <w:rsid w:val="00EE7294"/>
    <w:rsid w:val="00EE757D"/>
    <w:rsid w:val="00EE7701"/>
    <w:rsid w:val="00EE7876"/>
    <w:rsid w:val="00EE7A5D"/>
    <w:rsid w:val="00EE7B07"/>
    <w:rsid w:val="00EE7B1B"/>
    <w:rsid w:val="00EE7BD1"/>
    <w:rsid w:val="00EE7C63"/>
    <w:rsid w:val="00EE7CFF"/>
    <w:rsid w:val="00EE7FF6"/>
    <w:rsid w:val="00EF00EA"/>
    <w:rsid w:val="00EF0395"/>
    <w:rsid w:val="00EF05F0"/>
    <w:rsid w:val="00EF0813"/>
    <w:rsid w:val="00EF0AF3"/>
    <w:rsid w:val="00EF0CA4"/>
    <w:rsid w:val="00EF113E"/>
    <w:rsid w:val="00EF135C"/>
    <w:rsid w:val="00EF1375"/>
    <w:rsid w:val="00EF16F2"/>
    <w:rsid w:val="00EF17C3"/>
    <w:rsid w:val="00EF17FF"/>
    <w:rsid w:val="00EF196A"/>
    <w:rsid w:val="00EF1A34"/>
    <w:rsid w:val="00EF1B4D"/>
    <w:rsid w:val="00EF1DB2"/>
    <w:rsid w:val="00EF1E64"/>
    <w:rsid w:val="00EF1E66"/>
    <w:rsid w:val="00EF20F4"/>
    <w:rsid w:val="00EF2223"/>
    <w:rsid w:val="00EF2312"/>
    <w:rsid w:val="00EF2A63"/>
    <w:rsid w:val="00EF2A9F"/>
    <w:rsid w:val="00EF2AD0"/>
    <w:rsid w:val="00EF2D65"/>
    <w:rsid w:val="00EF2DE8"/>
    <w:rsid w:val="00EF2F94"/>
    <w:rsid w:val="00EF36CE"/>
    <w:rsid w:val="00EF3A79"/>
    <w:rsid w:val="00EF3B09"/>
    <w:rsid w:val="00EF3C47"/>
    <w:rsid w:val="00EF3F60"/>
    <w:rsid w:val="00EF44F5"/>
    <w:rsid w:val="00EF46D3"/>
    <w:rsid w:val="00EF4A73"/>
    <w:rsid w:val="00EF4AD4"/>
    <w:rsid w:val="00EF4C83"/>
    <w:rsid w:val="00EF52B1"/>
    <w:rsid w:val="00EF5669"/>
    <w:rsid w:val="00EF5A32"/>
    <w:rsid w:val="00EF5A95"/>
    <w:rsid w:val="00EF5AB6"/>
    <w:rsid w:val="00EF5D73"/>
    <w:rsid w:val="00EF60BF"/>
    <w:rsid w:val="00EF63EC"/>
    <w:rsid w:val="00EF64A0"/>
    <w:rsid w:val="00EF6893"/>
    <w:rsid w:val="00EF6B9D"/>
    <w:rsid w:val="00EF70C7"/>
    <w:rsid w:val="00EF716D"/>
    <w:rsid w:val="00EF7297"/>
    <w:rsid w:val="00EF729A"/>
    <w:rsid w:val="00EF7952"/>
    <w:rsid w:val="00EF7AD5"/>
    <w:rsid w:val="00EF7BEC"/>
    <w:rsid w:val="00EF7E7E"/>
    <w:rsid w:val="00F002B5"/>
    <w:rsid w:val="00F00330"/>
    <w:rsid w:val="00F004B1"/>
    <w:rsid w:val="00F0052A"/>
    <w:rsid w:val="00F006D6"/>
    <w:rsid w:val="00F008D5"/>
    <w:rsid w:val="00F009D7"/>
    <w:rsid w:val="00F00AA0"/>
    <w:rsid w:val="00F00B75"/>
    <w:rsid w:val="00F00F4B"/>
    <w:rsid w:val="00F01041"/>
    <w:rsid w:val="00F01080"/>
    <w:rsid w:val="00F01138"/>
    <w:rsid w:val="00F01205"/>
    <w:rsid w:val="00F01466"/>
    <w:rsid w:val="00F014BE"/>
    <w:rsid w:val="00F014EA"/>
    <w:rsid w:val="00F01694"/>
    <w:rsid w:val="00F017FF"/>
    <w:rsid w:val="00F01948"/>
    <w:rsid w:val="00F01F9B"/>
    <w:rsid w:val="00F01FAF"/>
    <w:rsid w:val="00F021F7"/>
    <w:rsid w:val="00F02627"/>
    <w:rsid w:val="00F0264B"/>
    <w:rsid w:val="00F026E5"/>
    <w:rsid w:val="00F028AD"/>
    <w:rsid w:val="00F029A1"/>
    <w:rsid w:val="00F02FB6"/>
    <w:rsid w:val="00F03034"/>
    <w:rsid w:val="00F031B5"/>
    <w:rsid w:val="00F03208"/>
    <w:rsid w:val="00F03582"/>
    <w:rsid w:val="00F0361B"/>
    <w:rsid w:val="00F03714"/>
    <w:rsid w:val="00F03BF4"/>
    <w:rsid w:val="00F03D4F"/>
    <w:rsid w:val="00F0419B"/>
    <w:rsid w:val="00F04220"/>
    <w:rsid w:val="00F0431A"/>
    <w:rsid w:val="00F0492A"/>
    <w:rsid w:val="00F04AC7"/>
    <w:rsid w:val="00F04B63"/>
    <w:rsid w:val="00F04CEC"/>
    <w:rsid w:val="00F04D35"/>
    <w:rsid w:val="00F04F17"/>
    <w:rsid w:val="00F04F97"/>
    <w:rsid w:val="00F05100"/>
    <w:rsid w:val="00F056D3"/>
    <w:rsid w:val="00F059AD"/>
    <w:rsid w:val="00F05A87"/>
    <w:rsid w:val="00F05C8B"/>
    <w:rsid w:val="00F05EA1"/>
    <w:rsid w:val="00F0610A"/>
    <w:rsid w:val="00F0624D"/>
    <w:rsid w:val="00F0629F"/>
    <w:rsid w:val="00F06300"/>
    <w:rsid w:val="00F06727"/>
    <w:rsid w:val="00F067B0"/>
    <w:rsid w:val="00F06B00"/>
    <w:rsid w:val="00F06CC2"/>
    <w:rsid w:val="00F06D68"/>
    <w:rsid w:val="00F070C0"/>
    <w:rsid w:val="00F071CB"/>
    <w:rsid w:val="00F07405"/>
    <w:rsid w:val="00F0749A"/>
    <w:rsid w:val="00F074E0"/>
    <w:rsid w:val="00F07764"/>
    <w:rsid w:val="00F07D13"/>
    <w:rsid w:val="00F0F6AF"/>
    <w:rsid w:val="00F107C5"/>
    <w:rsid w:val="00F10C17"/>
    <w:rsid w:val="00F10CC8"/>
    <w:rsid w:val="00F10DF0"/>
    <w:rsid w:val="00F10E5E"/>
    <w:rsid w:val="00F10E95"/>
    <w:rsid w:val="00F10EA3"/>
    <w:rsid w:val="00F11094"/>
    <w:rsid w:val="00F113C0"/>
    <w:rsid w:val="00F114C4"/>
    <w:rsid w:val="00F11559"/>
    <w:rsid w:val="00F116AD"/>
    <w:rsid w:val="00F118B6"/>
    <w:rsid w:val="00F11CF8"/>
    <w:rsid w:val="00F12129"/>
    <w:rsid w:val="00F12191"/>
    <w:rsid w:val="00F12551"/>
    <w:rsid w:val="00F126C5"/>
    <w:rsid w:val="00F129B6"/>
    <w:rsid w:val="00F12ADC"/>
    <w:rsid w:val="00F12AF3"/>
    <w:rsid w:val="00F12C87"/>
    <w:rsid w:val="00F12D8F"/>
    <w:rsid w:val="00F12FAB"/>
    <w:rsid w:val="00F130A9"/>
    <w:rsid w:val="00F130B0"/>
    <w:rsid w:val="00F13141"/>
    <w:rsid w:val="00F133D2"/>
    <w:rsid w:val="00F13529"/>
    <w:rsid w:val="00F135E0"/>
    <w:rsid w:val="00F1363F"/>
    <w:rsid w:val="00F1379A"/>
    <w:rsid w:val="00F13893"/>
    <w:rsid w:val="00F139BB"/>
    <w:rsid w:val="00F13E60"/>
    <w:rsid w:val="00F13E83"/>
    <w:rsid w:val="00F13F1B"/>
    <w:rsid w:val="00F13F7E"/>
    <w:rsid w:val="00F1436F"/>
    <w:rsid w:val="00F14EEA"/>
    <w:rsid w:val="00F15134"/>
    <w:rsid w:val="00F15292"/>
    <w:rsid w:val="00F15593"/>
    <w:rsid w:val="00F1589C"/>
    <w:rsid w:val="00F15A84"/>
    <w:rsid w:val="00F15A8E"/>
    <w:rsid w:val="00F15DDB"/>
    <w:rsid w:val="00F15E76"/>
    <w:rsid w:val="00F1619E"/>
    <w:rsid w:val="00F16347"/>
    <w:rsid w:val="00F16477"/>
    <w:rsid w:val="00F1650A"/>
    <w:rsid w:val="00F16532"/>
    <w:rsid w:val="00F1665B"/>
    <w:rsid w:val="00F167E6"/>
    <w:rsid w:val="00F16B20"/>
    <w:rsid w:val="00F16BF0"/>
    <w:rsid w:val="00F16F33"/>
    <w:rsid w:val="00F16FAD"/>
    <w:rsid w:val="00F172E9"/>
    <w:rsid w:val="00F1730E"/>
    <w:rsid w:val="00F173D8"/>
    <w:rsid w:val="00F17423"/>
    <w:rsid w:val="00F17973"/>
    <w:rsid w:val="00F1799D"/>
    <w:rsid w:val="00F17FE7"/>
    <w:rsid w:val="00F205A2"/>
    <w:rsid w:val="00F20845"/>
    <w:rsid w:val="00F20BF8"/>
    <w:rsid w:val="00F20F13"/>
    <w:rsid w:val="00F21254"/>
    <w:rsid w:val="00F213B1"/>
    <w:rsid w:val="00F2140B"/>
    <w:rsid w:val="00F21547"/>
    <w:rsid w:val="00F215FC"/>
    <w:rsid w:val="00F216AA"/>
    <w:rsid w:val="00F216DC"/>
    <w:rsid w:val="00F218FD"/>
    <w:rsid w:val="00F21B16"/>
    <w:rsid w:val="00F21C28"/>
    <w:rsid w:val="00F21CFC"/>
    <w:rsid w:val="00F21E0D"/>
    <w:rsid w:val="00F21E2D"/>
    <w:rsid w:val="00F21FD7"/>
    <w:rsid w:val="00F221B2"/>
    <w:rsid w:val="00F2225B"/>
    <w:rsid w:val="00F222DC"/>
    <w:rsid w:val="00F22655"/>
    <w:rsid w:val="00F22CD4"/>
    <w:rsid w:val="00F23053"/>
    <w:rsid w:val="00F23193"/>
    <w:rsid w:val="00F23462"/>
    <w:rsid w:val="00F234D7"/>
    <w:rsid w:val="00F236FE"/>
    <w:rsid w:val="00F237A3"/>
    <w:rsid w:val="00F238EB"/>
    <w:rsid w:val="00F23AE3"/>
    <w:rsid w:val="00F23B6F"/>
    <w:rsid w:val="00F23F02"/>
    <w:rsid w:val="00F23F48"/>
    <w:rsid w:val="00F24110"/>
    <w:rsid w:val="00F24120"/>
    <w:rsid w:val="00F24CF0"/>
    <w:rsid w:val="00F24DB9"/>
    <w:rsid w:val="00F25361"/>
    <w:rsid w:val="00F253FB"/>
    <w:rsid w:val="00F25657"/>
    <w:rsid w:val="00F2567C"/>
    <w:rsid w:val="00F25685"/>
    <w:rsid w:val="00F256A1"/>
    <w:rsid w:val="00F256AE"/>
    <w:rsid w:val="00F257AC"/>
    <w:rsid w:val="00F259BE"/>
    <w:rsid w:val="00F25A46"/>
    <w:rsid w:val="00F25F50"/>
    <w:rsid w:val="00F26236"/>
    <w:rsid w:val="00F2631B"/>
    <w:rsid w:val="00F26344"/>
    <w:rsid w:val="00F267A6"/>
    <w:rsid w:val="00F26954"/>
    <w:rsid w:val="00F26B76"/>
    <w:rsid w:val="00F27210"/>
    <w:rsid w:val="00F274BD"/>
    <w:rsid w:val="00F274F3"/>
    <w:rsid w:val="00F274F6"/>
    <w:rsid w:val="00F2789D"/>
    <w:rsid w:val="00F279FE"/>
    <w:rsid w:val="00F27A17"/>
    <w:rsid w:val="00F27BDB"/>
    <w:rsid w:val="00F27C4D"/>
    <w:rsid w:val="00F27F10"/>
    <w:rsid w:val="00F303B2"/>
    <w:rsid w:val="00F30469"/>
    <w:rsid w:val="00F30593"/>
    <w:rsid w:val="00F305B7"/>
    <w:rsid w:val="00F30670"/>
    <w:rsid w:val="00F306E3"/>
    <w:rsid w:val="00F30825"/>
    <w:rsid w:val="00F30869"/>
    <w:rsid w:val="00F30D01"/>
    <w:rsid w:val="00F30D1F"/>
    <w:rsid w:val="00F30FBD"/>
    <w:rsid w:val="00F311A3"/>
    <w:rsid w:val="00F31318"/>
    <w:rsid w:val="00F318F2"/>
    <w:rsid w:val="00F319B3"/>
    <w:rsid w:val="00F31FD9"/>
    <w:rsid w:val="00F32007"/>
    <w:rsid w:val="00F32018"/>
    <w:rsid w:val="00F32150"/>
    <w:rsid w:val="00F32356"/>
    <w:rsid w:val="00F323F6"/>
    <w:rsid w:val="00F3243C"/>
    <w:rsid w:val="00F326A2"/>
    <w:rsid w:val="00F326D8"/>
    <w:rsid w:val="00F3282C"/>
    <w:rsid w:val="00F32D5B"/>
    <w:rsid w:val="00F33079"/>
    <w:rsid w:val="00F330F7"/>
    <w:rsid w:val="00F332FD"/>
    <w:rsid w:val="00F33399"/>
    <w:rsid w:val="00F334B7"/>
    <w:rsid w:val="00F337BE"/>
    <w:rsid w:val="00F33990"/>
    <w:rsid w:val="00F33A37"/>
    <w:rsid w:val="00F33BBD"/>
    <w:rsid w:val="00F33BE3"/>
    <w:rsid w:val="00F33D20"/>
    <w:rsid w:val="00F33EBC"/>
    <w:rsid w:val="00F33EC0"/>
    <w:rsid w:val="00F33F20"/>
    <w:rsid w:val="00F34879"/>
    <w:rsid w:val="00F3499C"/>
    <w:rsid w:val="00F34A30"/>
    <w:rsid w:val="00F34CE5"/>
    <w:rsid w:val="00F34D5E"/>
    <w:rsid w:val="00F3537D"/>
    <w:rsid w:val="00F354FB"/>
    <w:rsid w:val="00F35685"/>
    <w:rsid w:val="00F35AD5"/>
    <w:rsid w:val="00F35D01"/>
    <w:rsid w:val="00F35FA6"/>
    <w:rsid w:val="00F36002"/>
    <w:rsid w:val="00F36286"/>
    <w:rsid w:val="00F3640D"/>
    <w:rsid w:val="00F36420"/>
    <w:rsid w:val="00F3657F"/>
    <w:rsid w:val="00F369BB"/>
    <w:rsid w:val="00F36BB0"/>
    <w:rsid w:val="00F36DC0"/>
    <w:rsid w:val="00F36DF9"/>
    <w:rsid w:val="00F36E1A"/>
    <w:rsid w:val="00F3756E"/>
    <w:rsid w:val="00F37571"/>
    <w:rsid w:val="00F3763F"/>
    <w:rsid w:val="00F37945"/>
    <w:rsid w:val="00F3798B"/>
    <w:rsid w:val="00F37AF2"/>
    <w:rsid w:val="00F37BEF"/>
    <w:rsid w:val="00F37C54"/>
    <w:rsid w:val="00F37F7E"/>
    <w:rsid w:val="00F37FE2"/>
    <w:rsid w:val="00F4014E"/>
    <w:rsid w:val="00F40309"/>
    <w:rsid w:val="00F40452"/>
    <w:rsid w:val="00F4054A"/>
    <w:rsid w:val="00F405B4"/>
    <w:rsid w:val="00F405FA"/>
    <w:rsid w:val="00F40A9F"/>
    <w:rsid w:val="00F40CE4"/>
    <w:rsid w:val="00F41090"/>
    <w:rsid w:val="00F41099"/>
    <w:rsid w:val="00F412E8"/>
    <w:rsid w:val="00F41B34"/>
    <w:rsid w:val="00F41C41"/>
    <w:rsid w:val="00F41CEC"/>
    <w:rsid w:val="00F41DA6"/>
    <w:rsid w:val="00F4208C"/>
    <w:rsid w:val="00F42123"/>
    <w:rsid w:val="00F424AB"/>
    <w:rsid w:val="00F42797"/>
    <w:rsid w:val="00F42806"/>
    <w:rsid w:val="00F42959"/>
    <w:rsid w:val="00F42ACF"/>
    <w:rsid w:val="00F42BFB"/>
    <w:rsid w:val="00F43199"/>
    <w:rsid w:val="00F437BC"/>
    <w:rsid w:val="00F439DA"/>
    <w:rsid w:val="00F43E19"/>
    <w:rsid w:val="00F446CE"/>
    <w:rsid w:val="00F44937"/>
    <w:rsid w:val="00F44CF1"/>
    <w:rsid w:val="00F44D5E"/>
    <w:rsid w:val="00F44DC6"/>
    <w:rsid w:val="00F44F0F"/>
    <w:rsid w:val="00F44FCE"/>
    <w:rsid w:val="00F45001"/>
    <w:rsid w:val="00F45279"/>
    <w:rsid w:val="00F453F4"/>
    <w:rsid w:val="00F45617"/>
    <w:rsid w:val="00F4565F"/>
    <w:rsid w:val="00F457BB"/>
    <w:rsid w:val="00F45892"/>
    <w:rsid w:val="00F458C5"/>
    <w:rsid w:val="00F458EB"/>
    <w:rsid w:val="00F4606F"/>
    <w:rsid w:val="00F460FB"/>
    <w:rsid w:val="00F46125"/>
    <w:rsid w:val="00F4612F"/>
    <w:rsid w:val="00F46235"/>
    <w:rsid w:val="00F462BD"/>
    <w:rsid w:val="00F46635"/>
    <w:rsid w:val="00F466BB"/>
    <w:rsid w:val="00F46A0E"/>
    <w:rsid w:val="00F46A47"/>
    <w:rsid w:val="00F46B16"/>
    <w:rsid w:val="00F46D08"/>
    <w:rsid w:val="00F46EC6"/>
    <w:rsid w:val="00F4727C"/>
    <w:rsid w:val="00F47284"/>
    <w:rsid w:val="00F4789D"/>
    <w:rsid w:val="00F478E9"/>
    <w:rsid w:val="00F478F1"/>
    <w:rsid w:val="00F47AC2"/>
    <w:rsid w:val="00F47B62"/>
    <w:rsid w:val="00F47C1A"/>
    <w:rsid w:val="00F47C60"/>
    <w:rsid w:val="00F47D5D"/>
    <w:rsid w:val="00F47E77"/>
    <w:rsid w:val="00F47EAE"/>
    <w:rsid w:val="00F47F34"/>
    <w:rsid w:val="00F501DB"/>
    <w:rsid w:val="00F508F3"/>
    <w:rsid w:val="00F50963"/>
    <w:rsid w:val="00F50A7F"/>
    <w:rsid w:val="00F50B05"/>
    <w:rsid w:val="00F50BBB"/>
    <w:rsid w:val="00F50C67"/>
    <w:rsid w:val="00F50E9B"/>
    <w:rsid w:val="00F50F37"/>
    <w:rsid w:val="00F50FEB"/>
    <w:rsid w:val="00F51135"/>
    <w:rsid w:val="00F51148"/>
    <w:rsid w:val="00F514C8"/>
    <w:rsid w:val="00F515BB"/>
    <w:rsid w:val="00F515F7"/>
    <w:rsid w:val="00F51623"/>
    <w:rsid w:val="00F517BC"/>
    <w:rsid w:val="00F51A59"/>
    <w:rsid w:val="00F51A5D"/>
    <w:rsid w:val="00F51BCF"/>
    <w:rsid w:val="00F51CB2"/>
    <w:rsid w:val="00F520B3"/>
    <w:rsid w:val="00F52136"/>
    <w:rsid w:val="00F525AE"/>
    <w:rsid w:val="00F528C3"/>
    <w:rsid w:val="00F52BAA"/>
    <w:rsid w:val="00F52BB1"/>
    <w:rsid w:val="00F52DD1"/>
    <w:rsid w:val="00F53161"/>
    <w:rsid w:val="00F5329E"/>
    <w:rsid w:val="00F53559"/>
    <w:rsid w:val="00F537E1"/>
    <w:rsid w:val="00F53852"/>
    <w:rsid w:val="00F53AB3"/>
    <w:rsid w:val="00F53E03"/>
    <w:rsid w:val="00F53FF3"/>
    <w:rsid w:val="00F5420B"/>
    <w:rsid w:val="00F54462"/>
    <w:rsid w:val="00F5451B"/>
    <w:rsid w:val="00F54575"/>
    <w:rsid w:val="00F545F2"/>
    <w:rsid w:val="00F5484D"/>
    <w:rsid w:val="00F549A5"/>
    <w:rsid w:val="00F54AC3"/>
    <w:rsid w:val="00F55162"/>
    <w:rsid w:val="00F55201"/>
    <w:rsid w:val="00F5537F"/>
    <w:rsid w:val="00F554FD"/>
    <w:rsid w:val="00F556B9"/>
    <w:rsid w:val="00F55928"/>
    <w:rsid w:val="00F55953"/>
    <w:rsid w:val="00F55C85"/>
    <w:rsid w:val="00F55F8E"/>
    <w:rsid w:val="00F56165"/>
    <w:rsid w:val="00F561F4"/>
    <w:rsid w:val="00F5628F"/>
    <w:rsid w:val="00F565BA"/>
    <w:rsid w:val="00F56695"/>
    <w:rsid w:val="00F56811"/>
    <w:rsid w:val="00F56AD5"/>
    <w:rsid w:val="00F56C5D"/>
    <w:rsid w:val="00F5714D"/>
    <w:rsid w:val="00F57352"/>
    <w:rsid w:val="00F574AE"/>
    <w:rsid w:val="00F57564"/>
    <w:rsid w:val="00F57599"/>
    <w:rsid w:val="00F60190"/>
    <w:rsid w:val="00F602AF"/>
    <w:rsid w:val="00F609CB"/>
    <w:rsid w:val="00F60A54"/>
    <w:rsid w:val="00F60B57"/>
    <w:rsid w:val="00F60C23"/>
    <w:rsid w:val="00F60C7B"/>
    <w:rsid w:val="00F60CEE"/>
    <w:rsid w:val="00F60D29"/>
    <w:rsid w:val="00F60D81"/>
    <w:rsid w:val="00F60E4A"/>
    <w:rsid w:val="00F60ECB"/>
    <w:rsid w:val="00F60F76"/>
    <w:rsid w:val="00F6104F"/>
    <w:rsid w:val="00F612B1"/>
    <w:rsid w:val="00F613ED"/>
    <w:rsid w:val="00F615AB"/>
    <w:rsid w:val="00F618F0"/>
    <w:rsid w:val="00F6196C"/>
    <w:rsid w:val="00F619D0"/>
    <w:rsid w:val="00F61E53"/>
    <w:rsid w:val="00F6207D"/>
    <w:rsid w:val="00F620E7"/>
    <w:rsid w:val="00F62261"/>
    <w:rsid w:val="00F623ED"/>
    <w:rsid w:val="00F6243E"/>
    <w:rsid w:val="00F6266E"/>
    <w:rsid w:val="00F6271E"/>
    <w:rsid w:val="00F627A5"/>
    <w:rsid w:val="00F62BBE"/>
    <w:rsid w:val="00F62CAE"/>
    <w:rsid w:val="00F62CD4"/>
    <w:rsid w:val="00F62CF7"/>
    <w:rsid w:val="00F62D2E"/>
    <w:rsid w:val="00F62DDA"/>
    <w:rsid w:val="00F62EE3"/>
    <w:rsid w:val="00F63227"/>
    <w:rsid w:val="00F6340F"/>
    <w:rsid w:val="00F6352F"/>
    <w:rsid w:val="00F6381C"/>
    <w:rsid w:val="00F63862"/>
    <w:rsid w:val="00F63AE3"/>
    <w:rsid w:val="00F63C15"/>
    <w:rsid w:val="00F63C59"/>
    <w:rsid w:val="00F63CDE"/>
    <w:rsid w:val="00F63DB5"/>
    <w:rsid w:val="00F64317"/>
    <w:rsid w:val="00F64373"/>
    <w:rsid w:val="00F64798"/>
    <w:rsid w:val="00F64B6E"/>
    <w:rsid w:val="00F64D04"/>
    <w:rsid w:val="00F64D0E"/>
    <w:rsid w:val="00F6502D"/>
    <w:rsid w:val="00F65095"/>
    <w:rsid w:val="00F65111"/>
    <w:rsid w:val="00F65155"/>
    <w:rsid w:val="00F6521D"/>
    <w:rsid w:val="00F65269"/>
    <w:rsid w:val="00F652A8"/>
    <w:rsid w:val="00F653D9"/>
    <w:rsid w:val="00F657A5"/>
    <w:rsid w:val="00F65883"/>
    <w:rsid w:val="00F65921"/>
    <w:rsid w:val="00F65CA0"/>
    <w:rsid w:val="00F66289"/>
    <w:rsid w:val="00F662AB"/>
    <w:rsid w:val="00F6637E"/>
    <w:rsid w:val="00F66383"/>
    <w:rsid w:val="00F666F0"/>
    <w:rsid w:val="00F666F3"/>
    <w:rsid w:val="00F66989"/>
    <w:rsid w:val="00F66BAD"/>
    <w:rsid w:val="00F66E2D"/>
    <w:rsid w:val="00F66F3A"/>
    <w:rsid w:val="00F67008"/>
    <w:rsid w:val="00F6713C"/>
    <w:rsid w:val="00F67668"/>
    <w:rsid w:val="00F67F67"/>
    <w:rsid w:val="00F7026E"/>
    <w:rsid w:val="00F704E2"/>
    <w:rsid w:val="00F704FD"/>
    <w:rsid w:val="00F70854"/>
    <w:rsid w:val="00F70872"/>
    <w:rsid w:val="00F7096C"/>
    <w:rsid w:val="00F709DA"/>
    <w:rsid w:val="00F70A85"/>
    <w:rsid w:val="00F70B9D"/>
    <w:rsid w:val="00F70E2B"/>
    <w:rsid w:val="00F710E2"/>
    <w:rsid w:val="00F71172"/>
    <w:rsid w:val="00F71497"/>
    <w:rsid w:val="00F71773"/>
    <w:rsid w:val="00F718FC"/>
    <w:rsid w:val="00F71D1C"/>
    <w:rsid w:val="00F71E97"/>
    <w:rsid w:val="00F71EA7"/>
    <w:rsid w:val="00F71F87"/>
    <w:rsid w:val="00F721F2"/>
    <w:rsid w:val="00F72596"/>
    <w:rsid w:val="00F725ED"/>
    <w:rsid w:val="00F726AD"/>
    <w:rsid w:val="00F72AED"/>
    <w:rsid w:val="00F72E67"/>
    <w:rsid w:val="00F72EB2"/>
    <w:rsid w:val="00F72FF0"/>
    <w:rsid w:val="00F73389"/>
    <w:rsid w:val="00F7382F"/>
    <w:rsid w:val="00F738BB"/>
    <w:rsid w:val="00F73DBA"/>
    <w:rsid w:val="00F73E18"/>
    <w:rsid w:val="00F7409F"/>
    <w:rsid w:val="00F741A6"/>
    <w:rsid w:val="00F7422F"/>
    <w:rsid w:val="00F7454A"/>
    <w:rsid w:val="00F749B9"/>
    <w:rsid w:val="00F74A15"/>
    <w:rsid w:val="00F74CCB"/>
    <w:rsid w:val="00F75072"/>
    <w:rsid w:val="00F7543D"/>
    <w:rsid w:val="00F7544A"/>
    <w:rsid w:val="00F7561F"/>
    <w:rsid w:val="00F75841"/>
    <w:rsid w:val="00F75B2F"/>
    <w:rsid w:val="00F75D36"/>
    <w:rsid w:val="00F75D7D"/>
    <w:rsid w:val="00F75DC2"/>
    <w:rsid w:val="00F75F34"/>
    <w:rsid w:val="00F7606C"/>
    <w:rsid w:val="00F76405"/>
    <w:rsid w:val="00F7661C"/>
    <w:rsid w:val="00F7667B"/>
    <w:rsid w:val="00F76AE3"/>
    <w:rsid w:val="00F76B48"/>
    <w:rsid w:val="00F76C85"/>
    <w:rsid w:val="00F76CAB"/>
    <w:rsid w:val="00F7700C"/>
    <w:rsid w:val="00F77107"/>
    <w:rsid w:val="00F77507"/>
    <w:rsid w:val="00F777FA"/>
    <w:rsid w:val="00F7797C"/>
    <w:rsid w:val="00F77AE3"/>
    <w:rsid w:val="00F77BAF"/>
    <w:rsid w:val="00F77C45"/>
    <w:rsid w:val="00F77D7C"/>
    <w:rsid w:val="00F77E52"/>
    <w:rsid w:val="00F8010D"/>
    <w:rsid w:val="00F80112"/>
    <w:rsid w:val="00F8020E"/>
    <w:rsid w:val="00F803CE"/>
    <w:rsid w:val="00F804ED"/>
    <w:rsid w:val="00F80615"/>
    <w:rsid w:val="00F8099F"/>
    <w:rsid w:val="00F809C1"/>
    <w:rsid w:val="00F80B0C"/>
    <w:rsid w:val="00F81136"/>
    <w:rsid w:val="00F8132C"/>
    <w:rsid w:val="00F81356"/>
    <w:rsid w:val="00F81408"/>
    <w:rsid w:val="00F815BA"/>
    <w:rsid w:val="00F8164F"/>
    <w:rsid w:val="00F81750"/>
    <w:rsid w:val="00F81789"/>
    <w:rsid w:val="00F8178E"/>
    <w:rsid w:val="00F81880"/>
    <w:rsid w:val="00F819C8"/>
    <w:rsid w:val="00F81AA6"/>
    <w:rsid w:val="00F81BF3"/>
    <w:rsid w:val="00F81D93"/>
    <w:rsid w:val="00F81F63"/>
    <w:rsid w:val="00F821ED"/>
    <w:rsid w:val="00F826E3"/>
    <w:rsid w:val="00F8292D"/>
    <w:rsid w:val="00F82B31"/>
    <w:rsid w:val="00F82E48"/>
    <w:rsid w:val="00F83133"/>
    <w:rsid w:val="00F833EB"/>
    <w:rsid w:val="00F83935"/>
    <w:rsid w:val="00F83A04"/>
    <w:rsid w:val="00F83BBC"/>
    <w:rsid w:val="00F83E1F"/>
    <w:rsid w:val="00F83FA9"/>
    <w:rsid w:val="00F84068"/>
    <w:rsid w:val="00F842AD"/>
    <w:rsid w:val="00F84328"/>
    <w:rsid w:val="00F84559"/>
    <w:rsid w:val="00F8469E"/>
    <w:rsid w:val="00F846F6"/>
    <w:rsid w:val="00F84775"/>
    <w:rsid w:val="00F8480D"/>
    <w:rsid w:val="00F848B9"/>
    <w:rsid w:val="00F84A69"/>
    <w:rsid w:val="00F84D44"/>
    <w:rsid w:val="00F84D86"/>
    <w:rsid w:val="00F84F03"/>
    <w:rsid w:val="00F84F10"/>
    <w:rsid w:val="00F84F75"/>
    <w:rsid w:val="00F850DD"/>
    <w:rsid w:val="00F8512B"/>
    <w:rsid w:val="00F853F0"/>
    <w:rsid w:val="00F85512"/>
    <w:rsid w:val="00F855AC"/>
    <w:rsid w:val="00F856FD"/>
    <w:rsid w:val="00F85797"/>
    <w:rsid w:val="00F85C9E"/>
    <w:rsid w:val="00F85CA5"/>
    <w:rsid w:val="00F85D52"/>
    <w:rsid w:val="00F85E15"/>
    <w:rsid w:val="00F85EA3"/>
    <w:rsid w:val="00F85F3A"/>
    <w:rsid w:val="00F85F7B"/>
    <w:rsid w:val="00F860B8"/>
    <w:rsid w:val="00F86229"/>
    <w:rsid w:val="00F863A0"/>
    <w:rsid w:val="00F863A6"/>
    <w:rsid w:val="00F86566"/>
    <w:rsid w:val="00F86764"/>
    <w:rsid w:val="00F870CA"/>
    <w:rsid w:val="00F871AB"/>
    <w:rsid w:val="00F875DF"/>
    <w:rsid w:val="00F8774B"/>
    <w:rsid w:val="00F87869"/>
    <w:rsid w:val="00F878A8"/>
    <w:rsid w:val="00F87AAE"/>
    <w:rsid w:val="00F87B4A"/>
    <w:rsid w:val="00F87C7F"/>
    <w:rsid w:val="00F87CDB"/>
    <w:rsid w:val="00F87DCB"/>
    <w:rsid w:val="00F90002"/>
    <w:rsid w:val="00F90069"/>
    <w:rsid w:val="00F901BB"/>
    <w:rsid w:val="00F904F8"/>
    <w:rsid w:val="00F9056B"/>
    <w:rsid w:val="00F90694"/>
    <w:rsid w:val="00F906DE"/>
    <w:rsid w:val="00F908EB"/>
    <w:rsid w:val="00F90D12"/>
    <w:rsid w:val="00F90D57"/>
    <w:rsid w:val="00F90E35"/>
    <w:rsid w:val="00F90F49"/>
    <w:rsid w:val="00F91061"/>
    <w:rsid w:val="00F91072"/>
    <w:rsid w:val="00F911AA"/>
    <w:rsid w:val="00F91548"/>
    <w:rsid w:val="00F91553"/>
    <w:rsid w:val="00F916AD"/>
    <w:rsid w:val="00F91723"/>
    <w:rsid w:val="00F91772"/>
    <w:rsid w:val="00F917CC"/>
    <w:rsid w:val="00F91B33"/>
    <w:rsid w:val="00F91E22"/>
    <w:rsid w:val="00F922FF"/>
    <w:rsid w:val="00F92346"/>
    <w:rsid w:val="00F9252B"/>
    <w:rsid w:val="00F92587"/>
    <w:rsid w:val="00F926DD"/>
    <w:rsid w:val="00F9285C"/>
    <w:rsid w:val="00F928AE"/>
    <w:rsid w:val="00F92AAD"/>
    <w:rsid w:val="00F92D62"/>
    <w:rsid w:val="00F92F37"/>
    <w:rsid w:val="00F92FFE"/>
    <w:rsid w:val="00F93082"/>
    <w:rsid w:val="00F9324C"/>
    <w:rsid w:val="00F9345B"/>
    <w:rsid w:val="00F934C6"/>
    <w:rsid w:val="00F93833"/>
    <w:rsid w:val="00F93955"/>
    <w:rsid w:val="00F93B9B"/>
    <w:rsid w:val="00F93BFC"/>
    <w:rsid w:val="00F93CB2"/>
    <w:rsid w:val="00F93D07"/>
    <w:rsid w:val="00F93E3B"/>
    <w:rsid w:val="00F9400A"/>
    <w:rsid w:val="00F94097"/>
    <w:rsid w:val="00F940BD"/>
    <w:rsid w:val="00F94103"/>
    <w:rsid w:val="00F94144"/>
    <w:rsid w:val="00F948FF"/>
    <w:rsid w:val="00F94AEE"/>
    <w:rsid w:val="00F94BB2"/>
    <w:rsid w:val="00F94E8D"/>
    <w:rsid w:val="00F94EA2"/>
    <w:rsid w:val="00F94F45"/>
    <w:rsid w:val="00F95037"/>
    <w:rsid w:val="00F950DD"/>
    <w:rsid w:val="00F95463"/>
    <w:rsid w:val="00F9562B"/>
    <w:rsid w:val="00F95734"/>
    <w:rsid w:val="00F95A47"/>
    <w:rsid w:val="00F95AA5"/>
    <w:rsid w:val="00F95CF8"/>
    <w:rsid w:val="00F95E92"/>
    <w:rsid w:val="00F9633A"/>
    <w:rsid w:val="00F963D4"/>
    <w:rsid w:val="00F963FF"/>
    <w:rsid w:val="00F96609"/>
    <w:rsid w:val="00F96915"/>
    <w:rsid w:val="00F96919"/>
    <w:rsid w:val="00F96AAB"/>
    <w:rsid w:val="00F96B2A"/>
    <w:rsid w:val="00F970FD"/>
    <w:rsid w:val="00F972CC"/>
    <w:rsid w:val="00F97779"/>
    <w:rsid w:val="00F97C2F"/>
    <w:rsid w:val="00F97F99"/>
    <w:rsid w:val="00FA02FF"/>
    <w:rsid w:val="00FA04DC"/>
    <w:rsid w:val="00FA055A"/>
    <w:rsid w:val="00FA07F4"/>
    <w:rsid w:val="00FA0B13"/>
    <w:rsid w:val="00FA0BBB"/>
    <w:rsid w:val="00FA0C57"/>
    <w:rsid w:val="00FA0DCD"/>
    <w:rsid w:val="00FA140A"/>
    <w:rsid w:val="00FA19A6"/>
    <w:rsid w:val="00FA1D95"/>
    <w:rsid w:val="00FA1EC8"/>
    <w:rsid w:val="00FA23A0"/>
    <w:rsid w:val="00FA2692"/>
    <w:rsid w:val="00FA277C"/>
    <w:rsid w:val="00FA27E9"/>
    <w:rsid w:val="00FA2890"/>
    <w:rsid w:val="00FA294F"/>
    <w:rsid w:val="00FA2995"/>
    <w:rsid w:val="00FA29E6"/>
    <w:rsid w:val="00FA2BC0"/>
    <w:rsid w:val="00FA2DD4"/>
    <w:rsid w:val="00FA2EDD"/>
    <w:rsid w:val="00FA2F2E"/>
    <w:rsid w:val="00FA3252"/>
    <w:rsid w:val="00FA354C"/>
    <w:rsid w:val="00FA357C"/>
    <w:rsid w:val="00FA3909"/>
    <w:rsid w:val="00FA3DD5"/>
    <w:rsid w:val="00FA3F79"/>
    <w:rsid w:val="00FA401E"/>
    <w:rsid w:val="00FA4225"/>
    <w:rsid w:val="00FA4226"/>
    <w:rsid w:val="00FA43EE"/>
    <w:rsid w:val="00FA449D"/>
    <w:rsid w:val="00FA44F3"/>
    <w:rsid w:val="00FA48E8"/>
    <w:rsid w:val="00FA49D6"/>
    <w:rsid w:val="00FA49FC"/>
    <w:rsid w:val="00FA4BC2"/>
    <w:rsid w:val="00FA4CD0"/>
    <w:rsid w:val="00FA4EF5"/>
    <w:rsid w:val="00FA5186"/>
    <w:rsid w:val="00FA51E0"/>
    <w:rsid w:val="00FA5395"/>
    <w:rsid w:val="00FA5402"/>
    <w:rsid w:val="00FA5536"/>
    <w:rsid w:val="00FA5569"/>
    <w:rsid w:val="00FA5CD2"/>
    <w:rsid w:val="00FA609A"/>
    <w:rsid w:val="00FA60D1"/>
    <w:rsid w:val="00FA612C"/>
    <w:rsid w:val="00FA6239"/>
    <w:rsid w:val="00FA62D9"/>
    <w:rsid w:val="00FA6384"/>
    <w:rsid w:val="00FA6414"/>
    <w:rsid w:val="00FA653C"/>
    <w:rsid w:val="00FA6791"/>
    <w:rsid w:val="00FA6965"/>
    <w:rsid w:val="00FA6AD2"/>
    <w:rsid w:val="00FA6AF8"/>
    <w:rsid w:val="00FA6B6D"/>
    <w:rsid w:val="00FA6BF2"/>
    <w:rsid w:val="00FA6CAB"/>
    <w:rsid w:val="00FA6F86"/>
    <w:rsid w:val="00FA72CE"/>
    <w:rsid w:val="00FA7377"/>
    <w:rsid w:val="00FA7816"/>
    <w:rsid w:val="00FA79BB"/>
    <w:rsid w:val="00FA7AB8"/>
    <w:rsid w:val="00FA7BAF"/>
    <w:rsid w:val="00FA7C53"/>
    <w:rsid w:val="00FA7D1E"/>
    <w:rsid w:val="00FB0450"/>
    <w:rsid w:val="00FB0488"/>
    <w:rsid w:val="00FB0576"/>
    <w:rsid w:val="00FB07C4"/>
    <w:rsid w:val="00FB0ABD"/>
    <w:rsid w:val="00FB0BBA"/>
    <w:rsid w:val="00FB0DDE"/>
    <w:rsid w:val="00FB1280"/>
    <w:rsid w:val="00FB1310"/>
    <w:rsid w:val="00FB13DE"/>
    <w:rsid w:val="00FB1663"/>
    <w:rsid w:val="00FB1FC1"/>
    <w:rsid w:val="00FB21DF"/>
    <w:rsid w:val="00FB2336"/>
    <w:rsid w:val="00FB2751"/>
    <w:rsid w:val="00FB2CF8"/>
    <w:rsid w:val="00FB2DEF"/>
    <w:rsid w:val="00FB32FB"/>
    <w:rsid w:val="00FB336B"/>
    <w:rsid w:val="00FB3388"/>
    <w:rsid w:val="00FB34BD"/>
    <w:rsid w:val="00FB3545"/>
    <w:rsid w:val="00FB35C6"/>
    <w:rsid w:val="00FB3602"/>
    <w:rsid w:val="00FB3646"/>
    <w:rsid w:val="00FB3A5A"/>
    <w:rsid w:val="00FB3AC7"/>
    <w:rsid w:val="00FB3B39"/>
    <w:rsid w:val="00FB3C6F"/>
    <w:rsid w:val="00FB3CCD"/>
    <w:rsid w:val="00FB3DFF"/>
    <w:rsid w:val="00FB3F76"/>
    <w:rsid w:val="00FB40C7"/>
    <w:rsid w:val="00FB4669"/>
    <w:rsid w:val="00FB498C"/>
    <w:rsid w:val="00FB4A98"/>
    <w:rsid w:val="00FB4ADF"/>
    <w:rsid w:val="00FB4C97"/>
    <w:rsid w:val="00FB4CEC"/>
    <w:rsid w:val="00FB4D8F"/>
    <w:rsid w:val="00FB4DE0"/>
    <w:rsid w:val="00FB4F43"/>
    <w:rsid w:val="00FB506D"/>
    <w:rsid w:val="00FB50FC"/>
    <w:rsid w:val="00FB51D5"/>
    <w:rsid w:val="00FB5241"/>
    <w:rsid w:val="00FB54B3"/>
    <w:rsid w:val="00FB55EB"/>
    <w:rsid w:val="00FB5807"/>
    <w:rsid w:val="00FB587F"/>
    <w:rsid w:val="00FB58AE"/>
    <w:rsid w:val="00FB5D3F"/>
    <w:rsid w:val="00FB5DD1"/>
    <w:rsid w:val="00FB5E5C"/>
    <w:rsid w:val="00FB614C"/>
    <w:rsid w:val="00FB6356"/>
    <w:rsid w:val="00FB63FF"/>
    <w:rsid w:val="00FB65FA"/>
    <w:rsid w:val="00FB66EC"/>
    <w:rsid w:val="00FB690D"/>
    <w:rsid w:val="00FB6FC2"/>
    <w:rsid w:val="00FB6FEA"/>
    <w:rsid w:val="00FB72B9"/>
    <w:rsid w:val="00FB73BE"/>
    <w:rsid w:val="00FB750D"/>
    <w:rsid w:val="00FB771B"/>
    <w:rsid w:val="00FB777C"/>
    <w:rsid w:val="00FB7BC2"/>
    <w:rsid w:val="00FB7D61"/>
    <w:rsid w:val="00FB7EA1"/>
    <w:rsid w:val="00FC047C"/>
    <w:rsid w:val="00FC07CB"/>
    <w:rsid w:val="00FC0F71"/>
    <w:rsid w:val="00FC10C2"/>
    <w:rsid w:val="00FC1517"/>
    <w:rsid w:val="00FC15D4"/>
    <w:rsid w:val="00FC16C6"/>
    <w:rsid w:val="00FC1983"/>
    <w:rsid w:val="00FC1E4A"/>
    <w:rsid w:val="00FC241F"/>
    <w:rsid w:val="00FC24D5"/>
    <w:rsid w:val="00FC26C7"/>
    <w:rsid w:val="00FC2942"/>
    <w:rsid w:val="00FC2E20"/>
    <w:rsid w:val="00FC30ED"/>
    <w:rsid w:val="00FC33E0"/>
    <w:rsid w:val="00FC3773"/>
    <w:rsid w:val="00FC3938"/>
    <w:rsid w:val="00FC3FAB"/>
    <w:rsid w:val="00FC4198"/>
    <w:rsid w:val="00FC472F"/>
    <w:rsid w:val="00FC4C1B"/>
    <w:rsid w:val="00FC4C39"/>
    <w:rsid w:val="00FC5076"/>
    <w:rsid w:val="00FC50B9"/>
    <w:rsid w:val="00FC5279"/>
    <w:rsid w:val="00FC545E"/>
    <w:rsid w:val="00FC54E6"/>
    <w:rsid w:val="00FC589B"/>
    <w:rsid w:val="00FC59D3"/>
    <w:rsid w:val="00FC5D02"/>
    <w:rsid w:val="00FC5E6D"/>
    <w:rsid w:val="00FC6024"/>
    <w:rsid w:val="00FC606B"/>
    <w:rsid w:val="00FC62A5"/>
    <w:rsid w:val="00FC6499"/>
    <w:rsid w:val="00FC65CF"/>
    <w:rsid w:val="00FC6818"/>
    <w:rsid w:val="00FC690E"/>
    <w:rsid w:val="00FC6BD4"/>
    <w:rsid w:val="00FC6BF6"/>
    <w:rsid w:val="00FC6C4E"/>
    <w:rsid w:val="00FC6CE8"/>
    <w:rsid w:val="00FC6E2C"/>
    <w:rsid w:val="00FC6F9B"/>
    <w:rsid w:val="00FC70EE"/>
    <w:rsid w:val="00FC72DE"/>
    <w:rsid w:val="00FC7386"/>
    <w:rsid w:val="00FC7757"/>
    <w:rsid w:val="00FC79C8"/>
    <w:rsid w:val="00FC7AB6"/>
    <w:rsid w:val="00FC7E6D"/>
    <w:rsid w:val="00FC7FBF"/>
    <w:rsid w:val="00FD011A"/>
    <w:rsid w:val="00FD01B7"/>
    <w:rsid w:val="00FD030E"/>
    <w:rsid w:val="00FD0A68"/>
    <w:rsid w:val="00FD0A70"/>
    <w:rsid w:val="00FD0AE4"/>
    <w:rsid w:val="00FD0D5E"/>
    <w:rsid w:val="00FD0D73"/>
    <w:rsid w:val="00FD0F29"/>
    <w:rsid w:val="00FD0F49"/>
    <w:rsid w:val="00FD1179"/>
    <w:rsid w:val="00FD1262"/>
    <w:rsid w:val="00FD128C"/>
    <w:rsid w:val="00FD1377"/>
    <w:rsid w:val="00FD1449"/>
    <w:rsid w:val="00FD14D5"/>
    <w:rsid w:val="00FD155F"/>
    <w:rsid w:val="00FD156E"/>
    <w:rsid w:val="00FD17AB"/>
    <w:rsid w:val="00FD1839"/>
    <w:rsid w:val="00FD1DB6"/>
    <w:rsid w:val="00FD1EA6"/>
    <w:rsid w:val="00FD1F22"/>
    <w:rsid w:val="00FD203A"/>
    <w:rsid w:val="00FD20E3"/>
    <w:rsid w:val="00FD2236"/>
    <w:rsid w:val="00FD2348"/>
    <w:rsid w:val="00FD25B9"/>
    <w:rsid w:val="00FD268C"/>
    <w:rsid w:val="00FD2860"/>
    <w:rsid w:val="00FD2AB6"/>
    <w:rsid w:val="00FD2B44"/>
    <w:rsid w:val="00FD2C68"/>
    <w:rsid w:val="00FD2C7B"/>
    <w:rsid w:val="00FD2C8C"/>
    <w:rsid w:val="00FD2E52"/>
    <w:rsid w:val="00FD3328"/>
    <w:rsid w:val="00FD347F"/>
    <w:rsid w:val="00FD3542"/>
    <w:rsid w:val="00FD3551"/>
    <w:rsid w:val="00FD3E88"/>
    <w:rsid w:val="00FD4023"/>
    <w:rsid w:val="00FD42AE"/>
    <w:rsid w:val="00FD4628"/>
    <w:rsid w:val="00FD4669"/>
    <w:rsid w:val="00FD4679"/>
    <w:rsid w:val="00FD4C3F"/>
    <w:rsid w:val="00FD4EC7"/>
    <w:rsid w:val="00FD4F42"/>
    <w:rsid w:val="00FD4FFB"/>
    <w:rsid w:val="00FD55B7"/>
    <w:rsid w:val="00FD55FC"/>
    <w:rsid w:val="00FD57BE"/>
    <w:rsid w:val="00FD58E4"/>
    <w:rsid w:val="00FD5925"/>
    <w:rsid w:val="00FD594F"/>
    <w:rsid w:val="00FD5C4B"/>
    <w:rsid w:val="00FD5FD8"/>
    <w:rsid w:val="00FD6156"/>
    <w:rsid w:val="00FD61A3"/>
    <w:rsid w:val="00FD61F5"/>
    <w:rsid w:val="00FD6D3A"/>
    <w:rsid w:val="00FD6F1E"/>
    <w:rsid w:val="00FD73AC"/>
    <w:rsid w:val="00FD73C1"/>
    <w:rsid w:val="00FD7549"/>
    <w:rsid w:val="00FD760A"/>
    <w:rsid w:val="00FD76F4"/>
    <w:rsid w:val="00FD79E9"/>
    <w:rsid w:val="00FD7B1F"/>
    <w:rsid w:val="00FD7C24"/>
    <w:rsid w:val="00FD7D3D"/>
    <w:rsid w:val="00FE000F"/>
    <w:rsid w:val="00FE0279"/>
    <w:rsid w:val="00FE039B"/>
    <w:rsid w:val="00FE04E0"/>
    <w:rsid w:val="00FE061F"/>
    <w:rsid w:val="00FE077A"/>
    <w:rsid w:val="00FE080B"/>
    <w:rsid w:val="00FE08E4"/>
    <w:rsid w:val="00FE0B10"/>
    <w:rsid w:val="00FE0EE7"/>
    <w:rsid w:val="00FE1037"/>
    <w:rsid w:val="00FE124E"/>
    <w:rsid w:val="00FE1374"/>
    <w:rsid w:val="00FE14DD"/>
    <w:rsid w:val="00FE14EC"/>
    <w:rsid w:val="00FE15E5"/>
    <w:rsid w:val="00FE196A"/>
    <w:rsid w:val="00FE1A4A"/>
    <w:rsid w:val="00FE1B3B"/>
    <w:rsid w:val="00FE1CAF"/>
    <w:rsid w:val="00FE1ED4"/>
    <w:rsid w:val="00FE2037"/>
    <w:rsid w:val="00FE206B"/>
    <w:rsid w:val="00FE24BA"/>
    <w:rsid w:val="00FE24C0"/>
    <w:rsid w:val="00FE2566"/>
    <w:rsid w:val="00FE25FB"/>
    <w:rsid w:val="00FE289A"/>
    <w:rsid w:val="00FE3548"/>
    <w:rsid w:val="00FE3766"/>
    <w:rsid w:val="00FE379C"/>
    <w:rsid w:val="00FE3BF0"/>
    <w:rsid w:val="00FE3C66"/>
    <w:rsid w:val="00FE3EA9"/>
    <w:rsid w:val="00FE42C4"/>
    <w:rsid w:val="00FE42DD"/>
    <w:rsid w:val="00FE4420"/>
    <w:rsid w:val="00FE44F8"/>
    <w:rsid w:val="00FE45E6"/>
    <w:rsid w:val="00FE4710"/>
    <w:rsid w:val="00FE47B8"/>
    <w:rsid w:val="00FE4B33"/>
    <w:rsid w:val="00FE4CC0"/>
    <w:rsid w:val="00FE4D38"/>
    <w:rsid w:val="00FE4E32"/>
    <w:rsid w:val="00FE504F"/>
    <w:rsid w:val="00FE5184"/>
    <w:rsid w:val="00FE5265"/>
    <w:rsid w:val="00FE52A3"/>
    <w:rsid w:val="00FE54E8"/>
    <w:rsid w:val="00FE5750"/>
    <w:rsid w:val="00FE58AD"/>
    <w:rsid w:val="00FE5B87"/>
    <w:rsid w:val="00FE5E51"/>
    <w:rsid w:val="00FE5E63"/>
    <w:rsid w:val="00FE6225"/>
    <w:rsid w:val="00FE673E"/>
    <w:rsid w:val="00FE6EF5"/>
    <w:rsid w:val="00FE718A"/>
    <w:rsid w:val="00FE7191"/>
    <w:rsid w:val="00FE71B7"/>
    <w:rsid w:val="00FE7275"/>
    <w:rsid w:val="00FE7817"/>
    <w:rsid w:val="00FE7C89"/>
    <w:rsid w:val="00FE7D49"/>
    <w:rsid w:val="00FE7F3F"/>
    <w:rsid w:val="00FF001F"/>
    <w:rsid w:val="00FF0233"/>
    <w:rsid w:val="00FF03E3"/>
    <w:rsid w:val="00FF09AE"/>
    <w:rsid w:val="00FF09DB"/>
    <w:rsid w:val="00FF0D64"/>
    <w:rsid w:val="00FF0D8B"/>
    <w:rsid w:val="00FF0E16"/>
    <w:rsid w:val="00FF0F93"/>
    <w:rsid w:val="00FF14D6"/>
    <w:rsid w:val="00FF177F"/>
    <w:rsid w:val="00FF182F"/>
    <w:rsid w:val="00FF19A1"/>
    <w:rsid w:val="00FF1DE4"/>
    <w:rsid w:val="00FF1EAF"/>
    <w:rsid w:val="00FF2494"/>
    <w:rsid w:val="00FF2528"/>
    <w:rsid w:val="00FF27BC"/>
    <w:rsid w:val="00FF2890"/>
    <w:rsid w:val="00FF2FB9"/>
    <w:rsid w:val="00FF32D9"/>
    <w:rsid w:val="00FF3352"/>
    <w:rsid w:val="00FF3353"/>
    <w:rsid w:val="00FF3564"/>
    <w:rsid w:val="00FF3833"/>
    <w:rsid w:val="00FF38BC"/>
    <w:rsid w:val="00FF3E6D"/>
    <w:rsid w:val="00FF3EC4"/>
    <w:rsid w:val="00FF3F2B"/>
    <w:rsid w:val="00FF41BA"/>
    <w:rsid w:val="00FF41C9"/>
    <w:rsid w:val="00FF43A3"/>
    <w:rsid w:val="00FF4CEB"/>
    <w:rsid w:val="00FF4E39"/>
    <w:rsid w:val="00FF4F4A"/>
    <w:rsid w:val="00FF50AB"/>
    <w:rsid w:val="00FF5396"/>
    <w:rsid w:val="00FF5D29"/>
    <w:rsid w:val="00FF5E73"/>
    <w:rsid w:val="00FF5F25"/>
    <w:rsid w:val="00FF5F3F"/>
    <w:rsid w:val="00FF5FD8"/>
    <w:rsid w:val="00FF6040"/>
    <w:rsid w:val="00FF6108"/>
    <w:rsid w:val="00FF615B"/>
    <w:rsid w:val="00FF6180"/>
    <w:rsid w:val="00FF6261"/>
    <w:rsid w:val="00FF63D4"/>
    <w:rsid w:val="00FF66A0"/>
    <w:rsid w:val="00FF66E8"/>
    <w:rsid w:val="00FF6C7D"/>
    <w:rsid w:val="00FF7226"/>
    <w:rsid w:val="00FF72C0"/>
    <w:rsid w:val="00FF73C7"/>
    <w:rsid w:val="00FF7B73"/>
    <w:rsid w:val="00FF7EC2"/>
    <w:rsid w:val="01485AEE"/>
    <w:rsid w:val="0184F6FD"/>
    <w:rsid w:val="019A375C"/>
    <w:rsid w:val="01E1D69B"/>
    <w:rsid w:val="02165B73"/>
    <w:rsid w:val="02178CDE"/>
    <w:rsid w:val="021ABB29"/>
    <w:rsid w:val="02703B17"/>
    <w:rsid w:val="02AD0EA9"/>
    <w:rsid w:val="02BDAF1B"/>
    <w:rsid w:val="02D29925"/>
    <w:rsid w:val="035E91E4"/>
    <w:rsid w:val="036741CD"/>
    <w:rsid w:val="036F69C0"/>
    <w:rsid w:val="03F7B878"/>
    <w:rsid w:val="0400921D"/>
    <w:rsid w:val="040D1731"/>
    <w:rsid w:val="047D28D1"/>
    <w:rsid w:val="048EBA42"/>
    <w:rsid w:val="04C75CD1"/>
    <w:rsid w:val="04CE85C1"/>
    <w:rsid w:val="050D08E9"/>
    <w:rsid w:val="053E1230"/>
    <w:rsid w:val="05A0DFDA"/>
    <w:rsid w:val="05CD11DA"/>
    <w:rsid w:val="05ECB83D"/>
    <w:rsid w:val="06076683"/>
    <w:rsid w:val="063E0B65"/>
    <w:rsid w:val="06AC142E"/>
    <w:rsid w:val="06C444C3"/>
    <w:rsid w:val="06F0AAB5"/>
    <w:rsid w:val="0736A216"/>
    <w:rsid w:val="0757CCE0"/>
    <w:rsid w:val="07841049"/>
    <w:rsid w:val="07E511DA"/>
    <w:rsid w:val="08093EA2"/>
    <w:rsid w:val="083119F7"/>
    <w:rsid w:val="08982A04"/>
    <w:rsid w:val="08A57227"/>
    <w:rsid w:val="09201D6C"/>
    <w:rsid w:val="0950A7F8"/>
    <w:rsid w:val="095FE185"/>
    <w:rsid w:val="09F5BA95"/>
    <w:rsid w:val="0A3361CF"/>
    <w:rsid w:val="0A37C16B"/>
    <w:rsid w:val="0A39A479"/>
    <w:rsid w:val="0A9FA55C"/>
    <w:rsid w:val="0AE146EF"/>
    <w:rsid w:val="0B3A4CC1"/>
    <w:rsid w:val="0B46A4F9"/>
    <w:rsid w:val="0B68BC7B"/>
    <w:rsid w:val="0C4899FB"/>
    <w:rsid w:val="0C858E6E"/>
    <w:rsid w:val="0C95BA06"/>
    <w:rsid w:val="0C977268"/>
    <w:rsid w:val="0CA9CCA7"/>
    <w:rsid w:val="0CEF44E3"/>
    <w:rsid w:val="0D65AF3A"/>
    <w:rsid w:val="0D7C7035"/>
    <w:rsid w:val="0D7E03EB"/>
    <w:rsid w:val="0D9C0820"/>
    <w:rsid w:val="0DF8A363"/>
    <w:rsid w:val="0E6C2596"/>
    <w:rsid w:val="0EC7733D"/>
    <w:rsid w:val="0F3B4C48"/>
    <w:rsid w:val="0F4CAD73"/>
    <w:rsid w:val="0F5BF16E"/>
    <w:rsid w:val="0F7CDEFE"/>
    <w:rsid w:val="0FA5E73D"/>
    <w:rsid w:val="0FAA4324"/>
    <w:rsid w:val="0FDA75F7"/>
    <w:rsid w:val="101345E8"/>
    <w:rsid w:val="105F0D0B"/>
    <w:rsid w:val="106345A1"/>
    <w:rsid w:val="111F3241"/>
    <w:rsid w:val="114E2795"/>
    <w:rsid w:val="1153CBA7"/>
    <w:rsid w:val="116A6E61"/>
    <w:rsid w:val="118DE129"/>
    <w:rsid w:val="11A374DF"/>
    <w:rsid w:val="1202B625"/>
    <w:rsid w:val="122384D0"/>
    <w:rsid w:val="1264CFBF"/>
    <w:rsid w:val="1300B3B2"/>
    <w:rsid w:val="132B6B27"/>
    <w:rsid w:val="1371813D"/>
    <w:rsid w:val="13751E13"/>
    <w:rsid w:val="138D5722"/>
    <w:rsid w:val="13A197AB"/>
    <w:rsid w:val="13D3F6C3"/>
    <w:rsid w:val="14357923"/>
    <w:rsid w:val="146A40CA"/>
    <w:rsid w:val="14818AA2"/>
    <w:rsid w:val="148B23E4"/>
    <w:rsid w:val="14DEE554"/>
    <w:rsid w:val="150C29EE"/>
    <w:rsid w:val="151071D7"/>
    <w:rsid w:val="1552B735"/>
    <w:rsid w:val="156CDECB"/>
    <w:rsid w:val="15731491"/>
    <w:rsid w:val="158786D0"/>
    <w:rsid w:val="159C7479"/>
    <w:rsid w:val="159D50AC"/>
    <w:rsid w:val="15AAD8F0"/>
    <w:rsid w:val="1658CE49"/>
    <w:rsid w:val="169CB758"/>
    <w:rsid w:val="16DDBD0D"/>
    <w:rsid w:val="17042F70"/>
    <w:rsid w:val="172B7365"/>
    <w:rsid w:val="173996DB"/>
    <w:rsid w:val="17C8DEC5"/>
    <w:rsid w:val="17F31E41"/>
    <w:rsid w:val="186711E1"/>
    <w:rsid w:val="1876C436"/>
    <w:rsid w:val="187B3ACF"/>
    <w:rsid w:val="18B23175"/>
    <w:rsid w:val="18C3B93C"/>
    <w:rsid w:val="190C8C6D"/>
    <w:rsid w:val="19A157BB"/>
    <w:rsid w:val="19C7B6F8"/>
    <w:rsid w:val="1A2468F0"/>
    <w:rsid w:val="1AADE735"/>
    <w:rsid w:val="1AB82D2F"/>
    <w:rsid w:val="1AC895C8"/>
    <w:rsid w:val="1AD6D6F4"/>
    <w:rsid w:val="1B86079F"/>
    <w:rsid w:val="1CD8B613"/>
    <w:rsid w:val="1CEDFAB1"/>
    <w:rsid w:val="1D4DC338"/>
    <w:rsid w:val="1D80AB89"/>
    <w:rsid w:val="1DA893BC"/>
    <w:rsid w:val="1DC01366"/>
    <w:rsid w:val="1F2F2200"/>
    <w:rsid w:val="1F36227F"/>
    <w:rsid w:val="1F4F82CA"/>
    <w:rsid w:val="1F81FAC2"/>
    <w:rsid w:val="1F900E6B"/>
    <w:rsid w:val="2018FF2F"/>
    <w:rsid w:val="2024FCF2"/>
    <w:rsid w:val="2032C3ED"/>
    <w:rsid w:val="20486E41"/>
    <w:rsid w:val="20533C74"/>
    <w:rsid w:val="205DACA4"/>
    <w:rsid w:val="20A7E9BE"/>
    <w:rsid w:val="20E333CF"/>
    <w:rsid w:val="21745DEE"/>
    <w:rsid w:val="21854CF0"/>
    <w:rsid w:val="21969B60"/>
    <w:rsid w:val="21C122F5"/>
    <w:rsid w:val="22CC9DA1"/>
    <w:rsid w:val="22E60151"/>
    <w:rsid w:val="2320DECF"/>
    <w:rsid w:val="235D5D16"/>
    <w:rsid w:val="2372A455"/>
    <w:rsid w:val="23B8C036"/>
    <w:rsid w:val="2401AD2F"/>
    <w:rsid w:val="241029F2"/>
    <w:rsid w:val="245CED9C"/>
    <w:rsid w:val="2497C472"/>
    <w:rsid w:val="24B23A83"/>
    <w:rsid w:val="24D648E0"/>
    <w:rsid w:val="24E5E28B"/>
    <w:rsid w:val="250A3A78"/>
    <w:rsid w:val="25BF5BC6"/>
    <w:rsid w:val="25D8AB61"/>
    <w:rsid w:val="268F695C"/>
    <w:rsid w:val="26E5413C"/>
    <w:rsid w:val="26F43C4C"/>
    <w:rsid w:val="277C7ECD"/>
    <w:rsid w:val="277EBCB5"/>
    <w:rsid w:val="27DD013C"/>
    <w:rsid w:val="27F10E76"/>
    <w:rsid w:val="2843608F"/>
    <w:rsid w:val="28DD1EE2"/>
    <w:rsid w:val="28FFB476"/>
    <w:rsid w:val="292F7C33"/>
    <w:rsid w:val="296599FC"/>
    <w:rsid w:val="2A18A82D"/>
    <w:rsid w:val="2A1E4D1D"/>
    <w:rsid w:val="2A42BCCD"/>
    <w:rsid w:val="2A4EFEAF"/>
    <w:rsid w:val="2A879B35"/>
    <w:rsid w:val="2AB6C4F2"/>
    <w:rsid w:val="2AEBC610"/>
    <w:rsid w:val="2B2F3073"/>
    <w:rsid w:val="2B3967CA"/>
    <w:rsid w:val="2B4034B1"/>
    <w:rsid w:val="2B4CA091"/>
    <w:rsid w:val="2B9C18D6"/>
    <w:rsid w:val="2BC1E006"/>
    <w:rsid w:val="2C4FA333"/>
    <w:rsid w:val="2C914F22"/>
    <w:rsid w:val="2CE7A386"/>
    <w:rsid w:val="2D1438CC"/>
    <w:rsid w:val="2DD3E456"/>
    <w:rsid w:val="2DF23C9C"/>
    <w:rsid w:val="2E1D0264"/>
    <w:rsid w:val="2E3EAB31"/>
    <w:rsid w:val="2E94B459"/>
    <w:rsid w:val="2EB1CE18"/>
    <w:rsid w:val="2EB7D758"/>
    <w:rsid w:val="2EED592F"/>
    <w:rsid w:val="2F194C55"/>
    <w:rsid w:val="2FE77902"/>
    <w:rsid w:val="30336945"/>
    <w:rsid w:val="303AD034"/>
    <w:rsid w:val="30AF2B13"/>
    <w:rsid w:val="30E7D450"/>
    <w:rsid w:val="313C1C01"/>
    <w:rsid w:val="315E1ED8"/>
    <w:rsid w:val="315E93AE"/>
    <w:rsid w:val="3190A300"/>
    <w:rsid w:val="31AC3C52"/>
    <w:rsid w:val="32116B14"/>
    <w:rsid w:val="3226162F"/>
    <w:rsid w:val="3248887F"/>
    <w:rsid w:val="324B92AA"/>
    <w:rsid w:val="32A073CC"/>
    <w:rsid w:val="32DC0B02"/>
    <w:rsid w:val="33133465"/>
    <w:rsid w:val="33245405"/>
    <w:rsid w:val="3335CAB4"/>
    <w:rsid w:val="334CE64F"/>
    <w:rsid w:val="33814E24"/>
    <w:rsid w:val="33915C74"/>
    <w:rsid w:val="33C31C9F"/>
    <w:rsid w:val="33C6AB83"/>
    <w:rsid w:val="3423A7C7"/>
    <w:rsid w:val="3429DB86"/>
    <w:rsid w:val="345B6627"/>
    <w:rsid w:val="346941B8"/>
    <w:rsid w:val="34709A35"/>
    <w:rsid w:val="348B0788"/>
    <w:rsid w:val="34B02BD5"/>
    <w:rsid w:val="3525065D"/>
    <w:rsid w:val="35AF0AAC"/>
    <w:rsid w:val="35D8716C"/>
    <w:rsid w:val="35E411A9"/>
    <w:rsid w:val="360267E2"/>
    <w:rsid w:val="365983B9"/>
    <w:rsid w:val="36713CE0"/>
    <w:rsid w:val="3685F674"/>
    <w:rsid w:val="369B054F"/>
    <w:rsid w:val="36FF1667"/>
    <w:rsid w:val="378542B7"/>
    <w:rsid w:val="37960B2A"/>
    <w:rsid w:val="37B3E9D5"/>
    <w:rsid w:val="37FC8A60"/>
    <w:rsid w:val="384383B4"/>
    <w:rsid w:val="38484367"/>
    <w:rsid w:val="38DF76DB"/>
    <w:rsid w:val="3933A1DF"/>
    <w:rsid w:val="3966BC7F"/>
    <w:rsid w:val="3993FC4B"/>
    <w:rsid w:val="39C701CD"/>
    <w:rsid w:val="3A052DD0"/>
    <w:rsid w:val="3A104D1C"/>
    <w:rsid w:val="3A1506AC"/>
    <w:rsid w:val="3A1AC76E"/>
    <w:rsid w:val="3A614B66"/>
    <w:rsid w:val="3A80694A"/>
    <w:rsid w:val="3A8C802C"/>
    <w:rsid w:val="3ADE908E"/>
    <w:rsid w:val="3B087B5D"/>
    <w:rsid w:val="3B08D529"/>
    <w:rsid w:val="3B509BE0"/>
    <w:rsid w:val="3BB59D9F"/>
    <w:rsid w:val="3BCDA22E"/>
    <w:rsid w:val="3C555BD6"/>
    <w:rsid w:val="3C6BC40D"/>
    <w:rsid w:val="3C92DA53"/>
    <w:rsid w:val="3D13BA5B"/>
    <w:rsid w:val="3D48B291"/>
    <w:rsid w:val="3D5396BD"/>
    <w:rsid w:val="3D578B0C"/>
    <w:rsid w:val="3E2588BB"/>
    <w:rsid w:val="3E4465AA"/>
    <w:rsid w:val="3E4DED5A"/>
    <w:rsid w:val="3E693F28"/>
    <w:rsid w:val="3E70DD10"/>
    <w:rsid w:val="3EC3DF1B"/>
    <w:rsid w:val="3ED0832E"/>
    <w:rsid w:val="3EDCCA12"/>
    <w:rsid w:val="3EDF7F40"/>
    <w:rsid w:val="3EF8D9E8"/>
    <w:rsid w:val="3F502687"/>
    <w:rsid w:val="3F511558"/>
    <w:rsid w:val="3F78D641"/>
    <w:rsid w:val="3FCE02BD"/>
    <w:rsid w:val="3FE0E607"/>
    <w:rsid w:val="3FEEB056"/>
    <w:rsid w:val="403EBAFE"/>
    <w:rsid w:val="404576F2"/>
    <w:rsid w:val="40772F80"/>
    <w:rsid w:val="408371AE"/>
    <w:rsid w:val="40AB8B28"/>
    <w:rsid w:val="40F79651"/>
    <w:rsid w:val="4139ABD0"/>
    <w:rsid w:val="4145DA18"/>
    <w:rsid w:val="41E9B152"/>
    <w:rsid w:val="41F1FA19"/>
    <w:rsid w:val="41FC4DEA"/>
    <w:rsid w:val="4228E0E1"/>
    <w:rsid w:val="422AA19A"/>
    <w:rsid w:val="422D3CFD"/>
    <w:rsid w:val="4236B1B5"/>
    <w:rsid w:val="4280C9E8"/>
    <w:rsid w:val="42813807"/>
    <w:rsid w:val="429482D9"/>
    <w:rsid w:val="42D03992"/>
    <w:rsid w:val="431233EE"/>
    <w:rsid w:val="4312F5CA"/>
    <w:rsid w:val="4341550D"/>
    <w:rsid w:val="43511030"/>
    <w:rsid w:val="439E437A"/>
    <w:rsid w:val="43A5527B"/>
    <w:rsid w:val="43E36B02"/>
    <w:rsid w:val="43EA79F7"/>
    <w:rsid w:val="43F13075"/>
    <w:rsid w:val="43F36E9B"/>
    <w:rsid w:val="43F81DE3"/>
    <w:rsid w:val="43FDB391"/>
    <w:rsid w:val="440D7235"/>
    <w:rsid w:val="44553FF5"/>
    <w:rsid w:val="44DE6580"/>
    <w:rsid w:val="454FC7F8"/>
    <w:rsid w:val="45738185"/>
    <w:rsid w:val="45828E58"/>
    <w:rsid w:val="45B743CB"/>
    <w:rsid w:val="45C72D83"/>
    <w:rsid w:val="45D75DFB"/>
    <w:rsid w:val="4600A86A"/>
    <w:rsid w:val="46090B56"/>
    <w:rsid w:val="4618B53E"/>
    <w:rsid w:val="46759BD0"/>
    <w:rsid w:val="4688A213"/>
    <w:rsid w:val="46A91D74"/>
    <w:rsid w:val="46C9708F"/>
    <w:rsid w:val="4718E607"/>
    <w:rsid w:val="472CC2D2"/>
    <w:rsid w:val="47461C29"/>
    <w:rsid w:val="474CC9F2"/>
    <w:rsid w:val="476999F9"/>
    <w:rsid w:val="4799E174"/>
    <w:rsid w:val="47E023B1"/>
    <w:rsid w:val="4815A86F"/>
    <w:rsid w:val="48B2C317"/>
    <w:rsid w:val="48E36172"/>
    <w:rsid w:val="4902F97D"/>
    <w:rsid w:val="49311FE9"/>
    <w:rsid w:val="494599FA"/>
    <w:rsid w:val="4969E2C0"/>
    <w:rsid w:val="497C4301"/>
    <w:rsid w:val="49B8BCCF"/>
    <w:rsid w:val="49E5CE0C"/>
    <w:rsid w:val="49E9CC24"/>
    <w:rsid w:val="49EEE75B"/>
    <w:rsid w:val="4A012D0E"/>
    <w:rsid w:val="4A333638"/>
    <w:rsid w:val="4AF04A34"/>
    <w:rsid w:val="4B1BFBA3"/>
    <w:rsid w:val="4B59F66E"/>
    <w:rsid w:val="4B5ADB1F"/>
    <w:rsid w:val="4C47F5B6"/>
    <w:rsid w:val="4C7170E2"/>
    <w:rsid w:val="4C76B281"/>
    <w:rsid w:val="4C97EF42"/>
    <w:rsid w:val="4D37F031"/>
    <w:rsid w:val="4D579F7F"/>
    <w:rsid w:val="4D608DA0"/>
    <w:rsid w:val="4D7FBE08"/>
    <w:rsid w:val="4DC915AD"/>
    <w:rsid w:val="4DCAF145"/>
    <w:rsid w:val="4DF277D0"/>
    <w:rsid w:val="4E088D0F"/>
    <w:rsid w:val="4E3D77D1"/>
    <w:rsid w:val="4E5072DA"/>
    <w:rsid w:val="4E54B714"/>
    <w:rsid w:val="4E5BB713"/>
    <w:rsid w:val="4E85687A"/>
    <w:rsid w:val="4F2198E1"/>
    <w:rsid w:val="4F427E3D"/>
    <w:rsid w:val="4F714D10"/>
    <w:rsid w:val="4F7957BF"/>
    <w:rsid w:val="4FD111E7"/>
    <w:rsid w:val="4FD96A35"/>
    <w:rsid w:val="4FF6AA48"/>
    <w:rsid w:val="507B66B0"/>
    <w:rsid w:val="50843A87"/>
    <w:rsid w:val="50EE055C"/>
    <w:rsid w:val="50F12DCD"/>
    <w:rsid w:val="50F4C2C9"/>
    <w:rsid w:val="51662ACE"/>
    <w:rsid w:val="519174F8"/>
    <w:rsid w:val="51CADC72"/>
    <w:rsid w:val="52215B8B"/>
    <w:rsid w:val="523F6F36"/>
    <w:rsid w:val="52475E90"/>
    <w:rsid w:val="52531285"/>
    <w:rsid w:val="5284CBE9"/>
    <w:rsid w:val="5297ED59"/>
    <w:rsid w:val="52A7541F"/>
    <w:rsid w:val="52B3BF12"/>
    <w:rsid w:val="52C0BB01"/>
    <w:rsid w:val="52D28B56"/>
    <w:rsid w:val="534BEA4C"/>
    <w:rsid w:val="5380AE17"/>
    <w:rsid w:val="53B943D8"/>
    <w:rsid w:val="54054CD2"/>
    <w:rsid w:val="540BF25F"/>
    <w:rsid w:val="543295C6"/>
    <w:rsid w:val="54378CE8"/>
    <w:rsid w:val="543B5D9C"/>
    <w:rsid w:val="54930DE1"/>
    <w:rsid w:val="549B759E"/>
    <w:rsid w:val="54DB3DD2"/>
    <w:rsid w:val="54F08C01"/>
    <w:rsid w:val="551F88E9"/>
    <w:rsid w:val="55810736"/>
    <w:rsid w:val="55D9F655"/>
    <w:rsid w:val="55DE556C"/>
    <w:rsid w:val="5685E4D6"/>
    <w:rsid w:val="56BDC143"/>
    <w:rsid w:val="56E8E096"/>
    <w:rsid w:val="572DC38B"/>
    <w:rsid w:val="57737ACB"/>
    <w:rsid w:val="57856C42"/>
    <w:rsid w:val="57953853"/>
    <w:rsid w:val="57D4B834"/>
    <w:rsid w:val="57D5A092"/>
    <w:rsid w:val="57E23465"/>
    <w:rsid w:val="58198B9B"/>
    <w:rsid w:val="58204A15"/>
    <w:rsid w:val="583822E3"/>
    <w:rsid w:val="585BBBBA"/>
    <w:rsid w:val="5898571B"/>
    <w:rsid w:val="58A9B897"/>
    <w:rsid w:val="58B421B8"/>
    <w:rsid w:val="58B8BEA3"/>
    <w:rsid w:val="58CFBA0F"/>
    <w:rsid w:val="5929A5A0"/>
    <w:rsid w:val="59543E34"/>
    <w:rsid w:val="598CD516"/>
    <w:rsid w:val="599CE520"/>
    <w:rsid w:val="59D4897D"/>
    <w:rsid w:val="5A0C4300"/>
    <w:rsid w:val="5A27317D"/>
    <w:rsid w:val="5AC0D4BD"/>
    <w:rsid w:val="5AC670C3"/>
    <w:rsid w:val="5B4175D4"/>
    <w:rsid w:val="5B4BADE9"/>
    <w:rsid w:val="5B5CEE42"/>
    <w:rsid w:val="5B790D38"/>
    <w:rsid w:val="5BF2A19A"/>
    <w:rsid w:val="5C26E270"/>
    <w:rsid w:val="5C2D4724"/>
    <w:rsid w:val="5C3DD4DA"/>
    <w:rsid w:val="5C4A1102"/>
    <w:rsid w:val="5C881AF9"/>
    <w:rsid w:val="5CA80575"/>
    <w:rsid w:val="5CAEC442"/>
    <w:rsid w:val="5CB6F11E"/>
    <w:rsid w:val="5CBCF104"/>
    <w:rsid w:val="5CD2BC35"/>
    <w:rsid w:val="5CD4F85E"/>
    <w:rsid w:val="5CFA04FF"/>
    <w:rsid w:val="5D38B53F"/>
    <w:rsid w:val="5D839701"/>
    <w:rsid w:val="5E74D8E0"/>
    <w:rsid w:val="5E859CAB"/>
    <w:rsid w:val="5E8B188E"/>
    <w:rsid w:val="5EC0C479"/>
    <w:rsid w:val="5F0DF34D"/>
    <w:rsid w:val="5F413CCD"/>
    <w:rsid w:val="5F46E919"/>
    <w:rsid w:val="5F868120"/>
    <w:rsid w:val="5FB142CC"/>
    <w:rsid w:val="5FB8D412"/>
    <w:rsid w:val="5FCC11B1"/>
    <w:rsid w:val="5FDDA6F4"/>
    <w:rsid w:val="5FE8F765"/>
    <w:rsid w:val="60689C35"/>
    <w:rsid w:val="60EA0E8D"/>
    <w:rsid w:val="61355AA4"/>
    <w:rsid w:val="613E5B40"/>
    <w:rsid w:val="61976230"/>
    <w:rsid w:val="61D956EA"/>
    <w:rsid w:val="61E7F765"/>
    <w:rsid w:val="625DB8E9"/>
    <w:rsid w:val="626CF0C8"/>
    <w:rsid w:val="628C5EA0"/>
    <w:rsid w:val="62AEB21C"/>
    <w:rsid w:val="633B9D8C"/>
    <w:rsid w:val="6366B815"/>
    <w:rsid w:val="639FAAC7"/>
    <w:rsid w:val="6455D965"/>
    <w:rsid w:val="6470CC2C"/>
    <w:rsid w:val="6474ECB8"/>
    <w:rsid w:val="6483EEEA"/>
    <w:rsid w:val="64875081"/>
    <w:rsid w:val="64CFF752"/>
    <w:rsid w:val="6543D185"/>
    <w:rsid w:val="65745919"/>
    <w:rsid w:val="65C00ABA"/>
    <w:rsid w:val="66327C9F"/>
    <w:rsid w:val="6657303A"/>
    <w:rsid w:val="666B21FD"/>
    <w:rsid w:val="668D5C15"/>
    <w:rsid w:val="66EE61A6"/>
    <w:rsid w:val="6710C35E"/>
    <w:rsid w:val="6789B22A"/>
    <w:rsid w:val="67EFB994"/>
    <w:rsid w:val="67F0C641"/>
    <w:rsid w:val="67F44375"/>
    <w:rsid w:val="67FAB60F"/>
    <w:rsid w:val="682E292B"/>
    <w:rsid w:val="6833912B"/>
    <w:rsid w:val="683E2F06"/>
    <w:rsid w:val="684FA2BA"/>
    <w:rsid w:val="68D6A3A9"/>
    <w:rsid w:val="68EC5D6B"/>
    <w:rsid w:val="68F76229"/>
    <w:rsid w:val="693E4641"/>
    <w:rsid w:val="693E6180"/>
    <w:rsid w:val="69748A44"/>
    <w:rsid w:val="6AA0E041"/>
    <w:rsid w:val="6B00F7A0"/>
    <w:rsid w:val="6B031FC6"/>
    <w:rsid w:val="6B265454"/>
    <w:rsid w:val="6B441403"/>
    <w:rsid w:val="6B6D352B"/>
    <w:rsid w:val="6BBE4D7D"/>
    <w:rsid w:val="6BE3E4DE"/>
    <w:rsid w:val="6C3431B4"/>
    <w:rsid w:val="6CB6D3A9"/>
    <w:rsid w:val="6CB793B7"/>
    <w:rsid w:val="6CBF4105"/>
    <w:rsid w:val="6CBFE60D"/>
    <w:rsid w:val="6D315807"/>
    <w:rsid w:val="6D33CCBC"/>
    <w:rsid w:val="6D9C04E4"/>
    <w:rsid w:val="6E5BE3EA"/>
    <w:rsid w:val="6EA19117"/>
    <w:rsid w:val="6EC0A30F"/>
    <w:rsid w:val="6EE888BC"/>
    <w:rsid w:val="6EFD282A"/>
    <w:rsid w:val="6F34C567"/>
    <w:rsid w:val="6F37DE9D"/>
    <w:rsid w:val="70049904"/>
    <w:rsid w:val="7009A0A3"/>
    <w:rsid w:val="700A7726"/>
    <w:rsid w:val="70B68C82"/>
    <w:rsid w:val="70EF27F1"/>
    <w:rsid w:val="71346941"/>
    <w:rsid w:val="713ABE82"/>
    <w:rsid w:val="714C34A6"/>
    <w:rsid w:val="715A4CBD"/>
    <w:rsid w:val="7167DC5D"/>
    <w:rsid w:val="717B125F"/>
    <w:rsid w:val="720F1D10"/>
    <w:rsid w:val="72890249"/>
    <w:rsid w:val="735AE32A"/>
    <w:rsid w:val="736C3C78"/>
    <w:rsid w:val="737DC5D2"/>
    <w:rsid w:val="738D4708"/>
    <w:rsid w:val="73CF5ED6"/>
    <w:rsid w:val="73D32903"/>
    <w:rsid w:val="73F65F1D"/>
    <w:rsid w:val="73FB4744"/>
    <w:rsid w:val="74051EC6"/>
    <w:rsid w:val="742EEA6F"/>
    <w:rsid w:val="748EE553"/>
    <w:rsid w:val="749FC1FA"/>
    <w:rsid w:val="74C72FB5"/>
    <w:rsid w:val="7523F182"/>
    <w:rsid w:val="75985C4E"/>
    <w:rsid w:val="75B61FD1"/>
    <w:rsid w:val="75B81DD9"/>
    <w:rsid w:val="76264921"/>
    <w:rsid w:val="76B2D197"/>
    <w:rsid w:val="76FEA507"/>
    <w:rsid w:val="77687AF2"/>
    <w:rsid w:val="77EEE578"/>
    <w:rsid w:val="77FE175E"/>
    <w:rsid w:val="785A2EB6"/>
    <w:rsid w:val="789505E1"/>
    <w:rsid w:val="78A86620"/>
    <w:rsid w:val="79818893"/>
    <w:rsid w:val="79AC2BEC"/>
    <w:rsid w:val="79EF4349"/>
    <w:rsid w:val="79FCCB84"/>
    <w:rsid w:val="7A50E2D7"/>
    <w:rsid w:val="7AB658C5"/>
    <w:rsid w:val="7ADFAE10"/>
    <w:rsid w:val="7AEDB0FB"/>
    <w:rsid w:val="7AF4BF6C"/>
    <w:rsid w:val="7AFECEAD"/>
    <w:rsid w:val="7B522BAE"/>
    <w:rsid w:val="7B64BBA4"/>
    <w:rsid w:val="7B867663"/>
    <w:rsid w:val="7B9004F1"/>
    <w:rsid w:val="7B90106C"/>
    <w:rsid w:val="7BB98A90"/>
    <w:rsid w:val="7BDAD22D"/>
    <w:rsid w:val="7C06321B"/>
    <w:rsid w:val="7C09A8EA"/>
    <w:rsid w:val="7C2AB6B4"/>
    <w:rsid w:val="7C32E559"/>
    <w:rsid w:val="7C9D8797"/>
    <w:rsid w:val="7CEDA4A3"/>
    <w:rsid w:val="7D0D7D7D"/>
    <w:rsid w:val="7D4D3F74"/>
    <w:rsid w:val="7DE2C799"/>
    <w:rsid w:val="7E120CD0"/>
    <w:rsid w:val="7E4BE73B"/>
    <w:rsid w:val="7E63B5A7"/>
    <w:rsid w:val="7ECA9793"/>
    <w:rsid w:val="7EE4A7F6"/>
    <w:rsid w:val="7F066AA1"/>
    <w:rsid w:val="7F69D728"/>
    <w:rsid w:val="7F736E09"/>
    <w:rsid w:val="7FD7C95F"/>
    <w:rsid w:val="7FED0A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2E416"/>
  <w15:docId w15:val="{1350709B-3F99-4896-B980-E7353A5B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B3"/>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7019B3"/>
    <w:pPr>
      <w:numPr>
        <w:numId w:val="46"/>
      </w:num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270680"/>
    <w:pPr>
      <w:tabs>
        <w:tab w:val="left" w:pos="851"/>
      </w:tabs>
      <w:ind w:left="284" w:hanging="284"/>
    </w:pPr>
    <w:rPr>
      <w:b w:val="0"/>
      <w:noProof/>
    </w:rPr>
  </w:style>
  <w:style w:type="paragraph" w:styleId="TOC1">
    <w:name w:val="toc 1"/>
    <w:basedOn w:val="Normal"/>
    <w:next w:val="Normal"/>
    <w:autoRedefine/>
    <w:uiPriority w:val="39"/>
    <w:rsid w:val="00066454"/>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0A202F"/>
    <w:pPr>
      <w:spacing w:before="0" w:after="0" w:line="240" w:lineRule="auto"/>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aliases w:val="Footnote,DTE-Voetnoottekst,(NECG) Footnote Text,ALTS FOOTNOTE,Footnote Text Char Char Char,Footnote Text Char1 Char Char,Footnote Text Char Char Char Char Char,Footnote Text Char Char1 Char Char,Footnote Text Char Char1,f,Footnote Text1"/>
    <w:basedOn w:val="Normal"/>
    <w:link w:val="FootnoteTextChar"/>
    <w:uiPriority w:val="99"/>
    <w:unhideWhenUsed/>
    <w:qFormat/>
    <w:rsid w:val="00CF33F6"/>
    <w:pPr>
      <w:spacing w:after="0" w:line="240" w:lineRule="auto"/>
    </w:pPr>
    <w:rPr>
      <w:sz w:val="18"/>
      <w:szCs w:val="20"/>
    </w:rPr>
  </w:style>
  <w:style w:type="character" w:customStyle="1" w:styleId="FootnoteTextChar">
    <w:name w:val="Footnote Text Char"/>
    <w:aliases w:val="Footnote Char,DTE-Voetnoottekst Char,(NECG) Footnote Text Char,ALTS FOOTNOTE Char,Footnote Text Char Char Char Char,Footnote Text Char1 Char Char Char,Footnote Text Char Char Char Char Char Char,Footnote Text Char Char1 Char Char Char"/>
    <w:basedOn w:val="DefaultParagraphFont"/>
    <w:link w:val="FootnoteText"/>
    <w:uiPriority w:val="99"/>
    <w:rsid w:val="00CF33F6"/>
    <w:rPr>
      <w:sz w:val="18"/>
      <w:szCs w:val="20"/>
    </w:rPr>
  </w:style>
  <w:style w:type="character" w:styleId="FootnoteReference">
    <w:name w:val="footnote reference"/>
    <w:aliases w:val="SFG_Footnote_Reference,(NECG) Footnote Reference,Footnote reference,fr,o,Style 6,Style 20,(NECG) Footnote Reference1,(NECG) Footnote Reference2,(NECG) Footnote Reference3,(NECG) Footnote Reference4,(NECG) Footnote Reference5,Style 3"/>
    <w:basedOn w:val="DefaultParagraphFont"/>
    <w:uiPriority w:val="99"/>
    <w:unhideWhenUsed/>
    <w:qFormat/>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unhideWhenUsed/>
    <w:rsid w:val="00A447FD"/>
    <w:pPr>
      <w:spacing w:before="40" w:after="40" w:line="288" w:lineRule="auto"/>
      <w:ind w:left="1321"/>
    </w:pPr>
  </w:style>
  <w:style w:type="paragraph" w:styleId="TOC8">
    <w:name w:val="toc 8"/>
    <w:basedOn w:val="Normal"/>
    <w:next w:val="Normal"/>
    <w:autoRedefine/>
    <w:uiPriority w:val="39"/>
    <w:unhideWhenUsed/>
    <w:rsid w:val="00A447FD"/>
    <w:pPr>
      <w:spacing w:before="40" w:after="40" w:line="288" w:lineRule="auto"/>
      <w:ind w:left="1542"/>
    </w:pPr>
  </w:style>
  <w:style w:type="paragraph" w:styleId="TOC9">
    <w:name w:val="toc 9"/>
    <w:basedOn w:val="Normal"/>
    <w:next w:val="Normal"/>
    <w:autoRedefine/>
    <w:uiPriority w:val="39"/>
    <w:unhideWhenUsed/>
    <w:rsid w:val="00A447FD"/>
    <w:pPr>
      <w:spacing w:before="40" w:after="40" w:line="288" w:lineRule="auto"/>
      <w:ind w:left="1758"/>
    </w:pPr>
  </w:style>
  <w:style w:type="character" w:styleId="UnresolvedMention">
    <w:name w:val="Unresolved Mention"/>
    <w:basedOn w:val="DefaultParagraphFont"/>
    <w:uiPriority w:val="99"/>
    <w:semiHidden/>
    <w:unhideWhenUsed/>
    <w:rsid w:val="00515267"/>
    <w:rPr>
      <w:color w:val="605E5C"/>
      <w:shd w:val="clear" w:color="auto" w:fill="E1DFDD"/>
    </w:rPr>
  </w:style>
  <w:style w:type="character" w:styleId="FollowedHyperlink">
    <w:name w:val="FollowedHyperlink"/>
    <w:basedOn w:val="DefaultParagraphFont"/>
    <w:uiPriority w:val="99"/>
    <w:semiHidden/>
    <w:unhideWhenUsed/>
    <w:rsid w:val="00017E50"/>
    <w:rPr>
      <w:color w:val="000000" w:themeColor="followedHyperlink"/>
      <w:u w:val="single"/>
    </w:rPr>
  </w:style>
  <w:style w:type="table" w:customStyle="1" w:styleId="TableGrid1">
    <w:name w:val="Table Grid1"/>
    <w:basedOn w:val="TableNormal"/>
    <w:next w:val="TableGrid"/>
    <w:uiPriority w:val="39"/>
    <w:rsid w:val="00AC6F4D"/>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 w:type="character" w:styleId="CommentReference">
    <w:name w:val="annotation reference"/>
    <w:basedOn w:val="DefaultParagraphFont"/>
    <w:uiPriority w:val="99"/>
    <w:semiHidden/>
    <w:unhideWhenUsed/>
    <w:rsid w:val="002337DE"/>
    <w:rPr>
      <w:sz w:val="16"/>
      <w:szCs w:val="16"/>
    </w:rPr>
  </w:style>
  <w:style w:type="paragraph" w:styleId="CommentText">
    <w:name w:val="annotation text"/>
    <w:basedOn w:val="Normal"/>
    <w:link w:val="CommentTextChar"/>
    <w:uiPriority w:val="99"/>
    <w:unhideWhenUsed/>
    <w:rsid w:val="002337DE"/>
    <w:pPr>
      <w:spacing w:line="240" w:lineRule="auto"/>
    </w:pPr>
    <w:rPr>
      <w:sz w:val="20"/>
      <w:szCs w:val="20"/>
    </w:rPr>
  </w:style>
  <w:style w:type="character" w:customStyle="1" w:styleId="CommentTextChar">
    <w:name w:val="Comment Text Char"/>
    <w:basedOn w:val="DefaultParagraphFont"/>
    <w:link w:val="CommentText"/>
    <w:uiPriority w:val="99"/>
    <w:rsid w:val="002337DE"/>
    <w:rPr>
      <w:sz w:val="20"/>
      <w:szCs w:val="20"/>
      <w:lang w:val="en-AU"/>
    </w:rPr>
  </w:style>
  <w:style w:type="character" w:styleId="Mention">
    <w:name w:val="Mention"/>
    <w:basedOn w:val="DefaultParagraphFont"/>
    <w:uiPriority w:val="99"/>
    <w:unhideWhenUsed/>
    <w:rsid w:val="00333C6C"/>
    <w:rPr>
      <w:color w:val="2B579A"/>
      <w:shd w:val="clear" w:color="auto" w:fill="E1DFDD"/>
    </w:rPr>
  </w:style>
  <w:style w:type="paragraph" w:styleId="Revision">
    <w:name w:val="Revision"/>
    <w:hidden/>
    <w:uiPriority w:val="99"/>
    <w:semiHidden/>
    <w:rsid w:val="00516CE0"/>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FD1262"/>
    <w:rPr>
      <w:b/>
      <w:bCs/>
    </w:rPr>
  </w:style>
  <w:style w:type="character" w:customStyle="1" w:styleId="CommentSubjectChar">
    <w:name w:val="Comment Subject Char"/>
    <w:basedOn w:val="CommentTextChar"/>
    <w:link w:val="CommentSubject"/>
    <w:uiPriority w:val="99"/>
    <w:semiHidden/>
    <w:rsid w:val="00FD1262"/>
    <w:rPr>
      <w:b/>
      <w:bCs/>
      <w:sz w:val="20"/>
      <w:szCs w:val="20"/>
      <w:lang w:val="en-AU"/>
    </w:rPr>
  </w:style>
  <w:style w:type="character" w:customStyle="1" w:styleId="EndnoteTextChar1">
    <w:name w:val="Endnote Text Char1"/>
    <w:basedOn w:val="DefaultParagraphFont"/>
    <w:uiPriority w:val="99"/>
    <w:semiHidden/>
    <w:rsid w:val="00044DC6"/>
    <w:rPr>
      <w:sz w:val="20"/>
      <w:szCs w:val="20"/>
      <w:lang w:val="en-AU"/>
    </w:rPr>
  </w:style>
  <w:style w:type="character" w:styleId="EndnoteReference">
    <w:name w:val="endnote reference"/>
    <w:basedOn w:val="DefaultParagraphFont"/>
    <w:uiPriority w:val="99"/>
    <w:semiHidden/>
    <w:unhideWhenUsed/>
    <w:rsid w:val="00044DC6"/>
    <w:rPr>
      <w:vertAlign w:val="superscript"/>
    </w:rPr>
  </w:style>
  <w:style w:type="character" w:customStyle="1" w:styleId="EndnoteTextChar">
    <w:name w:val="Endnote Text Char"/>
    <w:basedOn w:val="DefaultParagraphFont"/>
    <w:link w:val="EndnoteText"/>
    <w:uiPriority w:val="99"/>
    <w:semiHidden/>
    <w:rsid w:val="00044DC6"/>
    <w:rPr>
      <w:sz w:val="20"/>
      <w:szCs w:val="20"/>
    </w:rPr>
  </w:style>
  <w:style w:type="paragraph" w:styleId="EndnoteText">
    <w:name w:val="endnote text"/>
    <w:basedOn w:val="Normal"/>
    <w:link w:val="EndnoteTextChar"/>
    <w:uiPriority w:val="99"/>
    <w:semiHidden/>
    <w:unhideWhenUsed/>
    <w:rsid w:val="00044DC6"/>
    <w:pPr>
      <w:spacing w:after="0" w:line="240" w:lineRule="auto"/>
    </w:pPr>
    <w:rPr>
      <w:sz w:val="20"/>
      <w:szCs w:val="20"/>
      <w:lang w:val="en-US"/>
    </w:rPr>
  </w:style>
  <w:style w:type="character" w:customStyle="1" w:styleId="EndnoteTextChar2">
    <w:name w:val="Endnote Text Char2"/>
    <w:basedOn w:val="DefaultParagraphFont"/>
    <w:uiPriority w:val="99"/>
    <w:semiHidden/>
    <w:rsid w:val="00044DC6"/>
    <w:rPr>
      <w:sz w:val="20"/>
      <w:szCs w:val="20"/>
      <w:lang w:val="en-AU"/>
    </w:rPr>
  </w:style>
  <w:style w:type="character" w:customStyle="1" w:styleId="ui-provider">
    <w:name w:val="ui-provider"/>
    <w:basedOn w:val="DefaultParagraphFont"/>
    <w:rsid w:val="00FC5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107652">
      <w:bodyDiv w:val="1"/>
      <w:marLeft w:val="0"/>
      <w:marRight w:val="0"/>
      <w:marTop w:val="0"/>
      <w:marBottom w:val="0"/>
      <w:divBdr>
        <w:top w:val="none" w:sz="0" w:space="0" w:color="auto"/>
        <w:left w:val="none" w:sz="0" w:space="0" w:color="auto"/>
        <w:bottom w:val="none" w:sz="0" w:space="0" w:color="auto"/>
        <w:right w:val="none" w:sz="0" w:space="0" w:color="auto"/>
      </w:divBdr>
    </w:div>
    <w:div w:id="1089233384">
      <w:bodyDiv w:val="1"/>
      <w:marLeft w:val="0"/>
      <w:marRight w:val="0"/>
      <w:marTop w:val="0"/>
      <w:marBottom w:val="0"/>
      <w:divBdr>
        <w:top w:val="none" w:sz="0" w:space="0" w:color="auto"/>
        <w:left w:val="none" w:sz="0" w:space="0" w:color="auto"/>
        <w:bottom w:val="none" w:sz="0" w:space="0" w:color="auto"/>
        <w:right w:val="none" w:sz="0" w:space="0" w:color="auto"/>
      </w:divBdr>
      <w:divsChild>
        <w:div w:id="1746223357">
          <w:marLeft w:val="547"/>
          <w:marRight w:val="0"/>
          <w:marTop w:val="0"/>
          <w:marBottom w:val="0"/>
          <w:divBdr>
            <w:top w:val="none" w:sz="0" w:space="0" w:color="auto"/>
            <w:left w:val="none" w:sz="0" w:space="0" w:color="auto"/>
            <w:bottom w:val="none" w:sz="0" w:space="0" w:color="auto"/>
            <w:right w:val="none" w:sz="0" w:space="0" w:color="auto"/>
          </w:divBdr>
        </w:div>
      </w:divsChild>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652707129">
      <w:bodyDiv w:val="1"/>
      <w:marLeft w:val="0"/>
      <w:marRight w:val="0"/>
      <w:marTop w:val="0"/>
      <w:marBottom w:val="0"/>
      <w:divBdr>
        <w:top w:val="none" w:sz="0" w:space="0" w:color="auto"/>
        <w:left w:val="none" w:sz="0" w:space="0" w:color="auto"/>
        <w:bottom w:val="none" w:sz="0" w:space="0" w:color="auto"/>
        <w:right w:val="none" w:sz="0" w:space="0" w:color="auto"/>
      </w:divBdr>
    </w:div>
    <w:div w:id="21060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yperlink" Target="https://www.esc.vic.gov.au/transport/commercial-passenger-vehicles/unbooked-taxi-fares-and-non-cash-payment-surcharge-review-2024" TargetMode="External"/><Relationship Id="rId42" Type="http://schemas.openxmlformats.org/officeDocument/2006/relationships/hyperlink" Target="https://nt.gov.au/driving/industry/commercial-passenger-vehicles/taxi-areas-meters-and-fares" TargetMode="External"/><Relationship Id="rId47" Type="http://schemas.openxmlformats.org/officeDocument/2006/relationships/footer" Target="footer11.xml"/><Relationship Id="rId63" Type="http://schemas.openxmlformats.org/officeDocument/2006/relationships/chart" Target="charts/chart4.xml"/><Relationship Id="rId68" Type="http://schemas.openxmlformats.org/officeDocument/2006/relationships/footer" Target="footer16.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chart" Target="charts/chart1.xml"/><Relationship Id="rId32" Type="http://schemas.openxmlformats.org/officeDocument/2006/relationships/image" Target="media/image6.png"/><Relationship Id="rId37" Type="http://schemas.openxmlformats.org/officeDocument/2006/relationships/hyperlink" Target="https://www.transport.tas.gov.au/public_transport/taxis_and_ride_sourcing/calculating_your_fare/accordion/what_other_fees_and_charges_apply_to_taxis" TargetMode="External"/><Relationship Id="rId40" Type="http://schemas.openxmlformats.org/officeDocument/2006/relationships/hyperlink" Target="https://www.actcabs.com.au/uploads/7/9/8/3/79830392/fare_rates_act.pdf" TargetMode="External"/><Relationship Id="rId45" Type="http://schemas.openxmlformats.org/officeDocument/2006/relationships/hyperlink" Target="https://www.esc.vic.gov.au/sites/default/files/documents/Unbooked%20taxi%20fare%20adjustment%202023%20-%20Commission%20assessment%20-%2020230824.PDF" TargetMode="External"/><Relationship Id="rId53" Type="http://schemas.openxmlformats.org/officeDocument/2006/relationships/hyperlink" Target="https://www.transport.tas.gov.au/public_transport/taxis_and_ride_sourcing/calculating_your_fare/accordion/what_other_fees_and_charges_apply_to_taxis" TargetMode="External"/><Relationship Id="rId58" Type="http://schemas.openxmlformats.org/officeDocument/2006/relationships/hyperlink" Target="https://taxi.nv.gov/Rider_Info/Approximate_Fare_Information/" TargetMode="External"/><Relationship Id="rId66" Type="http://schemas.openxmlformats.org/officeDocument/2006/relationships/footer" Target="footer15.xml"/><Relationship Id="rId5" Type="http://schemas.openxmlformats.org/officeDocument/2006/relationships/numbering" Target="numbering.xml"/><Relationship Id="rId61" Type="http://schemas.openxmlformats.org/officeDocument/2006/relationships/footer" Target="footer13.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3.png"/><Relationship Id="rId30" Type="http://schemas.openxmlformats.org/officeDocument/2006/relationships/footer" Target="footer10.xml"/><Relationship Id="rId35" Type="http://schemas.openxmlformats.org/officeDocument/2006/relationships/hyperlink" Target="https://nt.gov.au/driving/industry/commercial-passenger-vehicles/taxi-areas-meters-and-fares" TargetMode="External"/><Relationship Id="rId43" Type="http://schemas.openxmlformats.org/officeDocument/2006/relationships/hyperlink" Target="https://www.publications.qld.gov.au/ckan-publications-attachments-prod/resources/99e44e71-3e8c-4494-8726-a878f93d6cf7/30.06.23-combined.pdf?ETag=d1d0cb588de987ac1efa1a21a7b265f7" TargetMode="External"/><Relationship Id="rId48" Type="http://schemas.openxmlformats.org/officeDocument/2006/relationships/hyperlink" Target="https://www.canberratimes.com.au/story/6045011/canberra-taxi-surcharges-to-be-capped-to-curb-exorbitant-card-fees/%20" TargetMode="External"/><Relationship Id="rId56" Type="http://schemas.openxmlformats.org/officeDocument/2006/relationships/hyperlink" Target="https://tfl.gov.uk/modes/taxis-and-minicabs/taxi-fares" TargetMode="External"/><Relationship Id="rId64" Type="http://schemas.openxmlformats.org/officeDocument/2006/relationships/footer" Target="footer14.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nt.gov.au/driving/industry/commercial-passenger-vehicles/taxi-areas-meters-and-fares" TargetMode="Externa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hart" Target="charts/chart2.xml"/><Relationship Id="rId33" Type="http://schemas.openxmlformats.org/officeDocument/2006/relationships/hyperlink" Target="https://www.actcabs.com.au/uploads/7/9/8/3/79830392/fare_rates_act.pdf" TargetMode="External"/><Relationship Id="rId38" Type="http://schemas.openxmlformats.org/officeDocument/2006/relationships/hyperlink" Target="https://www.esc.vic.gov.au/sites/default/files/documents/Unbooked%20taxi%20fare%20adjustment%202023%20-%20Commission%20assessment%20-%2020230824.PDF" TargetMode="External"/><Relationship Id="rId46" Type="http://schemas.openxmlformats.org/officeDocument/2006/relationships/hyperlink" Target="https://www.transport.wa.gov.au/On-demandTransport/on-demand-rank-or-hail-taxi-fares.asp" TargetMode="External"/><Relationship Id="rId59" Type="http://schemas.openxmlformats.org/officeDocument/2006/relationships/hyperlink" Target="https://www1.nyc.gov/site/tlc/passengers/taxi-fare.page" TargetMode="External"/><Relationship Id="rId67" Type="http://schemas.openxmlformats.org/officeDocument/2006/relationships/header" Target="header5.xml"/><Relationship Id="rId20" Type="http://schemas.openxmlformats.org/officeDocument/2006/relationships/footer" Target="footer5.xml"/><Relationship Id="rId41" Type="http://schemas.openxmlformats.org/officeDocument/2006/relationships/hyperlink" Target="https://transportnsw.info/travel-info/ways-to-get-around/taxi-hire-vehicle/rank-hail-taxi-fares-charges" TargetMode="External"/><Relationship Id="rId54" Type="http://schemas.openxmlformats.org/officeDocument/2006/relationships/hyperlink" Target="https://www.transport.wa.gov.au/On-demandTransport/on-demand-rank-or-hail-taxi-fares.asp" TargetMode="External"/><Relationship Id="rId62" Type="http://schemas.openxmlformats.org/officeDocument/2006/relationships/chart" Target="charts/chart3.xm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4.0/" TargetMode="External"/><Relationship Id="rId23" Type="http://schemas.openxmlformats.org/officeDocument/2006/relationships/footer" Target="footer7.xml"/><Relationship Id="rId28" Type="http://schemas.openxmlformats.org/officeDocument/2006/relationships/image" Target="media/image4.png"/><Relationship Id="rId36" Type="http://schemas.openxmlformats.org/officeDocument/2006/relationships/hyperlink" Target="https://www.publications.qld.gov.au/ckan-publications-attachments-prod/resources/99e44e71-3e8c-4494-8726-a878f93d6cf7/30.06.23-combined.pdf?ETag=d1d0cb588de987ac1efa1a21a7b265f7" TargetMode="External"/><Relationship Id="rId49" Type="http://schemas.openxmlformats.org/officeDocument/2006/relationships/hyperlink" Target="https://www.transport.nsw.gov.au/system/files/media/documents/2023/Point-to-Point-Transport_Fares_Order.pdf" TargetMode="External"/><Relationship Id="rId57" Type="http://schemas.openxmlformats.org/officeDocument/2006/relationships/hyperlink" Target="https://311.chicago.gov/s/article/Paying-for-a-cab-with-a-credit-or-debit-card-brochure?language=en_US" TargetMode="External"/><Relationship Id="rId10" Type="http://schemas.openxmlformats.org/officeDocument/2006/relationships/endnotes" Target="endnotes.xml"/><Relationship Id="rId31" Type="http://schemas.openxmlformats.org/officeDocument/2006/relationships/image" Target="media/image5.emf"/><Relationship Id="rId44" Type="http://schemas.openxmlformats.org/officeDocument/2006/relationships/hyperlink" Target="https://www.transport.tas.gov.au/public_transport/taxis_and_ride_sourcing/calculating_your_fare/accordion/what_other_fees_and_charges_apply_to_taxis" TargetMode="External"/><Relationship Id="rId52" Type="http://schemas.openxmlformats.org/officeDocument/2006/relationships/hyperlink" Target="https://www.sa.gov.au/topics/driving-and-transport/industry-services/taxi-and-passenger-transport/taxis" TargetMode="External"/><Relationship Id="rId60" Type="http://schemas.openxmlformats.org/officeDocument/2006/relationships/footer" Target="footer12.xm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9" Type="http://schemas.openxmlformats.org/officeDocument/2006/relationships/hyperlink" Target="https://www.transport.wa.gov.au/On-demandTransport/on-demand-rank-or-hail-taxi-fares.asp" TargetMode="External"/><Relationship Id="rId34" Type="http://schemas.openxmlformats.org/officeDocument/2006/relationships/hyperlink" Target="https://transportnsw.info/travel-info/ways-to-get-around/taxi-hire-vehicle/rank-hail-taxi-fares-charges" TargetMode="External"/><Relationship Id="rId50" Type="http://schemas.openxmlformats.org/officeDocument/2006/relationships/hyperlink" Target="https://www.tmr.qld.gov.au/business-industry/Taxi-and-limousine/Industry-information/Industry-regulations/Maximum-payment-surcharge" TargetMode="External"/><Relationship Id="rId55" Type="http://schemas.openxmlformats.org/officeDocument/2006/relationships/hyperlink" Target="https://www.cdgtaxi.com.sg/ride-with-us/far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qld.gov.au/transport/public/operators/information-for-passengers/passenger-rights-and-fares/taxi-service-standards" TargetMode="External"/><Relationship Id="rId13" Type="http://schemas.openxmlformats.org/officeDocument/2006/relationships/hyperlink" Target="https://www.uber.com/au/en/r/cities/taxi/melbourne-vic-au/" TargetMode="External"/><Relationship Id="rId3" Type="http://schemas.openxmlformats.org/officeDocument/2006/relationships/hyperlink" Target="https://www.rba.gov.au/publications/rdp/2023/2023-08/full.html" TargetMode="External"/><Relationship Id="rId7" Type="http://schemas.openxmlformats.org/officeDocument/2006/relationships/hyperlink" Target="https://nt.gov.au/driving/industry/commercial-passenger-vehicles/taxi-areas-meters-and-fares" TargetMode="External"/><Relationship Id="rId12" Type="http://schemas.openxmlformats.org/officeDocument/2006/relationships/hyperlink" Target="https://help.cabcharge.com.au/en/articles/5944422-cabcharge-fees" TargetMode="External"/><Relationship Id="rId2" Type="http://schemas.openxmlformats.org/officeDocument/2006/relationships/hyperlink" Target="https://www.accc.gov.au/about-us/publications/serial-publications/airport-monitoring-reports/airport-monitoring-report-2022-23" TargetMode="External"/><Relationship Id="rId1" Type="http://schemas.openxmlformats.org/officeDocument/2006/relationships/hyperlink" Target="https://www.esc.vic.gov.au/sites/default/files/documents/DDP%20-%20Review%20of%20the%20maximum%20unbooked%20taxi%20fares%20and%20non-cash%20payment%20surcharges%20-%20Draft%20Decision%20-%2020240605.pdf" TargetMode="External"/><Relationship Id="rId6" Type="http://schemas.openxmlformats.org/officeDocument/2006/relationships/hyperlink" Target="https://www.esc.vic.gov.au/transport/commercial-passenger-vehicles/unbooked-taxi-fares-and-non-cash-payment-surcharge-review-2024" TargetMode="External"/><Relationship Id="rId11" Type="http://schemas.openxmlformats.org/officeDocument/2006/relationships/hyperlink" Target="https://www.rba.gov.au/payments-and-infrastructure/review-of-card-payments-regulation/pdf/standard-no-3-of-2016-scheme-rules-relating-to-merchant-pricing-2021-11-18.pdf" TargetMode="External"/><Relationship Id="rId5" Type="http://schemas.openxmlformats.org/officeDocument/2006/relationships/hyperlink" Target="https://livepayments.com/product/livetap-for-taxi" TargetMode="External"/><Relationship Id="rId15" Type="http://schemas.openxmlformats.org/officeDocument/2006/relationships/hyperlink" Target="https://www.rba.gov.au/payments-and-infrastructure/review-of-card-payments-regulation/q-and-a/card-payments-regulation-qa-conclusions-paper.html" TargetMode="External"/><Relationship Id="rId10" Type="http://schemas.openxmlformats.org/officeDocument/2006/relationships/hyperlink" Target="https://ola.com.au/driver/drivers-guidelines/ola-driver-cleaning-fee-reimbursement-policy/" TargetMode="External"/><Relationship Id="rId4" Type="http://schemas.openxmlformats.org/officeDocument/2006/relationships/hyperlink" Target="https://www.rba.gov.au/publications/bulletin/2023/jun/consumer-payment-behaviour-in-australia.html" TargetMode="External"/><Relationship Id="rId9" Type="http://schemas.openxmlformats.org/officeDocument/2006/relationships/hyperlink" Target="https://web.didiglobal.com/au/help-center/how-do-i-request-a-cleaning-fee/" TargetMode="External"/><Relationship Id="rId14" Type="http://schemas.openxmlformats.org/officeDocument/2006/relationships/hyperlink" Target="https://www.ibisworld.com/au/bed/motor-vehicle-price-index/17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https://escvic.sharepoint.com/teams/Transport-ESC-/Shared%20Documents/Taxis/Taxi%20reviews%202024/Benchmarking%20analysis/SS%20-%20Benchmark%20analysis%20-%20Non-Cash%20Payment%20Surcharge%20review%202024%20-%20No%20Diners%20Club%20-%20March%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scvic.sharepoint.com/teams/Transport-ESC-/Shared%20Documents/Taxis/Taxi%20reviews%202024/Data%20and%20analysis/What's%20happening%20in%20the%20taxi%20indust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escvic.sharepoint.com/teams/Transport-ESC-/Shared%20Documents/Taxis/Taxi%20reviews%202024/Benchmarking%20analysis/SS%20-%20Benchmark%20analysis%20-%20Non-Cash%20Payment%20Surcharge%20review%202024%20-%20No%20Diners%20Club%20-%20March%20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'[SS - Benchmark analysis - Non-Cash Payment Surcharge review 2024 - No Diners Club - March 2024.xlsx]6. Charts'!$N$7</c:f>
              <c:strCache>
                <c:ptCount val="1"/>
                <c:pt idx="0">
                  <c:v>Implied surcharge</c:v>
                </c:pt>
              </c:strCache>
            </c:strRef>
          </c:tx>
          <c:spPr>
            <a:ln w="25400" cap="rnd">
              <a:noFill/>
              <a:round/>
            </a:ln>
            <a:effectLst/>
          </c:spPr>
          <c:marker>
            <c:symbol val="circle"/>
            <c:size val="9"/>
            <c:spPr>
              <a:solidFill>
                <a:srgbClr val="67A0B9"/>
              </a:solidFill>
              <a:ln w="9525">
                <a:solidFill>
                  <a:schemeClr val="tx1"/>
                </a:solidFill>
              </a:ln>
              <a:effectLst/>
            </c:spPr>
          </c:marker>
          <c:cat>
            <c:strRef>
              <c:f>'[SS - Benchmark analysis - Non-Cash Payment Surcharge review 2024 - No Diners Club - March 2024.xlsx]6. Charts'!$M$8:$M$17</c:f>
              <c:strCache>
                <c:ptCount val="10"/>
                <c:pt idx="0">
                  <c:v>ANZ</c:v>
                </c:pt>
                <c:pt idx="1">
                  <c:v>Bank of Melbourne</c:v>
                </c:pt>
                <c:pt idx="2">
                  <c:v>Commonwealth Bank</c:v>
                </c:pt>
                <c:pt idx="3">
                  <c:v>Live Payments</c:v>
                </c:pt>
                <c:pt idx="4">
                  <c:v>Mint</c:v>
                </c:pt>
                <c:pt idx="5">
                  <c:v>NAB</c:v>
                </c:pt>
                <c:pt idx="6">
                  <c:v>Square</c:v>
                </c:pt>
                <c:pt idx="7">
                  <c:v>Tyro</c:v>
                </c:pt>
                <c:pt idx="8">
                  <c:v>Westpac</c:v>
                </c:pt>
                <c:pt idx="9">
                  <c:v>Zeller</c:v>
                </c:pt>
              </c:strCache>
            </c:strRef>
          </c:cat>
          <c:val>
            <c:numRef>
              <c:f>'[SS - Benchmark analysis - Non-Cash Payment Surcharge review 2024 - No Diners Club - March 2024.xlsx]6. Charts'!$N$8:$N$17</c:f>
              <c:numCache>
                <c:formatCode>0.00%</c:formatCode>
                <c:ptCount val="10"/>
                <c:pt idx="0">
                  <c:v>3.3824733900493564E-2</c:v>
                </c:pt>
                <c:pt idx="1">
                  <c:v>3.448441978854988E-2</c:v>
                </c:pt>
                <c:pt idx="2">
                  <c:v>2.9153578235027178E-2</c:v>
                </c:pt>
                <c:pt idx="3">
                  <c:v>3.641433682240125E-2</c:v>
                </c:pt>
                <c:pt idx="4">
                  <c:v>3.2058024169967503E-2</c:v>
                </c:pt>
                <c:pt idx="5">
                  <c:v>2.8155670563237756E-2</c:v>
                </c:pt>
                <c:pt idx="6">
                  <c:v>2.1623848624598763E-2</c:v>
                </c:pt>
                <c:pt idx="7">
                  <c:v>3.2886788796710587E-2</c:v>
                </c:pt>
                <c:pt idx="8">
                  <c:v>3.1099854354900591E-2</c:v>
                </c:pt>
                <c:pt idx="9">
                  <c:v>1.8427285087450063E-2</c:v>
                </c:pt>
              </c:numCache>
            </c:numRef>
          </c:val>
          <c:smooth val="0"/>
          <c:extLst>
            <c:ext xmlns:c16="http://schemas.microsoft.com/office/drawing/2014/chart" uri="{C3380CC4-5D6E-409C-BE32-E72D297353CC}">
              <c16:uniqueId val="{00000000-3D3B-4B46-ABBA-809EB1E6E708}"/>
            </c:ext>
          </c:extLst>
        </c:ser>
        <c:ser>
          <c:idx val="1"/>
          <c:order val="1"/>
          <c:tx>
            <c:strRef>
              <c:f>'[SS - Benchmark analysis - Non-Cash Payment Surcharge review 2024 - No Diners Club - March 2024.xlsx]6. Charts'!$O$7</c:f>
              <c:strCache>
                <c:ptCount val="1"/>
                <c:pt idx="0">
                  <c:v>Current maximum surcharge</c:v>
                </c:pt>
              </c:strCache>
            </c:strRef>
          </c:tx>
          <c:spPr>
            <a:ln w="25400" cap="rnd">
              <a:solidFill>
                <a:srgbClr val="CE0058"/>
              </a:solidFill>
              <a:round/>
            </a:ln>
            <a:effectLst/>
          </c:spPr>
          <c:marker>
            <c:symbol val="none"/>
          </c:marker>
          <c:cat>
            <c:strRef>
              <c:f>'[SS - Benchmark analysis - Non-Cash Payment Surcharge review 2024 - No Diners Club - March 2024.xlsx]6. Charts'!$M$8:$M$17</c:f>
              <c:strCache>
                <c:ptCount val="10"/>
                <c:pt idx="0">
                  <c:v>ANZ</c:v>
                </c:pt>
                <c:pt idx="1">
                  <c:v>Bank of Melbourne</c:v>
                </c:pt>
                <c:pt idx="2">
                  <c:v>Commonwealth Bank</c:v>
                </c:pt>
                <c:pt idx="3">
                  <c:v>Live Payments</c:v>
                </c:pt>
                <c:pt idx="4">
                  <c:v>Mint</c:v>
                </c:pt>
                <c:pt idx="5">
                  <c:v>NAB</c:v>
                </c:pt>
                <c:pt idx="6">
                  <c:v>Square</c:v>
                </c:pt>
                <c:pt idx="7">
                  <c:v>Tyro</c:v>
                </c:pt>
                <c:pt idx="8">
                  <c:v>Westpac</c:v>
                </c:pt>
                <c:pt idx="9">
                  <c:v>Zeller</c:v>
                </c:pt>
              </c:strCache>
            </c:strRef>
          </c:cat>
          <c:val>
            <c:numRef>
              <c:f>'[SS - Benchmark analysis - Non-Cash Payment Surcharge review 2024 - No Diners Club - March 2024.xlsx]6. Charts'!$O$8:$O$17</c:f>
              <c:numCache>
                <c:formatCode>0%</c:formatCode>
                <c:ptCount val="10"/>
                <c:pt idx="0">
                  <c:v>0.04</c:v>
                </c:pt>
                <c:pt idx="1">
                  <c:v>0.04</c:v>
                </c:pt>
                <c:pt idx="2">
                  <c:v>0.04</c:v>
                </c:pt>
                <c:pt idx="3">
                  <c:v>0.04</c:v>
                </c:pt>
                <c:pt idx="4">
                  <c:v>0.04</c:v>
                </c:pt>
                <c:pt idx="5">
                  <c:v>0.04</c:v>
                </c:pt>
                <c:pt idx="6">
                  <c:v>0.04</c:v>
                </c:pt>
                <c:pt idx="7">
                  <c:v>0.04</c:v>
                </c:pt>
                <c:pt idx="8">
                  <c:v>0.04</c:v>
                </c:pt>
                <c:pt idx="9">
                  <c:v>0.04</c:v>
                </c:pt>
              </c:numCache>
            </c:numRef>
          </c:val>
          <c:smooth val="0"/>
          <c:extLst>
            <c:ext xmlns:c16="http://schemas.microsoft.com/office/drawing/2014/chart" uri="{C3380CC4-5D6E-409C-BE32-E72D297353CC}">
              <c16:uniqueId val="{00000001-3D3B-4B46-ABBA-809EB1E6E708}"/>
            </c:ext>
          </c:extLst>
        </c:ser>
        <c:dLbls>
          <c:showLegendKey val="0"/>
          <c:showVal val="0"/>
          <c:showCatName val="0"/>
          <c:showSerName val="0"/>
          <c:showPercent val="0"/>
          <c:showBubbleSize val="0"/>
        </c:dLbls>
        <c:marker val="1"/>
        <c:smooth val="0"/>
        <c:axId val="1880975199"/>
        <c:axId val="1880976031"/>
      </c:lineChart>
      <c:catAx>
        <c:axId val="1880975199"/>
        <c:scaling>
          <c:orientation val="minMax"/>
        </c:scaling>
        <c:delete val="0"/>
        <c:axPos val="b"/>
        <c:numFmt formatCode="General" sourceLinked="1"/>
        <c:majorTickMark val="none"/>
        <c:minorTickMark val="none"/>
        <c:tickLblPos val="nextTo"/>
        <c:spPr>
          <a:noFill/>
          <a:ln w="9525" cap="flat" cmpd="sng" algn="ctr">
            <a:solidFill>
              <a:schemeClr val="bg2"/>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1880976031"/>
        <c:crosses val="autoZero"/>
        <c:auto val="1"/>
        <c:lblAlgn val="ctr"/>
        <c:lblOffset val="100"/>
        <c:noMultiLvlLbl val="0"/>
      </c:catAx>
      <c:valAx>
        <c:axId val="1880976031"/>
        <c:scaling>
          <c:orientation val="minMax"/>
          <c:max val="5.000000000000001E-2"/>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out"/>
        <c:minorTickMark val="none"/>
        <c:tickLblPos val="nextTo"/>
        <c:spPr>
          <a:noFill/>
          <a:ln>
            <a:solidFill>
              <a:schemeClr val="bg2"/>
            </a:solid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880975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697131010802226E-2"/>
          <c:y val="5.3475698724560386E-2"/>
          <c:w val="0.65872793108378946"/>
          <c:h val="0.85312948101934538"/>
        </c:manualLayout>
      </c:layout>
      <c:lineChart>
        <c:grouping val="standard"/>
        <c:varyColors val="0"/>
        <c:ser>
          <c:idx val="4"/>
          <c:order val="0"/>
          <c:tx>
            <c:strRef>
              <c:f>'Merchant service fees (RBA) (f)'!$J$23</c:f>
              <c:strCache>
                <c:ptCount val="1"/>
                <c:pt idx="0">
                  <c:v>Diners Club credit</c:v>
                </c:pt>
              </c:strCache>
            </c:strRef>
          </c:tx>
          <c:spPr>
            <a:ln w="28575" cap="rnd">
              <a:solidFill>
                <a:schemeClr val="accent5"/>
              </a:solidFill>
              <a:round/>
            </a:ln>
            <a:effectLst/>
          </c:spPr>
          <c:marker>
            <c:symbol val="none"/>
          </c:marker>
          <c:dLbls>
            <c:dLbl>
              <c:idx val="43"/>
              <c:tx>
                <c:rich>
                  <a:bodyPr/>
                  <a:lstStyle/>
                  <a:p>
                    <a:r>
                      <a:rPr lang="en-US"/>
                      <a:t>Diner's Club credit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95A-4A29-B3F1-156AD613C9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'Merchant service fees (RBA) (f)'!$A$24:$A$67</c:f>
              <c:numCache>
                <c:formatCode>mmm\-yyyy</c:formatCode>
                <c:ptCount val="44"/>
                <c:pt idx="0">
                  <c:v>41364</c:v>
                </c:pt>
                <c:pt idx="1">
                  <c:v>41455</c:v>
                </c:pt>
                <c:pt idx="2">
                  <c:v>41547</c:v>
                </c:pt>
                <c:pt idx="3">
                  <c:v>41639</c:v>
                </c:pt>
                <c:pt idx="4">
                  <c:v>41729</c:v>
                </c:pt>
                <c:pt idx="5">
                  <c:v>41820</c:v>
                </c:pt>
                <c:pt idx="6">
                  <c:v>41912</c:v>
                </c:pt>
                <c:pt idx="7">
                  <c:v>42004</c:v>
                </c:pt>
                <c:pt idx="8">
                  <c:v>42094</c:v>
                </c:pt>
                <c:pt idx="9">
                  <c:v>42185</c:v>
                </c:pt>
                <c:pt idx="10">
                  <c:v>42277</c:v>
                </c:pt>
                <c:pt idx="11">
                  <c:v>42369</c:v>
                </c:pt>
                <c:pt idx="12">
                  <c:v>42460</c:v>
                </c:pt>
                <c:pt idx="13">
                  <c:v>42551</c:v>
                </c:pt>
                <c:pt idx="14">
                  <c:v>42643</c:v>
                </c:pt>
                <c:pt idx="15">
                  <c:v>42735</c:v>
                </c:pt>
                <c:pt idx="16">
                  <c:v>42825</c:v>
                </c:pt>
                <c:pt idx="17">
                  <c:v>42916</c:v>
                </c:pt>
                <c:pt idx="18">
                  <c:v>43008</c:v>
                </c:pt>
                <c:pt idx="19">
                  <c:v>43100</c:v>
                </c:pt>
                <c:pt idx="20">
                  <c:v>43190</c:v>
                </c:pt>
                <c:pt idx="21">
                  <c:v>43281</c:v>
                </c:pt>
                <c:pt idx="22">
                  <c:v>43373</c:v>
                </c:pt>
                <c:pt idx="23">
                  <c:v>43465</c:v>
                </c:pt>
                <c:pt idx="24">
                  <c:v>43555</c:v>
                </c:pt>
                <c:pt idx="25">
                  <c:v>43646</c:v>
                </c:pt>
                <c:pt idx="26">
                  <c:v>43738</c:v>
                </c:pt>
                <c:pt idx="27">
                  <c:v>43830</c:v>
                </c:pt>
                <c:pt idx="28">
                  <c:v>43921</c:v>
                </c:pt>
                <c:pt idx="29">
                  <c:v>44012</c:v>
                </c:pt>
                <c:pt idx="30">
                  <c:v>44104</c:v>
                </c:pt>
                <c:pt idx="31">
                  <c:v>44196</c:v>
                </c:pt>
                <c:pt idx="32">
                  <c:v>44286</c:v>
                </c:pt>
                <c:pt idx="33">
                  <c:v>44377</c:v>
                </c:pt>
                <c:pt idx="34">
                  <c:v>44469</c:v>
                </c:pt>
                <c:pt idx="35">
                  <c:v>44561</c:v>
                </c:pt>
                <c:pt idx="36">
                  <c:v>44651</c:v>
                </c:pt>
                <c:pt idx="37">
                  <c:v>44742</c:v>
                </c:pt>
                <c:pt idx="38">
                  <c:v>44834</c:v>
                </c:pt>
                <c:pt idx="39">
                  <c:v>44926</c:v>
                </c:pt>
                <c:pt idx="40">
                  <c:v>45016</c:v>
                </c:pt>
                <c:pt idx="41">
                  <c:v>45107</c:v>
                </c:pt>
                <c:pt idx="42">
                  <c:v>45199</c:v>
                </c:pt>
                <c:pt idx="43">
                  <c:v>45291</c:v>
                </c:pt>
              </c:numCache>
            </c:numRef>
          </c:cat>
          <c:val>
            <c:numRef>
              <c:f>'Merchant service fees (RBA) (f)'!$J$24:$J$67</c:f>
              <c:numCache>
                <c:formatCode>General</c:formatCode>
                <c:ptCount val="44"/>
                <c:pt idx="0">
                  <c:v>2.0499999999999998</c:v>
                </c:pt>
                <c:pt idx="1">
                  <c:v>2.04</c:v>
                </c:pt>
                <c:pt idx="2">
                  <c:v>2.0299999999999998</c:v>
                </c:pt>
                <c:pt idx="3">
                  <c:v>2.02</c:v>
                </c:pt>
                <c:pt idx="4">
                  <c:v>2.0099999999999998</c:v>
                </c:pt>
                <c:pt idx="5">
                  <c:v>2.09</c:v>
                </c:pt>
                <c:pt idx="6">
                  <c:v>2.11</c:v>
                </c:pt>
                <c:pt idx="7">
                  <c:v>2.1</c:v>
                </c:pt>
                <c:pt idx="8">
                  <c:v>2.09</c:v>
                </c:pt>
                <c:pt idx="9">
                  <c:v>2.09</c:v>
                </c:pt>
                <c:pt idx="10">
                  <c:v>2.16</c:v>
                </c:pt>
                <c:pt idx="11">
                  <c:v>2.1</c:v>
                </c:pt>
                <c:pt idx="12">
                  <c:v>2.02</c:v>
                </c:pt>
                <c:pt idx="13">
                  <c:v>2.02</c:v>
                </c:pt>
                <c:pt idx="14">
                  <c:v>1.95</c:v>
                </c:pt>
                <c:pt idx="15">
                  <c:v>1.82</c:v>
                </c:pt>
                <c:pt idx="16">
                  <c:v>1.8</c:v>
                </c:pt>
                <c:pt idx="17">
                  <c:v>1.75</c:v>
                </c:pt>
                <c:pt idx="18">
                  <c:v>1.79</c:v>
                </c:pt>
                <c:pt idx="19">
                  <c:v>1.79</c:v>
                </c:pt>
                <c:pt idx="20">
                  <c:v>1.8</c:v>
                </c:pt>
                <c:pt idx="21">
                  <c:v>1.79</c:v>
                </c:pt>
                <c:pt idx="22">
                  <c:v>1.79</c:v>
                </c:pt>
                <c:pt idx="23">
                  <c:v>1.78</c:v>
                </c:pt>
                <c:pt idx="24">
                  <c:v>1.8</c:v>
                </c:pt>
                <c:pt idx="25">
                  <c:v>1.78</c:v>
                </c:pt>
                <c:pt idx="26">
                  <c:v>1.76</c:v>
                </c:pt>
                <c:pt idx="27">
                  <c:v>1.77</c:v>
                </c:pt>
                <c:pt idx="28">
                  <c:v>1.78</c:v>
                </c:pt>
                <c:pt idx="29">
                  <c:v>1.97</c:v>
                </c:pt>
                <c:pt idx="30">
                  <c:v>1.96</c:v>
                </c:pt>
                <c:pt idx="31">
                  <c:v>1.85</c:v>
                </c:pt>
                <c:pt idx="32">
                  <c:v>1.82</c:v>
                </c:pt>
                <c:pt idx="33">
                  <c:v>1.77</c:v>
                </c:pt>
                <c:pt idx="34">
                  <c:v>1.91</c:v>
                </c:pt>
                <c:pt idx="35">
                  <c:v>1.86</c:v>
                </c:pt>
                <c:pt idx="36">
                  <c:v>1.76</c:v>
                </c:pt>
                <c:pt idx="37">
                  <c:v>1.68</c:v>
                </c:pt>
                <c:pt idx="38">
                  <c:v>1.68</c:v>
                </c:pt>
                <c:pt idx="39">
                  <c:v>1.7</c:v>
                </c:pt>
                <c:pt idx="40">
                  <c:v>1.68</c:v>
                </c:pt>
                <c:pt idx="41">
                  <c:v>1.65</c:v>
                </c:pt>
                <c:pt idx="42">
                  <c:v>1.67</c:v>
                </c:pt>
                <c:pt idx="43">
                  <c:v>1.66</c:v>
                </c:pt>
              </c:numCache>
            </c:numRef>
          </c:val>
          <c:smooth val="0"/>
          <c:extLst>
            <c:ext xmlns:c16="http://schemas.microsoft.com/office/drawing/2014/chart" uri="{C3380CC4-5D6E-409C-BE32-E72D297353CC}">
              <c16:uniqueId val="{00000001-595A-4A29-B3F1-156AD613C928}"/>
            </c:ext>
          </c:extLst>
        </c:ser>
        <c:ser>
          <c:idx val="3"/>
          <c:order val="1"/>
          <c:tx>
            <c:strRef>
              <c:f>'Merchant service fees (RBA) (f)'!$I$23</c:f>
              <c:strCache>
                <c:ptCount val="1"/>
                <c:pt idx="0">
                  <c:v>American Express credit</c:v>
                </c:pt>
              </c:strCache>
            </c:strRef>
          </c:tx>
          <c:spPr>
            <a:ln w="28575" cap="rnd">
              <a:solidFill>
                <a:schemeClr val="accent3"/>
              </a:solidFill>
              <a:round/>
            </a:ln>
            <a:effectLst/>
          </c:spPr>
          <c:marker>
            <c:symbol val="none"/>
          </c:marker>
          <c:dLbls>
            <c:dLbl>
              <c:idx val="43"/>
              <c:layout>
                <c:manualLayout>
                  <c:x val="-1.6600954554886905E-2"/>
                  <c:y val="-7.3215341643565452E-17"/>
                </c:manualLayout>
              </c:layout>
              <c:tx>
                <c:rich>
                  <a:bodyPr/>
                  <a:lstStyle/>
                  <a:p>
                    <a:r>
                      <a:rPr lang="en-US"/>
                      <a:t>American Express credit</a:t>
                    </a:r>
                  </a:p>
                </c:rich>
              </c:tx>
              <c:showLegendKey val="0"/>
              <c:showVal val="1"/>
              <c:showCatName val="0"/>
              <c:showSerName val="0"/>
              <c:showPercent val="0"/>
              <c:showBubbleSize val="0"/>
              <c:extLst>
                <c:ext xmlns:c15="http://schemas.microsoft.com/office/drawing/2012/chart" uri="{CE6537A1-D6FC-4f65-9D91-7224C49458BB}">
                  <c15:layout>
                    <c:manualLayout>
                      <c:w val="0.23569532019744679"/>
                      <c:h val="9.4608626198083065E-2"/>
                    </c:manualLayout>
                  </c15:layout>
                  <c15:showDataLabelsRange val="0"/>
                </c:ext>
                <c:ext xmlns:c16="http://schemas.microsoft.com/office/drawing/2014/chart" uri="{C3380CC4-5D6E-409C-BE32-E72D297353CC}">
                  <c16:uniqueId val="{00000002-595A-4A29-B3F1-156AD613C9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'Merchant service fees (RBA) (f)'!$A$24:$A$67</c:f>
              <c:numCache>
                <c:formatCode>mmm\-yyyy</c:formatCode>
                <c:ptCount val="44"/>
                <c:pt idx="0">
                  <c:v>41364</c:v>
                </c:pt>
                <c:pt idx="1">
                  <c:v>41455</c:v>
                </c:pt>
                <c:pt idx="2">
                  <c:v>41547</c:v>
                </c:pt>
                <c:pt idx="3">
                  <c:v>41639</c:v>
                </c:pt>
                <c:pt idx="4">
                  <c:v>41729</c:v>
                </c:pt>
                <c:pt idx="5">
                  <c:v>41820</c:v>
                </c:pt>
                <c:pt idx="6">
                  <c:v>41912</c:v>
                </c:pt>
                <c:pt idx="7">
                  <c:v>42004</c:v>
                </c:pt>
                <c:pt idx="8">
                  <c:v>42094</c:v>
                </c:pt>
                <c:pt idx="9">
                  <c:v>42185</c:v>
                </c:pt>
                <c:pt idx="10">
                  <c:v>42277</c:v>
                </c:pt>
                <c:pt idx="11">
                  <c:v>42369</c:v>
                </c:pt>
                <c:pt idx="12">
                  <c:v>42460</c:v>
                </c:pt>
                <c:pt idx="13">
                  <c:v>42551</c:v>
                </c:pt>
                <c:pt idx="14">
                  <c:v>42643</c:v>
                </c:pt>
                <c:pt idx="15">
                  <c:v>42735</c:v>
                </c:pt>
                <c:pt idx="16">
                  <c:v>42825</c:v>
                </c:pt>
                <c:pt idx="17">
                  <c:v>42916</c:v>
                </c:pt>
                <c:pt idx="18">
                  <c:v>43008</c:v>
                </c:pt>
                <c:pt idx="19">
                  <c:v>43100</c:v>
                </c:pt>
                <c:pt idx="20">
                  <c:v>43190</c:v>
                </c:pt>
                <c:pt idx="21">
                  <c:v>43281</c:v>
                </c:pt>
                <c:pt idx="22">
                  <c:v>43373</c:v>
                </c:pt>
                <c:pt idx="23">
                  <c:v>43465</c:v>
                </c:pt>
                <c:pt idx="24">
                  <c:v>43555</c:v>
                </c:pt>
                <c:pt idx="25">
                  <c:v>43646</c:v>
                </c:pt>
                <c:pt idx="26">
                  <c:v>43738</c:v>
                </c:pt>
                <c:pt idx="27">
                  <c:v>43830</c:v>
                </c:pt>
                <c:pt idx="28">
                  <c:v>43921</c:v>
                </c:pt>
                <c:pt idx="29">
                  <c:v>44012</c:v>
                </c:pt>
                <c:pt idx="30">
                  <c:v>44104</c:v>
                </c:pt>
                <c:pt idx="31">
                  <c:v>44196</c:v>
                </c:pt>
                <c:pt idx="32">
                  <c:v>44286</c:v>
                </c:pt>
                <c:pt idx="33">
                  <c:v>44377</c:v>
                </c:pt>
                <c:pt idx="34">
                  <c:v>44469</c:v>
                </c:pt>
                <c:pt idx="35">
                  <c:v>44561</c:v>
                </c:pt>
                <c:pt idx="36">
                  <c:v>44651</c:v>
                </c:pt>
                <c:pt idx="37">
                  <c:v>44742</c:v>
                </c:pt>
                <c:pt idx="38">
                  <c:v>44834</c:v>
                </c:pt>
                <c:pt idx="39">
                  <c:v>44926</c:v>
                </c:pt>
                <c:pt idx="40">
                  <c:v>45016</c:v>
                </c:pt>
                <c:pt idx="41">
                  <c:v>45107</c:v>
                </c:pt>
                <c:pt idx="42">
                  <c:v>45199</c:v>
                </c:pt>
                <c:pt idx="43">
                  <c:v>45291</c:v>
                </c:pt>
              </c:numCache>
            </c:numRef>
          </c:cat>
          <c:val>
            <c:numRef>
              <c:f>'Merchant service fees (RBA) (f)'!$I$24:$I$67</c:f>
              <c:numCache>
                <c:formatCode>General</c:formatCode>
                <c:ptCount val="44"/>
                <c:pt idx="0">
                  <c:v>1.79</c:v>
                </c:pt>
                <c:pt idx="1">
                  <c:v>1.79</c:v>
                </c:pt>
                <c:pt idx="2">
                  <c:v>1.78</c:v>
                </c:pt>
                <c:pt idx="3">
                  <c:v>1.73</c:v>
                </c:pt>
                <c:pt idx="4">
                  <c:v>1.72</c:v>
                </c:pt>
                <c:pt idx="5">
                  <c:v>1.75</c:v>
                </c:pt>
                <c:pt idx="6">
                  <c:v>1.73</c:v>
                </c:pt>
                <c:pt idx="7">
                  <c:v>1.68</c:v>
                </c:pt>
                <c:pt idx="8">
                  <c:v>1.7</c:v>
                </c:pt>
                <c:pt idx="9">
                  <c:v>1.7</c:v>
                </c:pt>
                <c:pt idx="10">
                  <c:v>1.7</c:v>
                </c:pt>
                <c:pt idx="11">
                  <c:v>1.64</c:v>
                </c:pt>
                <c:pt idx="12">
                  <c:v>1.67</c:v>
                </c:pt>
                <c:pt idx="13">
                  <c:v>1.66</c:v>
                </c:pt>
                <c:pt idx="14">
                  <c:v>1.65</c:v>
                </c:pt>
                <c:pt idx="15">
                  <c:v>1.6</c:v>
                </c:pt>
                <c:pt idx="16">
                  <c:v>1.58</c:v>
                </c:pt>
                <c:pt idx="17">
                  <c:v>1.58</c:v>
                </c:pt>
                <c:pt idx="18">
                  <c:v>1.5</c:v>
                </c:pt>
                <c:pt idx="19">
                  <c:v>1.46</c:v>
                </c:pt>
                <c:pt idx="20">
                  <c:v>1.42</c:v>
                </c:pt>
                <c:pt idx="21">
                  <c:v>1.42</c:v>
                </c:pt>
                <c:pt idx="22">
                  <c:v>1.41</c:v>
                </c:pt>
                <c:pt idx="23">
                  <c:v>1.41</c:v>
                </c:pt>
                <c:pt idx="24">
                  <c:v>1.42</c:v>
                </c:pt>
                <c:pt idx="25">
                  <c:v>1.39</c:v>
                </c:pt>
                <c:pt idx="26">
                  <c:v>1.37</c:v>
                </c:pt>
                <c:pt idx="27">
                  <c:v>1.37</c:v>
                </c:pt>
                <c:pt idx="28">
                  <c:v>1.38</c:v>
                </c:pt>
                <c:pt idx="29">
                  <c:v>1.32</c:v>
                </c:pt>
                <c:pt idx="30">
                  <c:v>1.28</c:v>
                </c:pt>
                <c:pt idx="31">
                  <c:v>1.29</c:v>
                </c:pt>
                <c:pt idx="32">
                  <c:v>1.3</c:v>
                </c:pt>
                <c:pt idx="33">
                  <c:v>1.33</c:v>
                </c:pt>
                <c:pt idx="34">
                  <c:v>1.27</c:v>
                </c:pt>
                <c:pt idx="35">
                  <c:v>1.28</c:v>
                </c:pt>
                <c:pt idx="36">
                  <c:v>1.29</c:v>
                </c:pt>
                <c:pt idx="37">
                  <c:v>1.29</c:v>
                </c:pt>
                <c:pt idx="38">
                  <c:v>1.3</c:v>
                </c:pt>
                <c:pt idx="39">
                  <c:v>1.3</c:v>
                </c:pt>
                <c:pt idx="40">
                  <c:v>1.31</c:v>
                </c:pt>
                <c:pt idx="41">
                  <c:v>1.32</c:v>
                </c:pt>
                <c:pt idx="42">
                  <c:v>1.31</c:v>
                </c:pt>
                <c:pt idx="43">
                  <c:v>1.29</c:v>
                </c:pt>
              </c:numCache>
            </c:numRef>
          </c:val>
          <c:smooth val="0"/>
          <c:extLst>
            <c:ext xmlns:c16="http://schemas.microsoft.com/office/drawing/2014/chart" uri="{C3380CC4-5D6E-409C-BE32-E72D297353CC}">
              <c16:uniqueId val="{00000003-595A-4A29-B3F1-156AD613C928}"/>
            </c:ext>
          </c:extLst>
        </c:ser>
        <c:ser>
          <c:idx val="1"/>
          <c:order val="2"/>
          <c:tx>
            <c:strRef>
              <c:f>'Merchant service fees (RBA) (f)'!$C$23</c:f>
              <c:strCache>
                <c:ptCount val="1"/>
                <c:pt idx="0">
                  <c:v>Visa and Mastercard
credit</c:v>
                </c:pt>
              </c:strCache>
            </c:strRef>
          </c:tx>
          <c:spPr>
            <a:ln w="28575" cap="rnd">
              <a:solidFill>
                <a:schemeClr val="accent2"/>
              </a:solidFill>
              <a:round/>
            </a:ln>
            <a:effectLst/>
          </c:spPr>
          <c:marker>
            <c:symbol val="none"/>
          </c:marker>
          <c:dLbls>
            <c:dLbl>
              <c:idx val="43"/>
              <c:layout>
                <c:manualLayout>
                  <c:x val="0"/>
                  <c:y val="-2.7835463258786015E-2"/>
                </c:manualLayout>
              </c:layout>
              <c:tx>
                <c:rich>
                  <a:bodyPr/>
                  <a:lstStyle/>
                  <a:p>
                    <a:r>
                      <a:rPr lang="en-US"/>
                      <a:t>Visa and Mastercard</a:t>
                    </a:r>
                    <a:r>
                      <a:rPr lang="en-US" baseline="0"/>
                      <a:t> credit</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0.23972137846745087"/>
                      <c:h val="0.10052797413901537"/>
                    </c:manualLayout>
                  </c15:layout>
                  <c15:showDataLabelsRange val="0"/>
                </c:ext>
                <c:ext xmlns:c16="http://schemas.microsoft.com/office/drawing/2014/chart" uri="{C3380CC4-5D6E-409C-BE32-E72D297353CC}">
                  <c16:uniqueId val="{00000004-595A-4A29-B3F1-156AD613C9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'Merchant service fees (RBA) (f)'!$A$24:$A$67</c:f>
              <c:numCache>
                <c:formatCode>mmm\-yyyy</c:formatCode>
                <c:ptCount val="44"/>
                <c:pt idx="0">
                  <c:v>41364</c:v>
                </c:pt>
                <c:pt idx="1">
                  <c:v>41455</c:v>
                </c:pt>
                <c:pt idx="2">
                  <c:v>41547</c:v>
                </c:pt>
                <c:pt idx="3">
                  <c:v>41639</c:v>
                </c:pt>
                <c:pt idx="4">
                  <c:v>41729</c:v>
                </c:pt>
                <c:pt idx="5">
                  <c:v>41820</c:v>
                </c:pt>
                <c:pt idx="6">
                  <c:v>41912</c:v>
                </c:pt>
                <c:pt idx="7">
                  <c:v>42004</c:v>
                </c:pt>
                <c:pt idx="8">
                  <c:v>42094</c:v>
                </c:pt>
                <c:pt idx="9">
                  <c:v>42185</c:v>
                </c:pt>
                <c:pt idx="10">
                  <c:v>42277</c:v>
                </c:pt>
                <c:pt idx="11">
                  <c:v>42369</c:v>
                </c:pt>
                <c:pt idx="12">
                  <c:v>42460</c:v>
                </c:pt>
                <c:pt idx="13">
                  <c:v>42551</c:v>
                </c:pt>
                <c:pt idx="14">
                  <c:v>42643</c:v>
                </c:pt>
                <c:pt idx="15">
                  <c:v>42735</c:v>
                </c:pt>
                <c:pt idx="16">
                  <c:v>42825</c:v>
                </c:pt>
                <c:pt idx="17">
                  <c:v>42916</c:v>
                </c:pt>
                <c:pt idx="18">
                  <c:v>43008</c:v>
                </c:pt>
                <c:pt idx="19">
                  <c:v>43100</c:v>
                </c:pt>
                <c:pt idx="20">
                  <c:v>43190</c:v>
                </c:pt>
                <c:pt idx="21">
                  <c:v>43281</c:v>
                </c:pt>
                <c:pt idx="22">
                  <c:v>43373</c:v>
                </c:pt>
                <c:pt idx="23">
                  <c:v>43465</c:v>
                </c:pt>
                <c:pt idx="24">
                  <c:v>43555</c:v>
                </c:pt>
                <c:pt idx="25">
                  <c:v>43646</c:v>
                </c:pt>
                <c:pt idx="26">
                  <c:v>43738</c:v>
                </c:pt>
                <c:pt idx="27">
                  <c:v>43830</c:v>
                </c:pt>
                <c:pt idx="28">
                  <c:v>43921</c:v>
                </c:pt>
                <c:pt idx="29">
                  <c:v>44012</c:v>
                </c:pt>
                <c:pt idx="30">
                  <c:v>44104</c:v>
                </c:pt>
                <c:pt idx="31">
                  <c:v>44196</c:v>
                </c:pt>
                <c:pt idx="32">
                  <c:v>44286</c:v>
                </c:pt>
                <c:pt idx="33">
                  <c:v>44377</c:v>
                </c:pt>
                <c:pt idx="34">
                  <c:v>44469</c:v>
                </c:pt>
                <c:pt idx="35">
                  <c:v>44561</c:v>
                </c:pt>
                <c:pt idx="36">
                  <c:v>44651</c:v>
                </c:pt>
                <c:pt idx="37">
                  <c:v>44742</c:v>
                </c:pt>
                <c:pt idx="38">
                  <c:v>44834</c:v>
                </c:pt>
                <c:pt idx="39">
                  <c:v>44926</c:v>
                </c:pt>
                <c:pt idx="40">
                  <c:v>45016</c:v>
                </c:pt>
                <c:pt idx="41">
                  <c:v>45107</c:v>
                </c:pt>
                <c:pt idx="42">
                  <c:v>45199</c:v>
                </c:pt>
                <c:pt idx="43">
                  <c:v>45291</c:v>
                </c:pt>
              </c:numCache>
            </c:numRef>
          </c:cat>
          <c:val>
            <c:numRef>
              <c:f>'Merchant service fees (RBA) (f)'!$C$24:$C$67</c:f>
              <c:numCache>
                <c:formatCode>0.00</c:formatCode>
                <c:ptCount val="44"/>
                <c:pt idx="0">
                  <c:v>0.86</c:v>
                </c:pt>
                <c:pt idx="1">
                  <c:v>0.86</c:v>
                </c:pt>
                <c:pt idx="2">
                  <c:v>0.85</c:v>
                </c:pt>
                <c:pt idx="3">
                  <c:v>0.88</c:v>
                </c:pt>
                <c:pt idx="4">
                  <c:v>0.88</c:v>
                </c:pt>
                <c:pt idx="5">
                  <c:v>0.87</c:v>
                </c:pt>
                <c:pt idx="6">
                  <c:v>0.88</c:v>
                </c:pt>
                <c:pt idx="7">
                  <c:v>0.89</c:v>
                </c:pt>
                <c:pt idx="8">
                  <c:v>0.89</c:v>
                </c:pt>
                <c:pt idx="9">
                  <c:v>0.9</c:v>
                </c:pt>
                <c:pt idx="10">
                  <c:v>0.9</c:v>
                </c:pt>
                <c:pt idx="11">
                  <c:v>0.85</c:v>
                </c:pt>
                <c:pt idx="12">
                  <c:v>0.84</c:v>
                </c:pt>
                <c:pt idx="13">
                  <c:v>0.85</c:v>
                </c:pt>
                <c:pt idx="14">
                  <c:v>0.85</c:v>
                </c:pt>
                <c:pt idx="15">
                  <c:v>0.86</c:v>
                </c:pt>
                <c:pt idx="16">
                  <c:v>0.87</c:v>
                </c:pt>
                <c:pt idx="17">
                  <c:v>0.85</c:v>
                </c:pt>
                <c:pt idx="18">
                  <c:v>0.82</c:v>
                </c:pt>
                <c:pt idx="19">
                  <c:v>0.83</c:v>
                </c:pt>
                <c:pt idx="20">
                  <c:v>0.84</c:v>
                </c:pt>
                <c:pt idx="21">
                  <c:v>0.91</c:v>
                </c:pt>
                <c:pt idx="22">
                  <c:v>0.91</c:v>
                </c:pt>
                <c:pt idx="23">
                  <c:v>0.9</c:v>
                </c:pt>
                <c:pt idx="24">
                  <c:v>0.92</c:v>
                </c:pt>
                <c:pt idx="25">
                  <c:v>0.91</c:v>
                </c:pt>
                <c:pt idx="26">
                  <c:v>0.9</c:v>
                </c:pt>
                <c:pt idx="27">
                  <c:v>0.89</c:v>
                </c:pt>
                <c:pt idx="28">
                  <c:v>0.91</c:v>
                </c:pt>
                <c:pt idx="29">
                  <c:v>0.86</c:v>
                </c:pt>
                <c:pt idx="30">
                  <c:v>0.77</c:v>
                </c:pt>
                <c:pt idx="31">
                  <c:v>0.755</c:v>
                </c:pt>
                <c:pt idx="32">
                  <c:v>0.77</c:v>
                </c:pt>
                <c:pt idx="33">
                  <c:v>0.78500000000000003</c:v>
                </c:pt>
                <c:pt idx="34">
                  <c:v>0.79500000000000004</c:v>
                </c:pt>
                <c:pt idx="35">
                  <c:v>0.80500000000000005</c:v>
                </c:pt>
                <c:pt idx="36">
                  <c:v>0.83</c:v>
                </c:pt>
                <c:pt idx="37">
                  <c:v>0.83</c:v>
                </c:pt>
                <c:pt idx="38">
                  <c:v>0.83499999999999996</c:v>
                </c:pt>
                <c:pt idx="39">
                  <c:v>0.84</c:v>
                </c:pt>
                <c:pt idx="40">
                  <c:v>0.87</c:v>
                </c:pt>
                <c:pt idx="41">
                  <c:v>0.86</c:v>
                </c:pt>
                <c:pt idx="42">
                  <c:v>0.87</c:v>
                </c:pt>
                <c:pt idx="43">
                  <c:v>0.86499999999999999</c:v>
                </c:pt>
              </c:numCache>
            </c:numRef>
          </c:val>
          <c:smooth val="0"/>
          <c:extLst>
            <c:ext xmlns:c16="http://schemas.microsoft.com/office/drawing/2014/chart" uri="{C3380CC4-5D6E-409C-BE32-E72D297353CC}">
              <c16:uniqueId val="{00000005-595A-4A29-B3F1-156AD613C928}"/>
            </c:ext>
          </c:extLst>
        </c:ser>
        <c:ser>
          <c:idx val="0"/>
          <c:order val="3"/>
          <c:tx>
            <c:strRef>
              <c:f>'Merchant service fees (RBA) (f)'!$B$23</c:f>
              <c:strCache>
                <c:ptCount val="1"/>
                <c:pt idx="0">
                  <c:v>Visa and Mastercard
debit</c:v>
                </c:pt>
              </c:strCache>
            </c:strRef>
          </c:tx>
          <c:spPr>
            <a:ln w="28575" cap="rnd">
              <a:solidFill>
                <a:schemeClr val="accent1"/>
              </a:solidFill>
              <a:round/>
            </a:ln>
            <a:effectLst/>
          </c:spPr>
          <c:marker>
            <c:symbol val="none"/>
          </c:marker>
          <c:dLbls>
            <c:dLbl>
              <c:idx val="43"/>
              <c:layout>
                <c:manualLayout>
                  <c:x val="-2.8536759802547315E-3"/>
                  <c:y val="8.0519420727442927E-3"/>
                </c:manualLayout>
              </c:layout>
              <c:tx>
                <c:rich>
                  <a:bodyPr/>
                  <a:lstStyle/>
                  <a:p>
                    <a:r>
                      <a:rPr lang="en-US"/>
                      <a:t>Visa and Mastercard debit</a:t>
                    </a:r>
                  </a:p>
                </c:rich>
              </c:tx>
              <c:showLegendKey val="0"/>
              <c:showVal val="1"/>
              <c:showCatName val="0"/>
              <c:showSerName val="0"/>
              <c:showPercent val="0"/>
              <c:showBubbleSize val="0"/>
              <c:extLst>
                <c:ext xmlns:c15="http://schemas.microsoft.com/office/drawing/2012/chart" uri="{CE6537A1-D6FC-4f65-9D91-7224C49458BB}">
                  <c15:layout>
                    <c:manualLayout>
                      <c:w val="0.24902771673150731"/>
                      <c:h val="0.10052797413901537"/>
                    </c:manualLayout>
                  </c15:layout>
                  <c15:showDataLabelsRange val="0"/>
                </c:ext>
                <c:ext xmlns:c16="http://schemas.microsoft.com/office/drawing/2014/chart" uri="{C3380CC4-5D6E-409C-BE32-E72D297353CC}">
                  <c16:uniqueId val="{00000008-595A-4A29-B3F1-156AD613C9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'Merchant service fees (RBA) (f)'!$A$24:$A$67</c:f>
              <c:numCache>
                <c:formatCode>mmm\-yyyy</c:formatCode>
                <c:ptCount val="44"/>
                <c:pt idx="0">
                  <c:v>41364</c:v>
                </c:pt>
                <c:pt idx="1">
                  <c:v>41455</c:v>
                </c:pt>
                <c:pt idx="2">
                  <c:v>41547</c:v>
                </c:pt>
                <c:pt idx="3">
                  <c:v>41639</c:v>
                </c:pt>
                <c:pt idx="4">
                  <c:v>41729</c:v>
                </c:pt>
                <c:pt idx="5">
                  <c:v>41820</c:v>
                </c:pt>
                <c:pt idx="6">
                  <c:v>41912</c:v>
                </c:pt>
                <c:pt idx="7">
                  <c:v>42004</c:v>
                </c:pt>
                <c:pt idx="8">
                  <c:v>42094</c:v>
                </c:pt>
                <c:pt idx="9">
                  <c:v>42185</c:v>
                </c:pt>
                <c:pt idx="10">
                  <c:v>42277</c:v>
                </c:pt>
                <c:pt idx="11">
                  <c:v>42369</c:v>
                </c:pt>
                <c:pt idx="12">
                  <c:v>42460</c:v>
                </c:pt>
                <c:pt idx="13">
                  <c:v>42551</c:v>
                </c:pt>
                <c:pt idx="14">
                  <c:v>42643</c:v>
                </c:pt>
                <c:pt idx="15">
                  <c:v>42735</c:v>
                </c:pt>
                <c:pt idx="16">
                  <c:v>42825</c:v>
                </c:pt>
                <c:pt idx="17">
                  <c:v>42916</c:v>
                </c:pt>
                <c:pt idx="18">
                  <c:v>43008</c:v>
                </c:pt>
                <c:pt idx="19">
                  <c:v>43100</c:v>
                </c:pt>
                <c:pt idx="20">
                  <c:v>43190</c:v>
                </c:pt>
                <c:pt idx="21">
                  <c:v>43281</c:v>
                </c:pt>
                <c:pt idx="22">
                  <c:v>43373</c:v>
                </c:pt>
                <c:pt idx="23">
                  <c:v>43465</c:v>
                </c:pt>
                <c:pt idx="24">
                  <c:v>43555</c:v>
                </c:pt>
                <c:pt idx="25">
                  <c:v>43646</c:v>
                </c:pt>
                <c:pt idx="26">
                  <c:v>43738</c:v>
                </c:pt>
                <c:pt idx="27">
                  <c:v>43830</c:v>
                </c:pt>
                <c:pt idx="28">
                  <c:v>43921</c:v>
                </c:pt>
                <c:pt idx="29">
                  <c:v>44012</c:v>
                </c:pt>
                <c:pt idx="30">
                  <c:v>44104</c:v>
                </c:pt>
                <c:pt idx="31">
                  <c:v>44196</c:v>
                </c:pt>
                <c:pt idx="32">
                  <c:v>44286</c:v>
                </c:pt>
                <c:pt idx="33">
                  <c:v>44377</c:v>
                </c:pt>
                <c:pt idx="34">
                  <c:v>44469</c:v>
                </c:pt>
                <c:pt idx="35">
                  <c:v>44561</c:v>
                </c:pt>
                <c:pt idx="36">
                  <c:v>44651</c:v>
                </c:pt>
                <c:pt idx="37">
                  <c:v>44742</c:v>
                </c:pt>
                <c:pt idx="38">
                  <c:v>44834</c:v>
                </c:pt>
                <c:pt idx="39">
                  <c:v>44926</c:v>
                </c:pt>
                <c:pt idx="40">
                  <c:v>45016</c:v>
                </c:pt>
                <c:pt idx="41">
                  <c:v>45107</c:v>
                </c:pt>
                <c:pt idx="42">
                  <c:v>45199</c:v>
                </c:pt>
                <c:pt idx="43">
                  <c:v>45291</c:v>
                </c:pt>
              </c:numCache>
            </c:numRef>
          </c:cat>
          <c:val>
            <c:numRef>
              <c:f>'Merchant service fees (RBA) (f)'!$B$24:$B$67</c:f>
              <c:numCache>
                <c:formatCode>0.00</c:formatCode>
                <c:ptCount val="44"/>
                <c:pt idx="0">
                  <c:v>0.65</c:v>
                </c:pt>
                <c:pt idx="1">
                  <c:v>0.65</c:v>
                </c:pt>
                <c:pt idx="2">
                  <c:v>0.63</c:v>
                </c:pt>
                <c:pt idx="3">
                  <c:v>0.64</c:v>
                </c:pt>
                <c:pt idx="4">
                  <c:v>0.64</c:v>
                </c:pt>
                <c:pt idx="5">
                  <c:v>0.61</c:v>
                </c:pt>
                <c:pt idx="6">
                  <c:v>0.6</c:v>
                </c:pt>
                <c:pt idx="7">
                  <c:v>0.59</c:v>
                </c:pt>
                <c:pt idx="8">
                  <c:v>0.6</c:v>
                </c:pt>
                <c:pt idx="9">
                  <c:v>0.59</c:v>
                </c:pt>
                <c:pt idx="10">
                  <c:v>0.6</c:v>
                </c:pt>
                <c:pt idx="11">
                  <c:v>0.56999999999999995</c:v>
                </c:pt>
                <c:pt idx="12">
                  <c:v>0.56000000000000005</c:v>
                </c:pt>
                <c:pt idx="13">
                  <c:v>0.56000000000000005</c:v>
                </c:pt>
                <c:pt idx="14">
                  <c:v>0.56999999999999995</c:v>
                </c:pt>
                <c:pt idx="15">
                  <c:v>0.56000000000000005</c:v>
                </c:pt>
                <c:pt idx="16">
                  <c:v>0.56999999999999995</c:v>
                </c:pt>
                <c:pt idx="17">
                  <c:v>0.56000000000000005</c:v>
                </c:pt>
                <c:pt idx="18">
                  <c:v>0.53</c:v>
                </c:pt>
                <c:pt idx="19">
                  <c:v>0.53</c:v>
                </c:pt>
                <c:pt idx="20">
                  <c:v>0.53</c:v>
                </c:pt>
                <c:pt idx="21">
                  <c:v>0.47</c:v>
                </c:pt>
                <c:pt idx="22">
                  <c:v>0.47</c:v>
                </c:pt>
                <c:pt idx="23">
                  <c:v>0.46</c:v>
                </c:pt>
                <c:pt idx="24">
                  <c:v>0.45</c:v>
                </c:pt>
                <c:pt idx="25">
                  <c:v>0.45</c:v>
                </c:pt>
                <c:pt idx="26">
                  <c:v>0.44</c:v>
                </c:pt>
                <c:pt idx="27">
                  <c:v>0.41</c:v>
                </c:pt>
                <c:pt idx="28">
                  <c:v>0.4</c:v>
                </c:pt>
                <c:pt idx="29">
                  <c:v>0.38</c:v>
                </c:pt>
                <c:pt idx="30">
                  <c:v>0.41499999999999998</c:v>
                </c:pt>
                <c:pt idx="31">
                  <c:v>0.42000000000000004</c:v>
                </c:pt>
                <c:pt idx="32">
                  <c:v>0.42499999999999999</c:v>
                </c:pt>
                <c:pt idx="33">
                  <c:v>0.44500000000000001</c:v>
                </c:pt>
                <c:pt idx="34">
                  <c:v>0.44</c:v>
                </c:pt>
                <c:pt idx="35">
                  <c:v>0.45</c:v>
                </c:pt>
                <c:pt idx="36">
                  <c:v>0.46</c:v>
                </c:pt>
                <c:pt idx="37">
                  <c:v>0.46</c:v>
                </c:pt>
                <c:pt idx="38">
                  <c:v>0.46499999999999997</c:v>
                </c:pt>
                <c:pt idx="39">
                  <c:v>0.46499999999999997</c:v>
                </c:pt>
                <c:pt idx="40">
                  <c:v>0.49</c:v>
                </c:pt>
                <c:pt idx="41">
                  <c:v>0.47499999999999998</c:v>
                </c:pt>
                <c:pt idx="42">
                  <c:v>0.47</c:v>
                </c:pt>
                <c:pt idx="43">
                  <c:v>0.46499999999999997</c:v>
                </c:pt>
              </c:numCache>
            </c:numRef>
          </c:val>
          <c:smooth val="0"/>
          <c:extLst>
            <c:ext xmlns:c16="http://schemas.microsoft.com/office/drawing/2014/chart" uri="{C3380CC4-5D6E-409C-BE32-E72D297353CC}">
              <c16:uniqueId val="{00000009-595A-4A29-B3F1-156AD613C928}"/>
            </c:ext>
          </c:extLst>
        </c:ser>
        <c:ser>
          <c:idx val="2"/>
          <c:order val="4"/>
          <c:tx>
            <c:strRef>
              <c:f>'Merchant service fees (RBA) (f)'!$H$23</c:f>
              <c:strCache>
                <c:ptCount val="1"/>
                <c:pt idx="0">
                  <c:v>eftpos debit
</c:v>
                </c:pt>
              </c:strCache>
            </c:strRef>
          </c:tx>
          <c:spPr>
            <a:ln w="28575" cap="rnd">
              <a:solidFill>
                <a:schemeClr val="bg2"/>
              </a:solidFill>
              <a:round/>
            </a:ln>
            <a:effectLst/>
          </c:spPr>
          <c:marker>
            <c:symbol val="none"/>
          </c:marker>
          <c:dLbls>
            <c:dLbl>
              <c:idx val="43"/>
              <c:layout>
                <c:manualLayout>
                  <c:x val="-1.9627202037185536E-3"/>
                  <c:y val="9.4205553198347877E-3"/>
                </c:manualLayout>
              </c:layout>
              <c:tx>
                <c:rich>
                  <a:bodyPr/>
                  <a:lstStyle/>
                  <a:p>
                    <a:r>
                      <a:rPr lang="en-US"/>
                      <a:t>eftpos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95A-4A29-B3F1-156AD613C9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'Merchant service fees (RBA) (f)'!$A$24:$A$67</c:f>
              <c:numCache>
                <c:formatCode>mmm\-yyyy</c:formatCode>
                <c:ptCount val="44"/>
                <c:pt idx="0">
                  <c:v>41364</c:v>
                </c:pt>
                <c:pt idx="1">
                  <c:v>41455</c:v>
                </c:pt>
                <c:pt idx="2">
                  <c:v>41547</c:v>
                </c:pt>
                <c:pt idx="3">
                  <c:v>41639</c:v>
                </c:pt>
                <c:pt idx="4">
                  <c:v>41729</c:v>
                </c:pt>
                <c:pt idx="5">
                  <c:v>41820</c:v>
                </c:pt>
                <c:pt idx="6">
                  <c:v>41912</c:v>
                </c:pt>
                <c:pt idx="7">
                  <c:v>42004</c:v>
                </c:pt>
                <c:pt idx="8">
                  <c:v>42094</c:v>
                </c:pt>
                <c:pt idx="9">
                  <c:v>42185</c:v>
                </c:pt>
                <c:pt idx="10">
                  <c:v>42277</c:v>
                </c:pt>
                <c:pt idx="11">
                  <c:v>42369</c:v>
                </c:pt>
                <c:pt idx="12">
                  <c:v>42460</c:v>
                </c:pt>
                <c:pt idx="13">
                  <c:v>42551</c:v>
                </c:pt>
                <c:pt idx="14">
                  <c:v>42643</c:v>
                </c:pt>
                <c:pt idx="15">
                  <c:v>42735</c:v>
                </c:pt>
                <c:pt idx="16">
                  <c:v>42825</c:v>
                </c:pt>
                <c:pt idx="17">
                  <c:v>42916</c:v>
                </c:pt>
                <c:pt idx="18">
                  <c:v>43008</c:v>
                </c:pt>
                <c:pt idx="19">
                  <c:v>43100</c:v>
                </c:pt>
                <c:pt idx="20">
                  <c:v>43190</c:v>
                </c:pt>
                <c:pt idx="21">
                  <c:v>43281</c:v>
                </c:pt>
                <c:pt idx="22">
                  <c:v>43373</c:v>
                </c:pt>
                <c:pt idx="23">
                  <c:v>43465</c:v>
                </c:pt>
                <c:pt idx="24">
                  <c:v>43555</c:v>
                </c:pt>
                <c:pt idx="25">
                  <c:v>43646</c:v>
                </c:pt>
                <c:pt idx="26">
                  <c:v>43738</c:v>
                </c:pt>
                <c:pt idx="27">
                  <c:v>43830</c:v>
                </c:pt>
                <c:pt idx="28">
                  <c:v>43921</c:v>
                </c:pt>
                <c:pt idx="29">
                  <c:v>44012</c:v>
                </c:pt>
                <c:pt idx="30">
                  <c:v>44104</c:v>
                </c:pt>
                <c:pt idx="31">
                  <c:v>44196</c:v>
                </c:pt>
                <c:pt idx="32">
                  <c:v>44286</c:v>
                </c:pt>
                <c:pt idx="33">
                  <c:v>44377</c:v>
                </c:pt>
                <c:pt idx="34">
                  <c:v>44469</c:v>
                </c:pt>
                <c:pt idx="35">
                  <c:v>44561</c:v>
                </c:pt>
                <c:pt idx="36">
                  <c:v>44651</c:v>
                </c:pt>
                <c:pt idx="37">
                  <c:v>44742</c:v>
                </c:pt>
                <c:pt idx="38">
                  <c:v>44834</c:v>
                </c:pt>
                <c:pt idx="39">
                  <c:v>44926</c:v>
                </c:pt>
                <c:pt idx="40">
                  <c:v>45016</c:v>
                </c:pt>
                <c:pt idx="41">
                  <c:v>45107</c:v>
                </c:pt>
                <c:pt idx="42">
                  <c:v>45199</c:v>
                </c:pt>
                <c:pt idx="43">
                  <c:v>45291</c:v>
                </c:pt>
              </c:numCache>
            </c:numRef>
          </c:cat>
          <c:val>
            <c:numRef>
              <c:f>'Merchant service fees (RBA) (f)'!$H$24:$H$67</c:f>
              <c:numCache>
                <c:formatCode>General</c:formatCode>
                <c:ptCount val="44"/>
                <c:pt idx="0">
                  <c:v>0.19</c:v>
                </c:pt>
                <c:pt idx="1">
                  <c:v>0.19</c:v>
                </c:pt>
                <c:pt idx="2">
                  <c:v>0.18</c:v>
                </c:pt>
                <c:pt idx="3">
                  <c:v>0.18</c:v>
                </c:pt>
                <c:pt idx="4">
                  <c:v>0.18</c:v>
                </c:pt>
                <c:pt idx="5">
                  <c:v>0.18</c:v>
                </c:pt>
                <c:pt idx="6">
                  <c:v>0.17</c:v>
                </c:pt>
                <c:pt idx="7">
                  <c:v>0.17</c:v>
                </c:pt>
                <c:pt idx="8">
                  <c:v>0.17</c:v>
                </c:pt>
                <c:pt idx="9">
                  <c:v>0.16</c:v>
                </c:pt>
                <c:pt idx="10">
                  <c:v>0.16</c:v>
                </c:pt>
                <c:pt idx="11">
                  <c:v>0.14000000000000001</c:v>
                </c:pt>
                <c:pt idx="12">
                  <c:v>0.14000000000000001</c:v>
                </c:pt>
                <c:pt idx="13">
                  <c:v>0.14000000000000001</c:v>
                </c:pt>
                <c:pt idx="14">
                  <c:v>0.14000000000000001</c:v>
                </c:pt>
                <c:pt idx="15">
                  <c:v>0.14000000000000001</c:v>
                </c:pt>
                <c:pt idx="16">
                  <c:v>0.15</c:v>
                </c:pt>
                <c:pt idx="17">
                  <c:v>0.15</c:v>
                </c:pt>
                <c:pt idx="18">
                  <c:v>0.15</c:v>
                </c:pt>
                <c:pt idx="19">
                  <c:v>0.15</c:v>
                </c:pt>
                <c:pt idx="20">
                  <c:v>0.15</c:v>
                </c:pt>
                <c:pt idx="21">
                  <c:v>0.16</c:v>
                </c:pt>
                <c:pt idx="22">
                  <c:v>0.16</c:v>
                </c:pt>
                <c:pt idx="23">
                  <c:v>0.19</c:v>
                </c:pt>
                <c:pt idx="24">
                  <c:v>0.19</c:v>
                </c:pt>
                <c:pt idx="25">
                  <c:v>0.19</c:v>
                </c:pt>
                <c:pt idx="26">
                  <c:v>0.2</c:v>
                </c:pt>
                <c:pt idx="27">
                  <c:v>0.2</c:v>
                </c:pt>
                <c:pt idx="28">
                  <c:v>0.21</c:v>
                </c:pt>
                <c:pt idx="29">
                  <c:v>0.2</c:v>
                </c:pt>
                <c:pt idx="30">
                  <c:v>0.21</c:v>
                </c:pt>
                <c:pt idx="31">
                  <c:v>0.21</c:v>
                </c:pt>
                <c:pt idx="32">
                  <c:v>0.23</c:v>
                </c:pt>
                <c:pt idx="33">
                  <c:v>0.24</c:v>
                </c:pt>
                <c:pt idx="34">
                  <c:v>0.22</c:v>
                </c:pt>
                <c:pt idx="35">
                  <c:v>0.22</c:v>
                </c:pt>
                <c:pt idx="36">
                  <c:v>0.23</c:v>
                </c:pt>
                <c:pt idx="37">
                  <c:v>0.23</c:v>
                </c:pt>
                <c:pt idx="38">
                  <c:v>0.23</c:v>
                </c:pt>
                <c:pt idx="39">
                  <c:v>0.23</c:v>
                </c:pt>
                <c:pt idx="40">
                  <c:v>0.24</c:v>
                </c:pt>
                <c:pt idx="41">
                  <c:v>0.23</c:v>
                </c:pt>
                <c:pt idx="42">
                  <c:v>0.24</c:v>
                </c:pt>
                <c:pt idx="43">
                  <c:v>0.24</c:v>
                </c:pt>
              </c:numCache>
            </c:numRef>
          </c:val>
          <c:smooth val="0"/>
          <c:extLst>
            <c:ext xmlns:c16="http://schemas.microsoft.com/office/drawing/2014/chart" uri="{C3380CC4-5D6E-409C-BE32-E72D297353CC}">
              <c16:uniqueId val="{0000000B-595A-4A29-B3F1-156AD613C928}"/>
            </c:ext>
          </c:extLst>
        </c:ser>
        <c:dLbls>
          <c:showLegendKey val="0"/>
          <c:showVal val="0"/>
          <c:showCatName val="0"/>
          <c:showSerName val="0"/>
          <c:showPercent val="0"/>
          <c:showBubbleSize val="0"/>
        </c:dLbls>
        <c:smooth val="0"/>
        <c:axId val="1380566352"/>
        <c:axId val="2075727471"/>
      </c:lineChart>
      <c:dateAx>
        <c:axId val="1380566352"/>
        <c:scaling>
          <c:orientation val="minMax"/>
        </c:scaling>
        <c:delete val="0"/>
        <c:axPos val="b"/>
        <c:numFmt formatCode="yyyy" sourceLinked="0"/>
        <c:majorTickMark val="none"/>
        <c:minorTickMark val="none"/>
        <c:tickLblPos val="nextTo"/>
        <c:spPr>
          <a:noFill/>
          <a:ln w="9525" cap="flat" cmpd="sng" algn="ctr">
            <a:solidFill>
              <a:schemeClr val="bg2"/>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75727471"/>
        <c:crosses val="autoZero"/>
        <c:auto val="1"/>
        <c:lblOffset val="100"/>
        <c:baseTimeUnit val="months"/>
        <c:majorUnit val="1"/>
        <c:majorTimeUnit val="years"/>
      </c:dateAx>
      <c:valAx>
        <c:axId val="2075727471"/>
        <c:scaling>
          <c:orientation val="minMax"/>
        </c:scaling>
        <c:delete val="0"/>
        <c:axPos val="l"/>
        <c:majorGridlines>
          <c:spPr>
            <a:ln w="9525" cap="flat" cmpd="sng" algn="ctr">
              <a:solidFill>
                <a:schemeClr val="bg2">
                  <a:lumMod val="20000"/>
                  <a:lumOff val="80000"/>
                </a:schemeClr>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solidFill>
                      <a:schemeClr val="tx1"/>
                    </a:solidFill>
                  </a:rPr>
                  <a:t>Average</a:t>
                </a:r>
                <a:r>
                  <a:rPr lang="en-AU" baseline="0">
                    <a:solidFill>
                      <a:schemeClr val="tx1"/>
                    </a:solidFill>
                  </a:rPr>
                  <a:t> merchant service fee (%)</a:t>
                </a:r>
                <a:endParaRPr lang="en-AU">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80566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'[SS - Benchmark analysis - Non-Cash Payment Surcharge review 2024 - No Diners Club - March 2024.xlsx]12. Charts'!$L$7</c:f>
              <c:strCache>
                <c:ptCount val="1"/>
                <c:pt idx="0">
                  <c:v>Implied surcharge</c:v>
                </c:pt>
              </c:strCache>
            </c:strRef>
          </c:tx>
          <c:spPr>
            <a:ln w="25400" cap="rnd">
              <a:noFill/>
              <a:round/>
            </a:ln>
            <a:effectLst/>
          </c:spPr>
          <c:marker>
            <c:symbol val="circle"/>
            <c:size val="9"/>
            <c:spPr>
              <a:solidFill>
                <a:srgbClr val="67A0B9"/>
              </a:solidFill>
              <a:ln w="9525" cmpd="sng">
                <a:solidFill>
                  <a:schemeClr val="tx1"/>
                </a:solidFill>
              </a:ln>
              <a:effectLst/>
            </c:spPr>
          </c:marker>
          <c:cat>
            <c:strRef>
              <c:f>'[SS - Benchmark analysis - Non-Cash Payment Surcharge review 2024 - No Diners Club - March 2024.xlsx]12. Charts'!$K$8:$K$17</c:f>
              <c:strCache>
                <c:ptCount val="10"/>
                <c:pt idx="0">
                  <c:v>ANZ</c:v>
                </c:pt>
                <c:pt idx="1">
                  <c:v>Bank of Melbourne</c:v>
                </c:pt>
                <c:pt idx="2">
                  <c:v>Commonwealth Bank</c:v>
                </c:pt>
                <c:pt idx="3">
                  <c:v>Live Payments</c:v>
                </c:pt>
                <c:pt idx="4">
                  <c:v>Mint</c:v>
                </c:pt>
                <c:pt idx="5">
                  <c:v>NAB</c:v>
                </c:pt>
                <c:pt idx="6">
                  <c:v>Square</c:v>
                </c:pt>
                <c:pt idx="7">
                  <c:v>Tyro</c:v>
                </c:pt>
                <c:pt idx="8">
                  <c:v>Westpac</c:v>
                </c:pt>
                <c:pt idx="9">
                  <c:v>Zeller</c:v>
                </c:pt>
              </c:strCache>
            </c:strRef>
          </c:cat>
          <c:val>
            <c:numRef>
              <c:f>'[SS - Benchmark analysis - Non-Cash Payment Surcharge review 2024 - No Diners Club - March 2024.xlsx]12. Charts'!$L$8:$L$17</c:f>
              <c:numCache>
                <c:formatCode>0.00%</c:formatCode>
                <c:ptCount val="10"/>
                <c:pt idx="0">
                  <c:v>2.3071046454490318E-2</c:v>
                </c:pt>
                <c:pt idx="1">
                  <c:v>2.0840477674161528E-2</c:v>
                </c:pt>
                <c:pt idx="2">
                  <c:v>2.0076789117513538E-2</c:v>
                </c:pt>
                <c:pt idx="3">
                  <c:v>2.4414513921281689E-2</c:v>
                </c:pt>
                <c:pt idx="4">
                  <c:v>2.4365830002583078E-2</c:v>
                </c:pt>
                <c:pt idx="5">
                  <c:v>2.0463476395853331E-2</c:v>
                </c:pt>
                <c:pt idx="6">
                  <c:v>1.8811924312299499E-2</c:v>
                </c:pt>
                <c:pt idx="7">
                  <c:v>2.3963843562544662E-2</c:v>
                </c:pt>
                <c:pt idx="8">
                  <c:v>2.0840477674161528E-2</c:v>
                </c:pt>
                <c:pt idx="9">
                  <c:v>1.6213642543725149E-2</c:v>
                </c:pt>
              </c:numCache>
            </c:numRef>
          </c:val>
          <c:smooth val="0"/>
          <c:extLst>
            <c:ext xmlns:c16="http://schemas.microsoft.com/office/drawing/2014/chart" uri="{C3380CC4-5D6E-409C-BE32-E72D297353CC}">
              <c16:uniqueId val="{00000000-AA68-4CBF-A22B-17CED79A03A1}"/>
            </c:ext>
          </c:extLst>
        </c:ser>
        <c:ser>
          <c:idx val="1"/>
          <c:order val="1"/>
          <c:tx>
            <c:strRef>
              <c:f>'[SS - Benchmark analysis - Non-Cash Payment Surcharge review 2024 - No Diners Club - March 2024.xlsx]12. Charts'!$E$7</c:f>
              <c:strCache>
                <c:ptCount val="1"/>
                <c:pt idx="0">
                  <c:v>Current maximum surcharge</c:v>
                </c:pt>
              </c:strCache>
            </c:strRef>
          </c:tx>
          <c:spPr>
            <a:ln w="28575" cap="rnd">
              <a:solidFill>
                <a:srgbClr val="CE0058"/>
              </a:solidFill>
              <a:round/>
            </a:ln>
            <a:effectLst/>
          </c:spPr>
          <c:marker>
            <c:symbol val="none"/>
          </c:marker>
          <c:cat>
            <c:strRef>
              <c:f>'[SS - Benchmark analysis - Non-Cash Payment Surcharge review 2024 - No Diners Club - March 2024.xlsx]12. Charts'!$K$8:$K$17</c:f>
              <c:strCache>
                <c:ptCount val="10"/>
                <c:pt idx="0">
                  <c:v>ANZ</c:v>
                </c:pt>
                <c:pt idx="1">
                  <c:v>Bank of Melbourne</c:v>
                </c:pt>
                <c:pt idx="2">
                  <c:v>Commonwealth Bank</c:v>
                </c:pt>
                <c:pt idx="3">
                  <c:v>Live Payments</c:v>
                </c:pt>
                <c:pt idx="4">
                  <c:v>Mint</c:v>
                </c:pt>
                <c:pt idx="5">
                  <c:v>NAB</c:v>
                </c:pt>
                <c:pt idx="6">
                  <c:v>Square</c:v>
                </c:pt>
                <c:pt idx="7">
                  <c:v>Tyro</c:v>
                </c:pt>
                <c:pt idx="8">
                  <c:v>Westpac</c:v>
                </c:pt>
                <c:pt idx="9">
                  <c:v>Zeller</c:v>
                </c:pt>
              </c:strCache>
            </c:strRef>
          </c:cat>
          <c:val>
            <c:numRef>
              <c:f>'[SS - Benchmark analysis - Non-Cash Payment Surcharge review 2024 - No Diners Club - March 2024.xlsx]12. Charts'!$E$8:$E$17</c:f>
              <c:numCache>
                <c:formatCode>0.00%</c:formatCode>
                <c:ptCount val="10"/>
                <c:pt idx="0">
                  <c:v>0.04</c:v>
                </c:pt>
                <c:pt idx="1">
                  <c:v>0.04</c:v>
                </c:pt>
                <c:pt idx="2">
                  <c:v>0.04</c:v>
                </c:pt>
                <c:pt idx="3">
                  <c:v>0.04</c:v>
                </c:pt>
                <c:pt idx="4">
                  <c:v>0.04</c:v>
                </c:pt>
                <c:pt idx="5">
                  <c:v>0.04</c:v>
                </c:pt>
                <c:pt idx="6">
                  <c:v>0.04</c:v>
                </c:pt>
                <c:pt idx="7">
                  <c:v>0.04</c:v>
                </c:pt>
                <c:pt idx="8">
                  <c:v>0.04</c:v>
                </c:pt>
                <c:pt idx="9">
                  <c:v>0.04</c:v>
                </c:pt>
              </c:numCache>
            </c:numRef>
          </c:val>
          <c:smooth val="0"/>
          <c:extLst>
            <c:ext xmlns:c16="http://schemas.microsoft.com/office/drawing/2014/chart" uri="{C3380CC4-5D6E-409C-BE32-E72D297353CC}">
              <c16:uniqueId val="{00000001-AA68-4CBF-A22B-17CED79A03A1}"/>
            </c:ext>
          </c:extLst>
        </c:ser>
        <c:dLbls>
          <c:showLegendKey val="0"/>
          <c:showVal val="0"/>
          <c:showCatName val="0"/>
          <c:showSerName val="0"/>
          <c:showPercent val="0"/>
          <c:showBubbleSize val="0"/>
        </c:dLbls>
        <c:marker val="1"/>
        <c:smooth val="0"/>
        <c:axId val="1551274271"/>
        <c:axId val="1551271359"/>
      </c:lineChart>
      <c:catAx>
        <c:axId val="1551274271"/>
        <c:scaling>
          <c:orientation val="minMax"/>
        </c:scaling>
        <c:delete val="0"/>
        <c:axPos val="b"/>
        <c:numFmt formatCode="General" sourceLinked="1"/>
        <c:majorTickMark val="none"/>
        <c:minorTickMark val="none"/>
        <c:tickLblPos val="nextTo"/>
        <c:spPr>
          <a:noFill/>
          <a:ln w="9525" cap="flat" cmpd="sng" algn="ctr">
            <a:solidFill>
              <a:schemeClr val="bg2"/>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51271359"/>
        <c:crosses val="autoZero"/>
        <c:auto val="1"/>
        <c:lblAlgn val="ctr"/>
        <c:lblOffset val="100"/>
        <c:noMultiLvlLbl val="0"/>
      </c:catAx>
      <c:valAx>
        <c:axId val="1551271359"/>
        <c:scaling>
          <c:orientation val="minMax"/>
          <c:max val="5.000000000000001E-2"/>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out"/>
        <c:minorTickMark val="none"/>
        <c:tickLblPos val="nextTo"/>
        <c:spPr>
          <a:noFill/>
          <a:ln>
            <a:solidFill>
              <a:schemeClr val="bg2">
                <a:alpha val="97000"/>
              </a:schemeClr>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551274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'[SS - Benchmark analysis - Non-Cash Payment Surcharge review 2024 - No Diners Club - March 2024.xlsx]6. Charts'!$N$7</c:f>
              <c:strCache>
                <c:ptCount val="1"/>
                <c:pt idx="0">
                  <c:v>Implied surcharge</c:v>
                </c:pt>
              </c:strCache>
            </c:strRef>
          </c:tx>
          <c:spPr>
            <a:ln w="25400" cap="rnd">
              <a:noFill/>
              <a:round/>
            </a:ln>
            <a:effectLst/>
          </c:spPr>
          <c:marker>
            <c:symbol val="circle"/>
            <c:size val="9"/>
            <c:spPr>
              <a:solidFill>
                <a:srgbClr val="67A0B9"/>
              </a:solidFill>
              <a:ln w="9525">
                <a:solidFill>
                  <a:schemeClr val="tx1"/>
                </a:solidFill>
              </a:ln>
              <a:effectLst/>
            </c:spPr>
          </c:marker>
          <c:cat>
            <c:strRef>
              <c:f>'[SS - Benchmark analysis - Non-Cash Payment Surcharge review 2024 - No Diners Club - March 2024.xlsx]6. Charts'!$M$8:$M$17</c:f>
              <c:strCache>
                <c:ptCount val="10"/>
                <c:pt idx="0">
                  <c:v>ANZ</c:v>
                </c:pt>
                <c:pt idx="1">
                  <c:v>Bank of Melbourne</c:v>
                </c:pt>
                <c:pt idx="2">
                  <c:v>Commonwealth Bank</c:v>
                </c:pt>
                <c:pt idx="3">
                  <c:v>Live Payments</c:v>
                </c:pt>
                <c:pt idx="4">
                  <c:v>Mint</c:v>
                </c:pt>
                <c:pt idx="5">
                  <c:v>NAB</c:v>
                </c:pt>
                <c:pt idx="6">
                  <c:v>Square</c:v>
                </c:pt>
                <c:pt idx="7">
                  <c:v>Tyro</c:v>
                </c:pt>
                <c:pt idx="8">
                  <c:v>Westpac</c:v>
                </c:pt>
                <c:pt idx="9">
                  <c:v>Zeller</c:v>
                </c:pt>
              </c:strCache>
            </c:strRef>
          </c:cat>
          <c:val>
            <c:numRef>
              <c:f>'[SS - Benchmark analysis - Non-Cash Payment Surcharge review 2024 - No Diners Club - March 2024.xlsx]6. Charts'!$N$8:$N$17</c:f>
              <c:numCache>
                <c:formatCode>0.00%</c:formatCode>
                <c:ptCount val="10"/>
                <c:pt idx="0">
                  <c:v>3.3824733900493564E-2</c:v>
                </c:pt>
                <c:pt idx="1">
                  <c:v>3.448441978854988E-2</c:v>
                </c:pt>
                <c:pt idx="2">
                  <c:v>2.9153578235027178E-2</c:v>
                </c:pt>
                <c:pt idx="3">
                  <c:v>3.641433682240125E-2</c:v>
                </c:pt>
                <c:pt idx="4">
                  <c:v>3.2058024169967503E-2</c:v>
                </c:pt>
                <c:pt idx="5">
                  <c:v>2.8155670563237756E-2</c:v>
                </c:pt>
                <c:pt idx="6">
                  <c:v>2.1623848624598763E-2</c:v>
                </c:pt>
                <c:pt idx="7">
                  <c:v>3.2886788796710587E-2</c:v>
                </c:pt>
                <c:pt idx="8">
                  <c:v>3.1099854354900591E-2</c:v>
                </c:pt>
                <c:pt idx="9">
                  <c:v>1.8427285087450063E-2</c:v>
                </c:pt>
              </c:numCache>
            </c:numRef>
          </c:val>
          <c:smooth val="0"/>
          <c:extLst>
            <c:ext xmlns:c16="http://schemas.microsoft.com/office/drawing/2014/chart" uri="{C3380CC4-5D6E-409C-BE32-E72D297353CC}">
              <c16:uniqueId val="{00000000-A98A-4D1B-ADA7-7D1AF3D06A0E}"/>
            </c:ext>
          </c:extLst>
        </c:ser>
        <c:ser>
          <c:idx val="1"/>
          <c:order val="1"/>
          <c:tx>
            <c:strRef>
              <c:f>'[SS - Benchmark analysis - Non-Cash Payment Surcharge review 2024 - No Diners Club - March 2024.xlsx]6. Charts'!$O$7</c:f>
              <c:strCache>
                <c:ptCount val="1"/>
                <c:pt idx="0">
                  <c:v>Current maximum surcharge</c:v>
                </c:pt>
              </c:strCache>
            </c:strRef>
          </c:tx>
          <c:spPr>
            <a:ln w="25400" cap="rnd">
              <a:solidFill>
                <a:srgbClr val="CE0058"/>
              </a:solidFill>
              <a:round/>
            </a:ln>
            <a:effectLst/>
          </c:spPr>
          <c:marker>
            <c:symbol val="none"/>
          </c:marker>
          <c:cat>
            <c:strRef>
              <c:f>'[SS - Benchmark analysis - Non-Cash Payment Surcharge review 2024 - No Diners Club - March 2024.xlsx]6. Charts'!$M$8:$M$17</c:f>
              <c:strCache>
                <c:ptCount val="10"/>
                <c:pt idx="0">
                  <c:v>ANZ</c:v>
                </c:pt>
                <c:pt idx="1">
                  <c:v>Bank of Melbourne</c:v>
                </c:pt>
                <c:pt idx="2">
                  <c:v>Commonwealth Bank</c:v>
                </c:pt>
                <c:pt idx="3">
                  <c:v>Live Payments</c:v>
                </c:pt>
                <c:pt idx="4">
                  <c:v>Mint</c:v>
                </c:pt>
                <c:pt idx="5">
                  <c:v>NAB</c:v>
                </c:pt>
                <c:pt idx="6">
                  <c:v>Square</c:v>
                </c:pt>
                <c:pt idx="7">
                  <c:v>Tyro</c:v>
                </c:pt>
                <c:pt idx="8">
                  <c:v>Westpac</c:v>
                </c:pt>
                <c:pt idx="9">
                  <c:v>Zeller</c:v>
                </c:pt>
              </c:strCache>
            </c:strRef>
          </c:cat>
          <c:val>
            <c:numRef>
              <c:f>'[SS - Benchmark analysis - Non-Cash Payment Surcharge review 2024 - No Diners Club - March 2024.xlsx]6. Charts'!$O$8:$O$17</c:f>
              <c:numCache>
                <c:formatCode>0%</c:formatCode>
                <c:ptCount val="10"/>
                <c:pt idx="0">
                  <c:v>0.04</c:v>
                </c:pt>
                <c:pt idx="1">
                  <c:v>0.04</c:v>
                </c:pt>
                <c:pt idx="2">
                  <c:v>0.04</c:v>
                </c:pt>
                <c:pt idx="3">
                  <c:v>0.04</c:v>
                </c:pt>
                <c:pt idx="4">
                  <c:v>0.04</c:v>
                </c:pt>
                <c:pt idx="5">
                  <c:v>0.04</c:v>
                </c:pt>
                <c:pt idx="6">
                  <c:v>0.04</c:v>
                </c:pt>
                <c:pt idx="7">
                  <c:v>0.04</c:v>
                </c:pt>
                <c:pt idx="8">
                  <c:v>0.04</c:v>
                </c:pt>
                <c:pt idx="9">
                  <c:v>0.04</c:v>
                </c:pt>
              </c:numCache>
            </c:numRef>
          </c:val>
          <c:smooth val="0"/>
          <c:extLst>
            <c:ext xmlns:c16="http://schemas.microsoft.com/office/drawing/2014/chart" uri="{C3380CC4-5D6E-409C-BE32-E72D297353CC}">
              <c16:uniqueId val="{00000001-A98A-4D1B-ADA7-7D1AF3D06A0E}"/>
            </c:ext>
          </c:extLst>
        </c:ser>
        <c:dLbls>
          <c:showLegendKey val="0"/>
          <c:showVal val="0"/>
          <c:showCatName val="0"/>
          <c:showSerName val="0"/>
          <c:showPercent val="0"/>
          <c:showBubbleSize val="0"/>
        </c:dLbls>
        <c:marker val="1"/>
        <c:smooth val="0"/>
        <c:axId val="1880975199"/>
        <c:axId val="1880976031"/>
      </c:lineChart>
      <c:catAx>
        <c:axId val="1880975199"/>
        <c:scaling>
          <c:orientation val="minMax"/>
        </c:scaling>
        <c:delete val="0"/>
        <c:axPos val="b"/>
        <c:numFmt formatCode="General" sourceLinked="1"/>
        <c:majorTickMark val="none"/>
        <c:minorTickMark val="none"/>
        <c:tickLblPos val="nextTo"/>
        <c:spPr>
          <a:noFill/>
          <a:ln w="9525" cap="flat" cmpd="sng" algn="ctr">
            <a:solidFill>
              <a:schemeClr val="bg2"/>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1880976031"/>
        <c:crosses val="autoZero"/>
        <c:auto val="1"/>
        <c:lblAlgn val="ctr"/>
        <c:lblOffset val="100"/>
        <c:noMultiLvlLbl val="0"/>
      </c:catAx>
      <c:valAx>
        <c:axId val="1880976031"/>
        <c:scaling>
          <c:orientation val="minMax"/>
          <c:max val="5.000000000000001E-2"/>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out"/>
        <c:minorTickMark val="none"/>
        <c:tickLblPos val="nextTo"/>
        <c:spPr>
          <a:noFill/>
          <a:ln>
            <a:solidFill>
              <a:schemeClr val="bg2"/>
            </a:solid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880975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sidRPr="00AD2E14">
            <w:rPr>
              <w:b/>
              <w:highlight w:val="lightGray"/>
            </w:rPr>
            <w:t>[Title]</w:t>
          </w:r>
        </w:p>
      </w:docPartBody>
    </w:docPart>
    <w:docPart>
      <w:docPartPr>
        <w:name w:val="8A242777EE684D85AE4CB9C85A9668F3"/>
        <w:category>
          <w:name w:val="General"/>
          <w:gallery w:val="placeholder"/>
        </w:category>
        <w:types>
          <w:type w:val="bbPlcHdr"/>
        </w:types>
        <w:behaviors>
          <w:behavior w:val="content"/>
        </w:behaviors>
        <w:guid w:val="{7340FAFB-BF73-43E0-9E9B-B5AD121B7C20}"/>
      </w:docPartPr>
      <w:docPartBody>
        <w:p w:rsidR="006F40CD" w:rsidRDefault="00833905">
          <w:pPr>
            <w:pStyle w:val="8A242777EE684D85AE4CB9C85A9668F3"/>
          </w:pPr>
          <w:r w:rsidRPr="00AD2E14">
            <w:rPr>
              <w:b/>
              <w:highlight w:val="lightGray"/>
            </w:rPr>
            <w:t>[Title]</w:t>
          </w:r>
        </w:p>
      </w:docPartBody>
    </w:docPart>
    <w:docPart>
      <w:docPartPr>
        <w:name w:val="FB739D6C14934A1A8E7F7D867AC0912E"/>
        <w:category>
          <w:name w:val="General"/>
          <w:gallery w:val="placeholder"/>
        </w:category>
        <w:types>
          <w:type w:val="bbPlcHdr"/>
        </w:types>
        <w:behaviors>
          <w:behavior w:val="content"/>
        </w:behaviors>
        <w:guid w:val="{7DC7E3A7-A7AF-4672-8185-4FF386AD4766}"/>
      </w:docPartPr>
      <w:docPartBody>
        <w:p w:rsidR="006F40CD" w:rsidRDefault="00833905">
          <w:pPr>
            <w:pStyle w:val="FB739D6C14934A1A8E7F7D867AC0912E"/>
          </w:pPr>
          <w:r w:rsidRPr="00AD2E14">
            <w:rPr>
              <w:b/>
              <w:highlight w:val="lightGray"/>
            </w:rPr>
            <w:t>[Title]</w:t>
          </w:r>
        </w:p>
      </w:docPartBody>
    </w:docPart>
    <w:docPart>
      <w:docPartPr>
        <w:name w:val="80FE518C65974B1A944C95F671D1B468"/>
        <w:category>
          <w:name w:val="General"/>
          <w:gallery w:val="placeholder"/>
        </w:category>
        <w:types>
          <w:type w:val="bbPlcHdr"/>
        </w:types>
        <w:behaviors>
          <w:behavior w:val="content"/>
        </w:behaviors>
        <w:guid w:val="{71FBB632-FE78-485A-B775-4D69566F2978}"/>
      </w:docPartPr>
      <w:docPartBody>
        <w:p w:rsidR="006F40CD" w:rsidRDefault="00833905">
          <w:pPr>
            <w:pStyle w:val="80FE518C65974B1A944C95F671D1B468"/>
          </w:pPr>
          <w:r w:rsidRPr="00AD2E14">
            <w:rPr>
              <w:b/>
              <w:highlight w:val="lightGray"/>
            </w:rPr>
            <w:t>[Title]</w:t>
          </w:r>
        </w:p>
      </w:docPartBody>
    </w:docPart>
    <w:docPart>
      <w:docPartPr>
        <w:name w:val="DC485E1D39A544F99EB1BFB498E8EE3D"/>
        <w:category>
          <w:name w:val="General"/>
          <w:gallery w:val="placeholder"/>
        </w:category>
        <w:types>
          <w:type w:val="bbPlcHdr"/>
        </w:types>
        <w:behaviors>
          <w:behavior w:val="content"/>
        </w:behaviors>
        <w:guid w:val="{727741BF-6910-475A-ABB9-D6E775ABBC7E}"/>
      </w:docPartPr>
      <w:docPartBody>
        <w:p w:rsidR="006F40CD" w:rsidRDefault="00833905">
          <w:pPr>
            <w:pStyle w:val="DC485E1D39A544F99EB1BFB498E8EE3D"/>
          </w:pPr>
          <w:r w:rsidRPr="00AD2E14">
            <w:rPr>
              <w:b/>
              <w:highlight w:val="lightGray"/>
            </w:rPr>
            <w:t>[Title]</w:t>
          </w:r>
        </w:p>
      </w:docPartBody>
    </w:docPart>
    <w:docPart>
      <w:docPartPr>
        <w:name w:val="0AB6374F56814B3796F75F2179745D3F"/>
        <w:category>
          <w:name w:val="General"/>
          <w:gallery w:val="placeholder"/>
        </w:category>
        <w:types>
          <w:type w:val="bbPlcHdr"/>
        </w:types>
        <w:behaviors>
          <w:behavior w:val="content"/>
        </w:behaviors>
        <w:guid w:val="{10230053-6A7D-4570-B4A7-0CA9C9A79AD0}"/>
      </w:docPartPr>
      <w:docPartBody>
        <w:p w:rsidR="006F40CD" w:rsidRDefault="00833905">
          <w:pPr>
            <w:pStyle w:val="0AB6374F56814B3796F75F2179745D3F"/>
          </w:pPr>
          <w:r w:rsidRPr="00AD2E14">
            <w:rPr>
              <w:b/>
              <w:highlight w:val="lightGray"/>
            </w:rPr>
            <w:t>[Title]</w:t>
          </w:r>
        </w:p>
      </w:docPartBody>
    </w:docPart>
    <w:docPart>
      <w:docPartPr>
        <w:name w:val="239B74B6562C4E07B295F08C831DCD72"/>
        <w:category>
          <w:name w:val="General"/>
          <w:gallery w:val="placeholder"/>
        </w:category>
        <w:types>
          <w:type w:val="bbPlcHdr"/>
        </w:types>
        <w:behaviors>
          <w:behavior w:val="content"/>
        </w:behaviors>
        <w:guid w:val="{F78FBFD7-9474-40B0-8664-11E7DA931AB2}"/>
      </w:docPartPr>
      <w:docPartBody>
        <w:p w:rsidR="006F40CD" w:rsidRDefault="00833905" w:rsidP="00833905">
          <w:pPr>
            <w:pStyle w:val="239B74B6562C4E07B295F08C831DCD72"/>
          </w:pPr>
          <w:r w:rsidRPr="00360763">
            <w:rPr>
              <w:highlight w:val="lightGray"/>
            </w:rPr>
            <w:t>[Click to select a year]</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
      <w:docPartPr>
        <w:name w:val="B6F3BC31A9FA46B98165AF96B4F689B3"/>
        <w:category>
          <w:name w:val="General"/>
          <w:gallery w:val="placeholder"/>
        </w:category>
        <w:types>
          <w:type w:val="bbPlcHdr"/>
        </w:types>
        <w:behaviors>
          <w:behavior w:val="content"/>
        </w:behaviors>
        <w:guid w:val="{29C4B259-534A-478A-BF5C-BCEB47C11F4F}"/>
      </w:docPartPr>
      <w:docPartBody>
        <w:p w:rsidR="00A41424" w:rsidRDefault="00A41424" w:rsidP="00A41424">
          <w:pPr>
            <w:pStyle w:val="B6F3BC31A9FA46B98165AF96B4F689B3"/>
          </w:pPr>
          <w:r w:rsidRPr="00AD2E14">
            <w:rPr>
              <w:b/>
              <w:highlight w:val="lightGray"/>
            </w:rPr>
            <w:t>[Title]</w:t>
          </w:r>
        </w:p>
      </w:docPartBody>
    </w:docPart>
    <w:docPart>
      <w:docPartPr>
        <w:name w:val="E4E78E2258004ADA93F3C5C910B7C5A7"/>
        <w:category>
          <w:name w:val="General"/>
          <w:gallery w:val="placeholder"/>
        </w:category>
        <w:types>
          <w:type w:val="bbPlcHdr"/>
        </w:types>
        <w:behaviors>
          <w:behavior w:val="content"/>
        </w:behaviors>
        <w:guid w:val="{F3887069-24E6-4F96-8DFA-79F65E3B4AF2}"/>
      </w:docPartPr>
      <w:docPartBody>
        <w:p w:rsidR="00A41424" w:rsidRDefault="00A41424" w:rsidP="00A41424">
          <w:pPr>
            <w:pStyle w:val="E4E78E2258004ADA93F3C5C910B7C5A7"/>
          </w:pPr>
          <w:r w:rsidRPr="00AD2E14">
            <w:rPr>
              <w:b/>
              <w:highlight w:val="lightGray"/>
            </w:rPr>
            <w:t>[Title]</w:t>
          </w:r>
        </w:p>
      </w:docPartBody>
    </w:docPart>
    <w:docPart>
      <w:docPartPr>
        <w:name w:val="4F7ECCE48E2D4A8F8AE721F0E689401D"/>
        <w:category>
          <w:name w:val="General"/>
          <w:gallery w:val="placeholder"/>
        </w:category>
        <w:types>
          <w:type w:val="bbPlcHdr"/>
        </w:types>
        <w:behaviors>
          <w:behavior w:val="content"/>
        </w:behaviors>
        <w:guid w:val="{6DCB7EBD-10C2-4541-BFCD-F63A959237F8}"/>
      </w:docPartPr>
      <w:docPartBody>
        <w:p w:rsidR="00A41424" w:rsidRDefault="00A41424" w:rsidP="00A41424">
          <w:pPr>
            <w:pStyle w:val="4F7ECCE48E2D4A8F8AE721F0E689401D"/>
          </w:pPr>
          <w:r w:rsidRPr="00AD2E14">
            <w:rPr>
              <w:b/>
              <w:highlight w:val="lightGray"/>
            </w:rPr>
            <w:t>[Title]</w:t>
          </w:r>
        </w:p>
      </w:docPartBody>
    </w:docPart>
    <w:docPart>
      <w:docPartPr>
        <w:name w:val="0838128AB53C44C5B2B5282A0D145FCE"/>
        <w:category>
          <w:name w:val="General"/>
          <w:gallery w:val="placeholder"/>
        </w:category>
        <w:types>
          <w:type w:val="bbPlcHdr"/>
        </w:types>
        <w:behaviors>
          <w:behavior w:val="content"/>
        </w:behaviors>
        <w:guid w:val="{F575D632-716A-4746-83BD-2EE2B4ED0D32}"/>
      </w:docPartPr>
      <w:docPartBody>
        <w:p w:rsidR="004A39E6" w:rsidRDefault="00012E4F" w:rsidP="00012E4F">
          <w:pPr>
            <w:pStyle w:val="0838128AB53C44C5B2B5282A0D145FCE"/>
          </w:pPr>
          <w:r w:rsidRPr="00AD2E14">
            <w:rPr>
              <w:b/>
              <w:highlight w:val="lightGray"/>
            </w:rPr>
            <w:t>[Title]</w:t>
          </w:r>
        </w:p>
      </w:docPartBody>
    </w:docPart>
    <w:docPart>
      <w:docPartPr>
        <w:name w:val="20233562A7AC4A27B643CFBD03949B10"/>
        <w:category>
          <w:name w:val="General"/>
          <w:gallery w:val="placeholder"/>
        </w:category>
        <w:types>
          <w:type w:val="bbPlcHdr"/>
        </w:types>
        <w:behaviors>
          <w:behavior w:val="content"/>
        </w:behaviors>
        <w:guid w:val="{AD227BA1-C1A7-4E5D-B09B-A03B481BB287}"/>
      </w:docPartPr>
      <w:docPartBody>
        <w:p w:rsidR="004754F9" w:rsidRDefault="00986C3C" w:rsidP="00986C3C">
          <w:pPr>
            <w:pStyle w:val="20233562A7AC4A27B643CFBD03949B10"/>
          </w:pPr>
          <w:r w:rsidRPr="00AD2E14">
            <w:rPr>
              <w:b/>
              <w:highlight w:val="lightGray"/>
            </w:rPr>
            <w:t>[Title]</w:t>
          </w:r>
        </w:p>
      </w:docPartBody>
    </w:docPart>
    <w:docPart>
      <w:docPartPr>
        <w:name w:val="BE158EB609FB403ABB7E9CD6F56542FF"/>
        <w:category>
          <w:name w:val="General"/>
          <w:gallery w:val="placeholder"/>
        </w:category>
        <w:types>
          <w:type w:val="bbPlcHdr"/>
        </w:types>
        <w:behaviors>
          <w:behavior w:val="content"/>
        </w:behaviors>
        <w:guid w:val="{E13057B0-BA96-4A67-A953-9345E9DC798B}"/>
      </w:docPartPr>
      <w:docPartBody>
        <w:p w:rsidR="007318FF" w:rsidRDefault="00E832D2">
          <w:pPr>
            <w:pStyle w:val="BE158EB609FB403ABB7E9CD6F56542FF"/>
          </w:pPr>
          <w:r w:rsidRPr="00563AD8">
            <w:rPr>
              <w:highlight w:val="lightGray"/>
            </w:rPr>
            <w:t>[Subtitle]</w:t>
          </w:r>
        </w:p>
      </w:docPartBody>
    </w:docPart>
    <w:docPart>
      <w:docPartPr>
        <w:name w:val="E511F22BDC0E438B99301CE38D95B7D6"/>
        <w:category>
          <w:name w:val="General"/>
          <w:gallery w:val="placeholder"/>
        </w:category>
        <w:types>
          <w:type w:val="bbPlcHdr"/>
        </w:types>
        <w:behaviors>
          <w:behavior w:val="content"/>
        </w:behaviors>
        <w:guid w:val="{6D9BA057-16CD-4B99-87DE-1BB586552BF8}"/>
      </w:docPartPr>
      <w:docPartBody>
        <w:p w:rsidR="00FB65FA" w:rsidRDefault="00FB65FA">
          <w:pPr>
            <w:pStyle w:val="E511F22BDC0E438B99301CE38D95B7D6"/>
          </w:pPr>
          <w:r w:rsidRPr="00AD2E14">
            <w:rPr>
              <w:b/>
              <w:highlight w:val="lightGray"/>
            </w:rPr>
            <w:t>[Title]</w:t>
          </w:r>
        </w:p>
      </w:docPartBody>
    </w:docPart>
    <w:docPart>
      <w:docPartPr>
        <w:name w:val="FDF7D90013F542168132958115EF463B"/>
        <w:category>
          <w:name w:val="General"/>
          <w:gallery w:val="placeholder"/>
        </w:category>
        <w:types>
          <w:type w:val="bbPlcHdr"/>
        </w:types>
        <w:behaviors>
          <w:behavior w:val="content"/>
        </w:behaviors>
        <w:guid w:val="{EC8D6FE5-202F-45B9-8E8F-678744EE303E}"/>
      </w:docPartPr>
      <w:docPartBody>
        <w:p w:rsidR="001C3FF5" w:rsidRDefault="003B2DF4">
          <w:pPr>
            <w:pStyle w:val="FDF7D90013F542168132958115EF463B"/>
          </w:pPr>
          <w:r>
            <w:t>[</w:t>
          </w:r>
          <w:r w:rsidRPr="00615C49">
            <w:t>Click or tap to enter a date</w:t>
          </w:r>
          <w:r>
            <w:t>, or click to manually type custom date]</w:t>
          </w:r>
        </w:p>
      </w:docPartBody>
    </w:docPart>
    <w:docPart>
      <w:docPartPr>
        <w:name w:val="CADDB87889AC457E940643E251B8DB63"/>
        <w:category>
          <w:name w:val="General"/>
          <w:gallery w:val="placeholder"/>
        </w:category>
        <w:types>
          <w:type w:val="bbPlcHdr"/>
        </w:types>
        <w:behaviors>
          <w:behavior w:val="content"/>
        </w:behaviors>
        <w:guid w:val="{2DEA11E8-00FC-43ED-B0C2-E213F996D152}"/>
      </w:docPartPr>
      <w:docPartBody>
        <w:p w:rsidR="001C3FF5" w:rsidRDefault="003B2DF4">
          <w:pPr>
            <w:pStyle w:val="CADDB87889AC457E940643E251B8DB63"/>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12E4F"/>
    <w:rsid w:val="00054095"/>
    <w:rsid w:val="000679DB"/>
    <w:rsid w:val="000761CC"/>
    <w:rsid w:val="000D6A2A"/>
    <w:rsid w:val="00174547"/>
    <w:rsid w:val="001878A6"/>
    <w:rsid w:val="001C3FF5"/>
    <w:rsid w:val="001D794C"/>
    <w:rsid w:val="0020617A"/>
    <w:rsid w:val="002160E2"/>
    <w:rsid w:val="002238D5"/>
    <w:rsid w:val="002709E3"/>
    <w:rsid w:val="00281CD5"/>
    <w:rsid w:val="00316437"/>
    <w:rsid w:val="00322017"/>
    <w:rsid w:val="00356D13"/>
    <w:rsid w:val="003B2DF4"/>
    <w:rsid w:val="003C2EEA"/>
    <w:rsid w:val="003E01BC"/>
    <w:rsid w:val="00474C49"/>
    <w:rsid w:val="004754F9"/>
    <w:rsid w:val="004A39E6"/>
    <w:rsid w:val="004B1BEB"/>
    <w:rsid w:val="004D206E"/>
    <w:rsid w:val="00504440"/>
    <w:rsid w:val="00521CB5"/>
    <w:rsid w:val="00530961"/>
    <w:rsid w:val="005A6EA6"/>
    <w:rsid w:val="005B59F2"/>
    <w:rsid w:val="005E644E"/>
    <w:rsid w:val="005F1255"/>
    <w:rsid w:val="0060311B"/>
    <w:rsid w:val="00642EE8"/>
    <w:rsid w:val="00670439"/>
    <w:rsid w:val="006C7F92"/>
    <w:rsid w:val="006F40CD"/>
    <w:rsid w:val="00701E22"/>
    <w:rsid w:val="00710D67"/>
    <w:rsid w:val="007318FF"/>
    <w:rsid w:val="0078599E"/>
    <w:rsid w:val="007A423E"/>
    <w:rsid w:val="008211DC"/>
    <w:rsid w:val="00833905"/>
    <w:rsid w:val="00833A3C"/>
    <w:rsid w:val="00862637"/>
    <w:rsid w:val="00877752"/>
    <w:rsid w:val="00882047"/>
    <w:rsid w:val="00895B24"/>
    <w:rsid w:val="008A1582"/>
    <w:rsid w:val="008C5F47"/>
    <w:rsid w:val="008E786B"/>
    <w:rsid w:val="009857E6"/>
    <w:rsid w:val="00986C3C"/>
    <w:rsid w:val="00986E3F"/>
    <w:rsid w:val="00997166"/>
    <w:rsid w:val="00A05833"/>
    <w:rsid w:val="00A05EBD"/>
    <w:rsid w:val="00A07FF4"/>
    <w:rsid w:val="00A259E7"/>
    <w:rsid w:val="00A41424"/>
    <w:rsid w:val="00A501F6"/>
    <w:rsid w:val="00A7790A"/>
    <w:rsid w:val="00AE6ED9"/>
    <w:rsid w:val="00B34B78"/>
    <w:rsid w:val="00BA27D7"/>
    <w:rsid w:val="00BE0D3E"/>
    <w:rsid w:val="00C123B1"/>
    <w:rsid w:val="00C35720"/>
    <w:rsid w:val="00C35EA9"/>
    <w:rsid w:val="00C404B9"/>
    <w:rsid w:val="00CA7161"/>
    <w:rsid w:val="00CC3E27"/>
    <w:rsid w:val="00D000E4"/>
    <w:rsid w:val="00D11EE3"/>
    <w:rsid w:val="00D15900"/>
    <w:rsid w:val="00D36C34"/>
    <w:rsid w:val="00D53885"/>
    <w:rsid w:val="00DD1954"/>
    <w:rsid w:val="00DE52A1"/>
    <w:rsid w:val="00DF6DD9"/>
    <w:rsid w:val="00E204EB"/>
    <w:rsid w:val="00E832D2"/>
    <w:rsid w:val="00EB7262"/>
    <w:rsid w:val="00EF49B7"/>
    <w:rsid w:val="00F169EC"/>
    <w:rsid w:val="00F16D99"/>
    <w:rsid w:val="00F7544A"/>
    <w:rsid w:val="00F94125"/>
    <w:rsid w:val="00FB18A8"/>
    <w:rsid w:val="00FB3DFF"/>
    <w:rsid w:val="00FB65FA"/>
    <w:rsid w:val="00FD1E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C81B61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0E2841" w:themeColor="text2"/>
      <w:sz w:val="52"/>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TitleCentredChar">
    <w:name w:val="Title Centred Char"/>
    <w:basedOn w:val="TitleChar"/>
    <w:link w:val="TitleCentred"/>
    <w:rPr>
      <w:rFonts w:ascii="Tahoma" w:eastAsiaTheme="majorEastAsia" w:hAnsi="Tahoma" w:cstheme="majorBidi"/>
      <w:color w:val="0E2841" w:themeColor="text2"/>
      <w:spacing w:val="-10"/>
      <w:kern w:val="28"/>
      <w:sz w:val="52"/>
      <w:szCs w:val="56"/>
      <w:lang w:val="en-US" w:eastAsia="en-US"/>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0838128AB53C44C5B2B5282A0D145FCE">
    <w:name w:val="0838128AB53C44C5B2B5282A0D145FCE"/>
    <w:rsid w:val="00012E4F"/>
    <w:rPr>
      <w:kern w:val="2"/>
      <w14:ligatures w14:val="standardContextual"/>
    </w:rPr>
  </w:style>
  <w:style w:type="paragraph" w:customStyle="1" w:styleId="8A242777EE684D85AE4CB9C85A9668F3">
    <w:name w:val="8A242777EE684D85AE4CB9C85A9668F3"/>
  </w:style>
  <w:style w:type="paragraph" w:customStyle="1" w:styleId="FB739D6C14934A1A8E7F7D867AC0912E">
    <w:name w:val="FB739D6C14934A1A8E7F7D867AC0912E"/>
  </w:style>
  <w:style w:type="paragraph" w:customStyle="1" w:styleId="80FE518C65974B1A944C95F671D1B468">
    <w:name w:val="80FE518C65974B1A944C95F671D1B468"/>
  </w:style>
  <w:style w:type="paragraph" w:customStyle="1" w:styleId="DC485E1D39A544F99EB1BFB498E8EE3D">
    <w:name w:val="DC485E1D39A544F99EB1BFB498E8EE3D"/>
  </w:style>
  <w:style w:type="paragraph" w:customStyle="1" w:styleId="0AB6374F56814B3796F75F2179745D3F">
    <w:name w:val="0AB6374F56814B3796F75F2179745D3F"/>
  </w:style>
  <w:style w:type="paragraph" w:customStyle="1" w:styleId="239B74B6562C4E07B295F08C831DCD72">
    <w:name w:val="239B74B6562C4E07B295F08C831DCD72"/>
    <w:rsid w:val="00833905"/>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081541628B584DC4B0333642607BDAD8">
    <w:name w:val="081541628B584DC4B0333642607BDAD8"/>
    <w:rsid w:val="00833905"/>
  </w:style>
  <w:style w:type="paragraph" w:customStyle="1" w:styleId="B6F3BC31A9FA46B98165AF96B4F689B3">
    <w:name w:val="B6F3BC31A9FA46B98165AF96B4F689B3"/>
    <w:rsid w:val="00A41424"/>
    <w:rPr>
      <w:kern w:val="2"/>
      <w14:ligatures w14:val="standardContextual"/>
    </w:rPr>
  </w:style>
  <w:style w:type="paragraph" w:customStyle="1" w:styleId="E4E78E2258004ADA93F3C5C910B7C5A7">
    <w:name w:val="E4E78E2258004ADA93F3C5C910B7C5A7"/>
    <w:rsid w:val="00A41424"/>
    <w:rPr>
      <w:kern w:val="2"/>
      <w14:ligatures w14:val="standardContextual"/>
    </w:rPr>
  </w:style>
  <w:style w:type="paragraph" w:customStyle="1" w:styleId="4F7ECCE48E2D4A8F8AE721F0E689401D">
    <w:name w:val="4F7ECCE48E2D4A8F8AE721F0E689401D"/>
    <w:rsid w:val="00A41424"/>
    <w:rPr>
      <w:kern w:val="2"/>
      <w14:ligatures w14:val="standardContextual"/>
    </w:rPr>
  </w:style>
  <w:style w:type="paragraph" w:customStyle="1" w:styleId="20233562A7AC4A27B643CFBD03949B10">
    <w:name w:val="20233562A7AC4A27B643CFBD03949B10"/>
    <w:rsid w:val="00986C3C"/>
    <w:rPr>
      <w:kern w:val="2"/>
      <w14:ligatures w14:val="standardContextual"/>
    </w:rPr>
  </w:style>
  <w:style w:type="paragraph" w:customStyle="1" w:styleId="BE158EB609FB403ABB7E9CD6F56542FF">
    <w:name w:val="BE158EB609FB403ABB7E9CD6F56542FF"/>
    <w:pPr>
      <w:spacing w:line="278" w:lineRule="auto"/>
    </w:pPr>
    <w:rPr>
      <w:kern w:val="2"/>
      <w:sz w:val="24"/>
      <w:szCs w:val="24"/>
      <w14:ligatures w14:val="standardContextual"/>
    </w:rPr>
  </w:style>
  <w:style w:type="paragraph" w:customStyle="1" w:styleId="E511F22BDC0E438B99301CE38D95B7D6">
    <w:name w:val="E511F22BDC0E438B99301CE38D95B7D6"/>
    <w:pPr>
      <w:spacing w:line="278" w:lineRule="auto"/>
    </w:pPr>
    <w:rPr>
      <w:kern w:val="2"/>
      <w:sz w:val="24"/>
      <w:szCs w:val="24"/>
      <w14:ligatures w14:val="standardContextual"/>
    </w:rPr>
  </w:style>
  <w:style w:type="paragraph" w:customStyle="1" w:styleId="FDF7D90013F542168132958115EF463B">
    <w:name w:val="FDF7D90013F542168132958115EF463B"/>
    <w:pPr>
      <w:spacing w:line="278" w:lineRule="auto"/>
    </w:pPr>
    <w:rPr>
      <w:kern w:val="2"/>
      <w:sz w:val="24"/>
      <w:szCs w:val="24"/>
      <w14:ligatures w14:val="standardContextual"/>
    </w:rPr>
  </w:style>
  <w:style w:type="paragraph" w:customStyle="1" w:styleId="CADDB87889AC457E940643E251B8DB63">
    <w:name w:val="CADDB87889AC457E940643E251B8DB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68f4f-4283-4438-b250-a2bc27aa04e9">
      <Terms xmlns="http://schemas.microsoft.com/office/infopath/2007/PartnerControls"/>
    </lcf76f155ced4ddcb4097134ff3c332f>
    <TaxCatchAll xmlns="a4fbf8de-3250-4a5a-bae8-d57f1e3a24ef" xsi:nil="true"/>
    <SharedWithUsers xmlns="a4fbf8de-3250-4a5a-bae8-d57f1e3a24ef">
      <UserInfo>
        <DisplayName>Marcus Crudden (ESC)</DisplayName>
        <AccountId>19</AccountId>
        <AccountType/>
      </UserInfo>
      <UserInfo>
        <DisplayName>Craig Madden (ESC)</DisplayName>
        <AccountId>15</AccountId>
        <AccountType/>
      </UserInfo>
      <UserInfo>
        <DisplayName>Linda Marson (ESC)</DisplayName>
        <AccountId>12</AccountId>
        <AccountType/>
      </UserInfo>
      <UserInfo>
        <DisplayName>Joel Eversham (ESC)</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F79D47A3BF7B408B434098A259DFF3" ma:contentTypeVersion="13" ma:contentTypeDescription="Create a new document." ma:contentTypeScope="" ma:versionID="f54dec4d2a4589e1b57172151a2f7bd2">
  <xsd:schema xmlns:xsd="http://www.w3.org/2001/XMLSchema" xmlns:xs="http://www.w3.org/2001/XMLSchema" xmlns:p="http://schemas.microsoft.com/office/2006/metadata/properties" xmlns:ns2="c4968f4f-4283-4438-b250-a2bc27aa04e9" xmlns:ns3="a4fbf8de-3250-4a5a-bae8-d57f1e3a24ef" targetNamespace="http://schemas.microsoft.com/office/2006/metadata/properties" ma:root="true" ma:fieldsID="0f678cbfd14998bbe16a83acb3f156d5" ns2:_="" ns3:_="">
    <xsd:import namespace="c4968f4f-4283-4438-b250-a2bc27aa04e9"/>
    <xsd:import namespace="a4fbf8de-3250-4a5a-bae8-d57f1e3a24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68f4f-4283-4438-b250-a2bc27aa0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bf8de-3250-4a5a-bae8-d57f1e3a24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578cdc7-bfdc-4204-b295-929024b4138c}" ma:internalName="TaxCatchAll" ma:showField="CatchAllData" ma:web="a4fbf8de-3250-4a5a-bae8-d57f1e3a2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2.xml><?xml version="1.0" encoding="utf-8"?>
<ds:datastoreItem xmlns:ds="http://schemas.openxmlformats.org/officeDocument/2006/customXml" ds:itemID="{BF97386D-940E-4003-944D-51012F2CEB39}">
  <ds:schemaRefs>
    <ds:schemaRef ds:uri="http://schemas.microsoft.com/sharepoint/v3/contenttype/forms"/>
  </ds:schemaRefs>
</ds:datastoreItem>
</file>

<file path=customXml/itemProps3.xml><?xml version="1.0" encoding="utf-8"?>
<ds:datastoreItem xmlns:ds="http://schemas.openxmlformats.org/officeDocument/2006/customXml" ds:itemID="{F0F697F3-26CB-43FE-BF26-715484AC7528}">
  <ds:schemaRefs>
    <ds:schemaRef ds:uri="http://schemas.microsoft.com/office/2006/metadata/properties"/>
    <ds:schemaRef ds:uri="http://schemas.microsoft.com/office/infopath/2007/PartnerControls"/>
    <ds:schemaRef ds:uri="c4968f4f-4283-4438-b250-a2bc27aa04e9"/>
    <ds:schemaRef ds:uri="a4fbf8de-3250-4a5a-bae8-d57f1e3a24ef"/>
  </ds:schemaRefs>
</ds:datastoreItem>
</file>

<file path=customXml/itemProps4.xml><?xml version="1.0" encoding="utf-8"?>
<ds:datastoreItem xmlns:ds="http://schemas.openxmlformats.org/officeDocument/2006/customXml" ds:itemID="{56FADC01-5864-4E6C-9349-06EE16E8F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68f4f-4283-4438-b250-a2bc27aa04e9"/>
    <ds:schemaRef ds:uri="a4fbf8de-3250-4a5a-bae8-d57f1e3a2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21050</Words>
  <Characters>119987</Characters>
  <Application>Microsoft Office Word</Application>
  <DocSecurity>0</DocSecurity>
  <Lines>999</Lines>
  <Paragraphs>281</Paragraphs>
  <ScaleCrop>false</ScaleCrop>
  <Company/>
  <LinksUpToDate>false</LinksUpToDate>
  <CharactersWithSpaces>140756</CharactersWithSpaces>
  <SharedDoc>false</SharedDoc>
  <HLinks>
    <vt:vector size="504" baseType="variant">
      <vt:variant>
        <vt:i4>7864429</vt:i4>
      </vt:variant>
      <vt:variant>
        <vt:i4>312</vt:i4>
      </vt:variant>
      <vt:variant>
        <vt:i4>0</vt:i4>
      </vt:variant>
      <vt:variant>
        <vt:i4>5</vt:i4>
      </vt:variant>
      <vt:variant>
        <vt:lpwstr>https://www1.nyc.gov/site/tlc/passengers/taxi-fare.page</vt:lpwstr>
      </vt:variant>
      <vt:variant>
        <vt:lpwstr/>
      </vt:variant>
      <vt:variant>
        <vt:i4>4915298</vt:i4>
      </vt:variant>
      <vt:variant>
        <vt:i4>309</vt:i4>
      </vt:variant>
      <vt:variant>
        <vt:i4>0</vt:i4>
      </vt:variant>
      <vt:variant>
        <vt:i4>5</vt:i4>
      </vt:variant>
      <vt:variant>
        <vt:lpwstr>https://taxi.nv.gov/Rider_Info/Approximate_Fare_Information/</vt:lpwstr>
      </vt:variant>
      <vt:variant>
        <vt:lpwstr/>
      </vt:variant>
      <vt:variant>
        <vt:i4>262263</vt:i4>
      </vt:variant>
      <vt:variant>
        <vt:i4>306</vt:i4>
      </vt:variant>
      <vt:variant>
        <vt:i4>0</vt:i4>
      </vt:variant>
      <vt:variant>
        <vt:i4>5</vt:i4>
      </vt:variant>
      <vt:variant>
        <vt:lpwstr>https://311.chicago.gov/s/article/Paying-for-a-cab-with-a-credit-or-debit-card-brochure?language=en_US</vt:lpwstr>
      </vt:variant>
      <vt:variant>
        <vt:lpwstr/>
      </vt:variant>
      <vt:variant>
        <vt:i4>3211367</vt:i4>
      </vt:variant>
      <vt:variant>
        <vt:i4>303</vt:i4>
      </vt:variant>
      <vt:variant>
        <vt:i4>0</vt:i4>
      </vt:variant>
      <vt:variant>
        <vt:i4>5</vt:i4>
      </vt:variant>
      <vt:variant>
        <vt:lpwstr>https://tfl.gov.uk/modes/taxis-and-minicabs/taxi-fares</vt:lpwstr>
      </vt:variant>
      <vt:variant>
        <vt:lpwstr/>
      </vt:variant>
      <vt:variant>
        <vt:i4>6488104</vt:i4>
      </vt:variant>
      <vt:variant>
        <vt:i4>300</vt:i4>
      </vt:variant>
      <vt:variant>
        <vt:i4>0</vt:i4>
      </vt:variant>
      <vt:variant>
        <vt:i4>5</vt:i4>
      </vt:variant>
      <vt:variant>
        <vt:lpwstr>https://www.cdgtaxi.com.sg/ride-with-us/fares/</vt:lpwstr>
      </vt:variant>
      <vt:variant>
        <vt:lpwstr/>
      </vt:variant>
      <vt:variant>
        <vt:i4>65626</vt:i4>
      </vt:variant>
      <vt:variant>
        <vt:i4>297</vt:i4>
      </vt:variant>
      <vt:variant>
        <vt:i4>0</vt:i4>
      </vt:variant>
      <vt:variant>
        <vt:i4>5</vt:i4>
      </vt:variant>
      <vt:variant>
        <vt:lpwstr>https://www.transport.wa.gov.au/On-demandTransport/on-demand-rank-or-hail-taxi-fares.asp</vt:lpwstr>
      </vt:variant>
      <vt:variant>
        <vt:lpwstr/>
      </vt:variant>
      <vt:variant>
        <vt:i4>655422</vt:i4>
      </vt:variant>
      <vt:variant>
        <vt:i4>294</vt:i4>
      </vt:variant>
      <vt:variant>
        <vt:i4>0</vt:i4>
      </vt:variant>
      <vt:variant>
        <vt:i4>5</vt:i4>
      </vt:variant>
      <vt:variant>
        <vt:lpwstr>https://www.transport.tas.gov.au/public_transport/taxis_and_ride_sourcing/calculating_your_fare/accordion/what_other_fees_and_charges_apply_to_taxis</vt:lpwstr>
      </vt:variant>
      <vt:variant>
        <vt:lpwstr/>
      </vt:variant>
      <vt:variant>
        <vt:i4>3473519</vt:i4>
      </vt:variant>
      <vt:variant>
        <vt:i4>291</vt:i4>
      </vt:variant>
      <vt:variant>
        <vt:i4>0</vt:i4>
      </vt:variant>
      <vt:variant>
        <vt:i4>5</vt:i4>
      </vt:variant>
      <vt:variant>
        <vt:lpwstr>https://www.sa.gov.au/topics/driving-and-transport/industry-services/taxi-and-passenger-transport/taxis</vt:lpwstr>
      </vt:variant>
      <vt:variant>
        <vt:lpwstr/>
      </vt:variant>
      <vt:variant>
        <vt:i4>262235</vt:i4>
      </vt:variant>
      <vt:variant>
        <vt:i4>288</vt:i4>
      </vt:variant>
      <vt:variant>
        <vt:i4>0</vt:i4>
      </vt:variant>
      <vt:variant>
        <vt:i4>5</vt:i4>
      </vt:variant>
      <vt:variant>
        <vt:lpwstr>https://nt.gov.au/driving/industry/commercial-passenger-vehicles/taxi-areas-meters-and-fares</vt:lpwstr>
      </vt:variant>
      <vt:variant>
        <vt:lpwstr/>
      </vt:variant>
      <vt:variant>
        <vt:i4>6684728</vt:i4>
      </vt:variant>
      <vt:variant>
        <vt:i4>285</vt:i4>
      </vt:variant>
      <vt:variant>
        <vt:i4>0</vt:i4>
      </vt:variant>
      <vt:variant>
        <vt:i4>5</vt:i4>
      </vt:variant>
      <vt:variant>
        <vt:lpwstr>https://www.tmr.qld.gov.au/business-industry/Taxi-and-limousine/Industry-information/Industry-regulations/Maximum-payment-surcharge</vt:lpwstr>
      </vt:variant>
      <vt:variant>
        <vt:lpwstr/>
      </vt:variant>
      <vt:variant>
        <vt:i4>2293871</vt:i4>
      </vt:variant>
      <vt:variant>
        <vt:i4>282</vt:i4>
      </vt:variant>
      <vt:variant>
        <vt:i4>0</vt:i4>
      </vt:variant>
      <vt:variant>
        <vt:i4>5</vt:i4>
      </vt:variant>
      <vt:variant>
        <vt:lpwstr>https://www.transport.nsw.gov.au/system/files/media/documents/2023/Point-to-Point-Transport_Fares_Order.pdf</vt:lpwstr>
      </vt:variant>
      <vt:variant>
        <vt:lpwstr/>
      </vt:variant>
      <vt:variant>
        <vt:i4>2687096</vt:i4>
      </vt:variant>
      <vt:variant>
        <vt:i4>279</vt:i4>
      </vt:variant>
      <vt:variant>
        <vt:i4>0</vt:i4>
      </vt:variant>
      <vt:variant>
        <vt:i4>5</vt:i4>
      </vt:variant>
      <vt:variant>
        <vt:lpwstr>https://www.canberratimes.com.au/story/6045011/canberra-taxi-surcharges-to-be-capped-to-curb-exorbitant-card-fees/</vt:lpwstr>
      </vt:variant>
      <vt:variant>
        <vt:lpwstr/>
      </vt:variant>
      <vt:variant>
        <vt:i4>65626</vt:i4>
      </vt:variant>
      <vt:variant>
        <vt:i4>276</vt:i4>
      </vt:variant>
      <vt:variant>
        <vt:i4>0</vt:i4>
      </vt:variant>
      <vt:variant>
        <vt:i4>5</vt:i4>
      </vt:variant>
      <vt:variant>
        <vt:lpwstr>https://www.transport.wa.gov.au/On-demandTransport/on-demand-rank-or-hail-taxi-fares.asp</vt:lpwstr>
      </vt:variant>
      <vt:variant>
        <vt:lpwstr/>
      </vt:variant>
      <vt:variant>
        <vt:i4>6750326</vt:i4>
      </vt:variant>
      <vt:variant>
        <vt:i4>273</vt:i4>
      </vt:variant>
      <vt:variant>
        <vt:i4>0</vt:i4>
      </vt:variant>
      <vt:variant>
        <vt:i4>5</vt:i4>
      </vt:variant>
      <vt:variant>
        <vt:lpwstr>https://www.esc.vic.gov.au/sites/default/files/documents/Unbooked taxi fare adjustment 2023 - Commission assessment - 20230824.PDF</vt:lpwstr>
      </vt:variant>
      <vt:variant>
        <vt:lpwstr/>
      </vt:variant>
      <vt:variant>
        <vt:i4>655422</vt:i4>
      </vt:variant>
      <vt:variant>
        <vt:i4>270</vt:i4>
      </vt:variant>
      <vt:variant>
        <vt:i4>0</vt:i4>
      </vt:variant>
      <vt:variant>
        <vt:i4>5</vt:i4>
      </vt:variant>
      <vt:variant>
        <vt:lpwstr>https://www.transport.tas.gov.au/public_transport/taxis_and_ride_sourcing/calculating_your_fare/accordion/what_other_fees_and_charges_apply_to_taxis</vt:lpwstr>
      </vt:variant>
      <vt:variant>
        <vt:lpwstr/>
      </vt:variant>
      <vt:variant>
        <vt:i4>1245255</vt:i4>
      </vt:variant>
      <vt:variant>
        <vt:i4>264</vt:i4>
      </vt:variant>
      <vt:variant>
        <vt:i4>0</vt:i4>
      </vt:variant>
      <vt:variant>
        <vt:i4>5</vt:i4>
      </vt:variant>
      <vt:variant>
        <vt:lpwstr>https://www.publications.qld.gov.au/ckan-publications-attachments-prod/resources/99e44e71-3e8c-4494-8726-a878f93d6cf7/30.06.23-combined.pdf?ETag=d1d0cb588de987ac1efa1a21a7b265f7</vt:lpwstr>
      </vt:variant>
      <vt:variant>
        <vt:lpwstr/>
      </vt:variant>
      <vt:variant>
        <vt:i4>262235</vt:i4>
      </vt:variant>
      <vt:variant>
        <vt:i4>261</vt:i4>
      </vt:variant>
      <vt:variant>
        <vt:i4>0</vt:i4>
      </vt:variant>
      <vt:variant>
        <vt:i4>5</vt:i4>
      </vt:variant>
      <vt:variant>
        <vt:lpwstr>https://nt.gov.au/driving/industry/commercial-passenger-vehicles/taxi-areas-meters-and-fares</vt:lpwstr>
      </vt:variant>
      <vt:variant>
        <vt:lpwstr/>
      </vt:variant>
      <vt:variant>
        <vt:i4>6291569</vt:i4>
      </vt:variant>
      <vt:variant>
        <vt:i4>258</vt:i4>
      </vt:variant>
      <vt:variant>
        <vt:i4>0</vt:i4>
      </vt:variant>
      <vt:variant>
        <vt:i4>5</vt:i4>
      </vt:variant>
      <vt:variant>
        <vt:lpwstr>https://transportnsw.info/travel-info/ways-to-get-around/taxi-hire-vehicle/rank-hail-taxi-fares-charges</vt:lpwstr>
      </vt:variant>
      <vt:variant>
        <vt:lpwstr/>
      </vt:variant>
      <vt:variant>
        <vt:i4>6619233</vt:i4>
      </vt:variant>
      <vt:variant>
        <vt:i4>255</vt:i4>
      </vt:variant>
      <vt:variant>
        <vt:i4>0</vt:i4>
      </vt:variant>
      <vt:variant>
        <vt:i4>5</vt:i4>
      </vt:variant>
      <vt:variant>
        <vt:lpwstr>https://www.actcabs.com.au/uploads/7/9/8/3/79830392/fare_rates_act.pdf</vt:lpwstr>
      </vt:variant>
      <vt:variant>
        <vt:lpwstr/>
      </vt:variant>
      <vt:variant>
        <vt:i4>65626</vt:i4>
      </vt:variant>
      <vt:variant>
        <vt:i4>252</vt:i4>
      </vt:variant>
      <vt:variant>
        <vt:i4>0</vt:i4>
      </vt:variant>
      <vt:variant>
        <vt:i4>5</vt:i4>
      </vt:variant>
      <vt:variant>
        <vt:lpwstr>https://www.transport.wa.gov.au/On-demandTransport/on-demand-rank-or-hail-taxi-fares.asp</vt:lpwstr>
      </vt:variant>
      <vt:variant>
        <vt:lpwstr/>
      </vt:variant>
      <vt:variant>
        <vt:i4>6750326</vt:i4>
      </vt:variant>
      <vt:variant>
        <vt:i4>249</vt:i4>
      </vt:variant>
      <vt:variant>
        <vt:i4>0</vt:i4>
      </vt:variant>
      <vt:variant>
        <vt:i4>5</vt:i4>
      </vt:variant>
      <vt:variant>
        <vt:lpwstr>https://www.esc.vic.gov.au/sites/default/files/documents/Unbooked taxi fare adjustment 2023 - Commission assessment - 20230824.PDF</vt:lpwstr>
      </vt:variant>
      <vt:variant>
        <vt:lpwstr/>
      </vt:variant>
      <vt:variant>
        <vt:i4>655422</vt:i4>
      </vt:variant>
      <vt:variant>
        <vt:i4>246</vt:i4>
      </vt:variant>
      <vt:variant>
        <vt:i4>0</vt:i4>
      </vt:variant>
      <vt:variant>
        <vt:i4>5</vt:i4>
      </vt:variant>
      <vt:variant>
        <vt:lpwstr>https://www.transport.tas.gov.au/public_transport/taxis_and_ride_sourcing/calculating_your_fare/accordion/what_other_fees_and_charges_apply_to_taxis</vt:lpwstr>
      </vt:variant>
      <vt:variant>
        <vt:lpwstr/>
      </vt:variant>
      <vt:variant>
        <vt:i4>1245255</vt:i4>
      </vt:variant>
      <vt:variant>
        <vt:i4>240</vt:i4>
      </vt:variant>
      <vt:variant>
        <vt:i4>0</vt:i4>
      </vt:variant>
      <vt:variant>
        <vt:i4>5</vt:i4>
      </vt:variant>
      <vt:variant>
        <vt:lpwstr>https://www.publications.qld.gov.au/ckan-publications-attachments-prod/resources/99e44e71-3e8c-4494-8726-a878f93d6cf7/30.06.23-combined.pdf?ETag=d1d0cb588de987ac1efa1a21a7b265f7</vt:lpwstr>
      </vt:variant>
      <vt:variant>
        <vt:lpwstr/>
      </vt:variant>
      <vt:variant>
        <vt:i4>262235</vt:i4>
      </vt:variant>
      <vt:variant>
        <vt:i4>237</vt:i4>
      </vt:variant>
      <vt:variant>
        <vt:i4>0</vt:i4>
      </vt:variant>
      <vt:variant>
        <vt:i4>5</vt:i4>
      </vt:variant>
      <vt:variant>
        <vt:lpwstr>https://nt.gov.au/driving/industry/commercial-passenger-vehicles/taxi-areas-meters-and-fares</vt:lpwstr>
      </vt:variant>
      <vt:variant>
        <vt:lpwstr/>
      </vt:variant>
      <vt:variant>
        <vt:i4>6291569</vt:i4>
      </vt:variant>
      <vt:variant>
        <vt:i4>234</vt:i4>
      </vt:variant>
      <vt:variant>
        <vt:i4>0</vt:i4>
      </vt:variant>
      <vt:variant>
        <vt:i4>5</vt:i4>
      </vt:variant>
      <vt:variant>
        <vt:lpwstr>https://transportnsw.info/travel-info/ways-to-get-around/taxi-hire-vehicle/rank-hail-taxi-fares-charges</vt:lpwstr>
      </vt:variant>
      <vt:variant>
        <vt:lpwstr/>
      </vt:variant>
      <vt:variant>
        <vt:i4>6619233</vt:i4>
      </vt:variant>
      <vt:variant>
        <vt:i4>231</vt:i4>
      </vt:variant>
      <vt:variant>
        <vt:i4>0</vt:i4>
      </vt:variant>
      <vt:variant>
        <vt:i4>5</vt:i4>
      </vt:variant>
      <vt:variant>
        <vt:lpwstr>https://www.actcabs.com.au/uploads/7/9/8/3/79830392/fare_rates_act.pdf</vt:lpwstr>
      </vt:variant>
      <vt:variant>
        <vt:lpwstr/>
      </vt:variant>
      <vt:variant>
        <vt:i4>6488140</vt:i4>
      </vt:variant>
      <vt:variant>
        <vt:i4>228</vt:i4>
      </vt:variant>
      <vt:variant>
        <vt:i4>0</vt:i4>
      </vt:variant>
      <vt:variant>
        <vt:i4>5</vt:i4>
      </vt:variant>
      <vt:variant>
        <vt:lpwstr/>
      </vt:variant>
      <vt:variant>
        <vt:lpwstr>_Appendix_F:_Non-cash</vt:lpwstr>
      </vt:variant>
      <vt:variant>
        <vt:i4>7208987</vt:i4>
      </vt:variant>
      <vt:variant>
        <vt:i4>225</vt:i4>
      </vt:variant>
      <vt:variant>
        <vt:i4>0</vt:i4>
      </vt:variant>
      <vt:variant>
        <vt:i4>5</vt:i4>
      </vt:variant>
      <vt:variant>
        <vt:lpwstr/>
      </vt:variant>
      <vt:variant>
        <vt:lpwstr>_Appendix_G:_Our</vt:lpwstr>
      </vt:variant>
      <vt:variant>
        <vt:i4>8323085</vt:i4>
      </vt:variant>
      <vt:variant>
        <vt:i4>222</vt:i4>
      </vt:variant>
      <vt:variant>
        <vt:i4>0</vt:i4>
      </vt:variant>
      <vt:variant>
        <vt:i4>5</vt:i4>
      </vt:variant>
      <vt:variant>
        <vt:lpwstr/>
      </vt:variant>
      <vt:variant>
        <vt:lpwstr>_Appendix_E:_Taxi</vt:lpwstr>
      </vt:variant>
      <vt:variant>
        <vt:i4>7208987</vt:i4>
      </vt:variant>
      <vt:variant>
        <vt:i4>219</vt:i4>
      </vt:variant>
      <vt:variant>
        <vt:i4>0</vt:i4>
      </vt:variant>
      <vt:variant>
        <vt:i4>5</vt:i4>
      </vt:variant>
      <vt:variant>
        <vt:lpwstr/>
      </vt:variant>
      <vt:variant>
        <vt:lpwstr>_Appendix_G:_Our</vt:lpwstr>
      </vt:variant>
      <vt:variant>
        <vt:i4>7077911</vt:i4>
      </vt:variant>
      <vt:variant>
        <vt:i4>216</vt:i4>
      </vt:variant>
      <vt:variant>
        <vt:i4>0</vt:i4>
      </vt:variant>
      <vt:variant>
        <vt:i4>5</vt:i4>
      </vt:variant>
      <vt:variant>
        <vt:lpwstr/>
      </vt:variant>
      <vt:variant>
        <vt:lpwstr>_Fare_schedule_1</vt:lpwstr>
      </vt:variant>
      <vt:variant>
        <vt:i4>7077911</vt:i4>
      </vt:variant>
      <vt:variant>
        <vt:i4>213</vt:i4>
      </vt:variant>
      <vt:variant>
        <vt:i4>0</vt:i4>
      </vt:variant>
      <vt:variant>
        <vt:i4>5</vt:i4>
      </vt:variant>
      <vt:variant>
        <vt:lpwstr/>
      </vt:variant>
      <vt:variant>
        <vt:lpwstr>_Fare_schedule_1</vt:lpwstr>
      </vt:variant>
      <vt:variant>
        <vt:i4>8192021</vt:i4>
      </vt:variant>
      <vt:variant>
        <vt:i4>210</vt:i4>
      </vt:variant>
      <vt:variant>
        <vt:i4>0</vt:i4>
      </vt:variant>
      <vt:variant>
        <vt:i4>5</vt:i4>
      </vt:variant>
      <vt:variant>
        <vt:lpwstr/>
      </vt:variant>
      <vt:variant>
        <vt:lpwstr>_Appendix_B:_Stakeholder</vt:lpwstr>
      </vt:variant>
      <vt:variant>
        <vt:i4>1441816</vt:i4>
      </vt:variant>
      <vt:variant>
        <vt:i4>207</vt:i4>
      </vt:variant>
      <vt:variant>
        <vt:i4>0</vt:i4>
      </vt:variant>
      <vt:variant>
        <vt:i4>5</vt:i4>
      </vt:variant>
      <vt:variant>
        <vt:lpwstr>https://www.esc.vic.gov.au/transport/commercial-passenger-vehicles/unbooked-taxi-fares-and-non-cash-payment-surcharge-review-2024</vt:lpwstr>
      </vt:variant>
      <vt:variant>
        <vt:lpwstr/>
      </vt:variant>
      <vt:variant>
        <vt:i4>6422551</vt:i4>
      </vt:variant>
      <vt:variant>
        <vt:i4>204</vt:i4>
      </vt:variant>
      <vt:variant>
        <vt:i4>0</vt:i4>
      </vt:variant>
      <vt:variant>
        <vt:i4>5</vt:i4>
      </vt:variant>
      <vt:variant>
        <vt:lpwstr/>
      </vt:variant>
      <vt:variant>
        <vt:lpwstr>_Non-cash_payment_surcharge</vt:lpwstr>
      </vt:variant>
      <vt:variant>
        <vt:i4>2949126</vt:i4>
      </vt:variant>
      <vt:variant>
        <vt:i4>201</vt:i4>
      </vt:variant>
      <vt:variant>
        <vt:i4>0</vt:i4>
      </vt:variant>
      <vt:variant>
        <vt:i4>5</vt:i4>
      </vt:variant>
      <vt:variant>
        <vt:lpwstr/>
      </vt:variant>
      <vt:variant>
        <vt:lpwstr>_Unbooked_taxi_fares</vt:lpwstr>
      </vt:variant>
      <vt:variant>
        <vt:i4>1376315</vt:i4>
      </vt:variant>
      <vt:variant>
        <vt:i4>194</vt:i4>
      </vt:variant>
      <vt:variant>
        <vt:i4>0</vt:i4>
      </vt:variant>
      <vt:variant>
        <vt:i4>5</vt:i4>
      </vt:variant>
      <vt:variant>
        <vt:lpwstr/>
      </vt:variant>
      <vt:variant>
        <vt:lpwstr>_Toc174692713</vt:lpwstr>
      </vt:variant>
      <vt:variant>
        <vt:i4>1376315</vt:i4>
      </vt:variant>
      <vt:variant>
        <vt:i4>188</vt:i4>
      </vt:variant>
      <vt:variant>
        <vt:i4>0</vt:i4>
      </vt:variant>
      <vt:variant>
        <vt:i4>5</vt:i4>
      </vt:variant>
      <vt:variant>
        <vt:lpwstr/>
      </vt:variant>
      <vt:variant>
        <vt:lpwstr>_Toc174692712</vt:lpwstr>
      </vt:variant>
      <vt:variant>
        <vt:i4>1310779</vt:i4>
      </vt:variant>
      <vt:variant>
        <vt:i4>182</vt:i4>
      </vt:variant>
      <vt:variant>
        <vt:i4>0</vt:i4>
      </vt:variant>
      <vt:variant>
        <vt:i4>5</vt:i4>
      </vt:variant>
      <vt:variant>
        <vt:lpwstr/>
      </vt:variant>
      <vt:variant>
        <vt:lpwstr>_Toc174692709</vt:lpwstr>
      </vt:variant>
      <vt:variant>
        <vt:i4>1310779</vt:i4>
      </vt:variant>
      <vt:variant>
        <vt:i4>176</vt:i4>
      </vt:variant>
      <vt:variant>
        <vt:i4>0</vt:i4>
      </vt:variant>
      <vt:variant>
        <vt:i4>5</vt:i4>
      </vt:variant>
      <vt:variant>
        <vt:lpwstr/>
      </vt:variant>
      <vt:variant>
        <vt:lpwstr>_Toc174692706</vt:lpwstr>
      </vt:variant>
      <vt:variant>
        <vt:i4>1310779</vt:i4>
      </vt:variant>
      <vt:variant>
        <vt:i4>170</vt:i4>
      </vt:variant>
      <vt:variant>
        <vt:i4>0</vt:i4>
      </vt:variant>
      <vt:variant>
        <vt:i4>5</vt:i4>
      </vt:variant>
      <vt:variant>
        <vt:lpwstr/>
      </vt:variant>
      <vt:variant>
        <vt:lpwstr>_Toc174692705</vt:lpwstr>
      </vt:variant>
      <vt:variant>
        <vt:i4>1310779</vt:i4>
      </vt:variant>
      <vt:variant>
        <vt:i4>164</vt:i4>
      </vt:variant>
      <vt:variant>
        <vt:i4>0</vt:i4>
      </vt:variant>
      <vt:variant>
        <vt:i4>5</vt:i4>
      </vt:variant>
      <vt:variant>
        <vt:lpwstr/>
      </vt:variant>
      <vt:variant>
        <vt:lpwstr>_Toc174692704</vt:lpwstr>
      </vt:variant>
      <vt:variant>
        <vt:i4>1900602</vt:i4>
      </vt:variant>
      <vt:variant>
        <vt:i4>158</vt:i4>
      </vt:variant>
      <vt:variant>
        <vt:i4>0</vt:i4>
      </vt:variant>
      <vt:variant>
        <vt:i4>5</vt:i4>
      </vt:variant>
      <vt:variant>
        <vt:lpwstr/>
      </vt:variant>
      <vt:variant>
        <vt:lpwstr>_Toc174692697</vt:lpwstr>
      </vt:variant>
      <vt:variant>
        <vt:i4>1900602</vt:i4>
      </vt:variant>
      <vt:variant>
        <vt:i4>152</vt:i4>
      </vt:variant>
      <vt:variant>
        <vt:i4>0</vt:i4>
      </vt:variant>
      <vt:variant>
        <vt:i4>5</vt:i4>
      </vt:variant>
      <vt:variant>
        <vt:lpwstr/>
      </vt:variant>
      <vt:variant>
        <vt:lpwstr>_Toc174692696</vt:lpwstr>
      </vt:variant>
      <vt:variant>
        <vt:i4>1900602</vt:i4>
      </vt:variant>
      <vt:variant>
        <vt:i4>146</vt:i4>
      </vt:variant>
      <vt:variant>
        <vt:i4>0</vt:i4>
      </vt:variant>
      <vt:variant>
        <vt:i4>5</vt:i4>
      </vt:variant>
      <vt:variant>
        <vt:lpwstr/>
      </vt:variant>
      <vt:variant>
        <vt:lpwstr>_Toc174692695</vt:lpwstr>
      </vt:variant>
      <vt:variant>
        <vt:i4>1900602</vt:i4>
      </vt:variant>
      <vt:variant>
        <vt:i4>140</vt:i4>
      </vt:variant>
      <vt:variant>
        <vt:i4>0</vt:i4>
      </vt:variant>
      <vt:variant>
        <vt:i4>5</vt:i4>
      </vt:variant>
      <vt:variant>
        <vt:lpwstr/>
      </vt:variant>
      <vt:variant>
        <vt:lpwstr>_Toc174692692</vt:lpwstr>
      </vt:variant>
      <vt:variant>
        <vt:i4>1900602</vt:i4>
      </vt:variant>
      <vt:variant>
        <vt:i4>134</vt:i4>
      </vt:variant>
      <vt:variant>
        <vt:i4>0</vt:i4>
      </vt:variant>
      <vt:variant>
        <vt:i4>5</vt:i4>
      </vt:variant>
      <vt:variant>
        <vt:lpwstr/>
      </vt:variant>
      <vt:variant>
        <vt:lpwstr>_Toc174692690</vt:lpwstr>
      </vt:variant>
      <vt:variant>
        <vt:i4>1835066</vt:i4>
      </vt:variant>
      <vt:variant>
        <vt:i4>128</vt:i4>
      </vt:variant>
      <vt:variant>
        <vt:i4>0</vt:i4>
      </vt:variant>
      <vt:variant>
        <vt:i4>5</vt:i4>
      </vt:variant>
      <vt:variant>
        <vt:lpwstr/>
      </vt:variant>
      <vt:variant>
        <vt:lpwstr>_Toc174692686</vt:lpwstr>
      </vt:variant>
      <vt:variant>
        <vt:i4>1835066</vt:i4>
      </vt:variant>
      <vt:variant>
        <vt:i4>122</vt:i4>
      </vt:variant>
      <vt:variant>
        <vt:i4>0</vt:i4>
      </vt:variant>
      <vt:variant>
        <vt:i4>5</vt:i4>
      </vt:variant>
      <vt:variant>
        <vt:lpwstr/>
      </vt:variant>
      <vt:variant>
        <vt:lpwstr>_Toc174692684</vt:lpwstr>
      </vt:variant>
      <vt:variant>
        <vt:i4>1835066</vt:i4>
      </vt:variant>
      <vt:variant>
        <vt:i4>116</vt:i4>
      </vt:variant>
      <vt:variant>
        <vt:i4>0</vt:i4>
      </vt:variant>
      <vt:variant>
        <vt:i4>5</vt:i4>
      </vt:variant>
      <vt:variant>
        <vt:lpwstr/>
      </vt:variant>
      <vt:variant>
        <vt:lpwstr>_Toc174692680</vt:lpwstr>
      </vt:variant>
      <vt:variant>
        <vt:i4>1245242</vt:i4>
      </vt:variant>
      <vt:variant>
        <vt:i4>110</vt:i4>
      </vt:variant>
      <vt:variant>
        <vt:i4>0</vt:i4>
      </vt:variant>
      <vt:variant>
        <vt:i4>5</vt:i4>
      </vt:variant>
      <vt:variant>
        <vt:lpwstr/>
      </vt:variant>
      <vt:variant>
        <vt:lpwstr>_Toc174692679</vt:lpwstr>
      </vt:variant>
      <vt:variant>
        <vt:i4>1245242</vt:i4>
      </vt:variant>
      <vt:variant>
        <vt:i4>104</vt:i4>
      </vt:variant>
      <vt:variant>
        <vt:i4>0</vt:i4>
      </vt:variant>
      <vt:variant>
        <vt:i4>5</vt:i4>
      </vt:variant>
      <vt:variant>
        <vt:lpwstr/>
      </vt:variant>
      <vt:variant>
        <vt:lpwstr>_Toc174692678</vt:lpwstr>
      </vt:variant>
      <vt:variant>
        <vt:i4>1245242</vt:i4>
      </vt:variant>
      <vt:variant>
        <vt:i4>98</vt:i4>
      </vt:variant>
      <vt:variant>
        <vt:i4>0</vt:i4>
      </vt:variant>
      <vt:variant>
        <vt:i4>5</vt:i4>
      </vt:variant>
      <vt:variant>
        <vt:lpwstr/>
      </vt:variant>
      <vt:variant>
        <vt:lpwstr>_Toc174692677</vt:lpwstr>
      </vt:variant>
      <vt:variant>
        <vt:i4>1245242</vt:i4>
      </vt:variant>
      <vt:variant>
        <vt:i4>92</vt:i4>
      </vt:variant>
      <vt:variant>
        <vt:i4>0</vt:i4>
      </vt:variant>
      <vt:variant>
        <vt:i4>5</vt:i4>
      </vt:variant>
      <vt:variant>
        <vt:lpwstr/>
      </vt:variant>
      <vt:variant>
        <vt:lpwstr>_Toc174692676</vt:lpwstr>
      </vt:variant>
      <vt:variant>
        <vt:i4>1245242</vt:i4>
      </vt:variant>
      <vt:variant>
        <vt:i4>86</vt:i4>
      </vt:variant>
      <vt:variant>
        <vt:i4>0</vt:i4>
      </vt:variant>
      <vt:variant>
        <vt:i4>5</vt:i4>
      </vt:variant>
      <vt:variant>
        <vt:lpwstr/>
      </vt:variant>
      <vt:variant>
        <vt:lpwstr>_Toc174692675</vt:lpwstr>
      </vt:variant>
      <vt:variant>
        <vt:i4>1245242</vt:i4>
      </vt:variant>
      <vt:variant>
        <vt:i4>80</vt:i4>
      </vt:variant>
      <vt:variant>
        <vt:i4>0</vt:i4>
      </vt:variant>
      <vt:variant>
        <vt:i4>5</vt:i4>
      </vt:variant>
      <vt:variant>
        <vt:lpwstr/>
      </vt:variant>
      <vt:variant>
        <vt:lpwstr>_Toc174692672</vt:lpwstr>
      </vt:variant>
      <vt:variant>
        <vt:i4>1245242</vt:i4>
      </vt:variant>
      <vt:variant>
        <vt:i4>74</vt:i4>
      </vt:variant>
      <vt:variant>
        <vt:i4>0</vt:i4>
      </vt:variant>
      <vt:variant>
        <vt:i4>5</vt:i4>
      </vt:variant>
      <vt:variant>
        <vt:lpwstr/>
      </vt:variant>
      <vt:variant>
        <vt:lpwstr>_Toc174692671</vt:lpwstr>
      </vt:variant>
      <vt:variant>
        <vt:i4>1179706</vt:i4>
      </vt:variant>
      <vt:variant>
        <vt:i4>68</vt:i4>
      </vt:variant>
      <vt:variant>
        <vt:i4>0</vt:i4>
      </vt:variant>
      <vt:variant>
        <vt:i4>5</vt:i4>
      </vt:variant>
      <vt:variant>
        <vt:lpwstr/>
      </vt:variant>
      <vt:variant>
        <vt:lpwstr>_Toc174692668</vt:lpwstr>
      </vt:variant>
      <vt:variant>
        <vt:i4>1179706</vt:i4>
      </vt:variant>
      <vt:variant>
        <vt:i4>62</vt:i4>
      </vt:variant>
      <vt:variant>
        <vt:i4>0</vt:i4>
      </vt:variant>
      <vt:variant>
        <vt:i4>5</vt:i4>
      </vt:variant>
      <vt:variant>
        <vt:lpwstr/>
      </vt:variant>
      <vt:variant>
        <vt:lpwstr>_Toc174692665</vt:lpwstr>
      </vt:variant>
      <vt:variant>
        <vt:i4>1179706</vt:i4>
      </vt:variant>
      <vt:variant>
        <vt:i4>56</vt:i4>
      </vt:variant>
      <vt:variant>
        <vt:i4>0</vt:i4>
      </vt:variant>
      <vt:variant>
        <vt:i4>5</vt:i4>
      </vt:variant>
      <vt:variant>
        <vt:lpwstr/>
      </vt:variant>
      <vt:variant>
        <vt:lpwstr>_Toc174692664</vt:lpwstr>
      </vt:variant>
      <vt:variant>
        <vt:i4>1114170</vt:i4>
      </vt:variant>
      <vt:variant>
        <vt:i4>50</vt:i4>
      </vt:variant>
      <vt:variant>
        <vt:i4>0</vt:i4>
      </vt:variant>
      <vt:variant>
        <vt:i4>5</vt:i4>
      </vt:variant>
      <vt:variant>
        <vt:lpwstr/>
      </vt:variant>
      <vt:variant>
        <vt:lpwstr>_Toc174692658</vt:lpwstr>
      </vt:variant>
      <vt:variant>
        <vt:i4>1114170</vt:i4>
      </vt:variant>
      <vt:variant>
        <vt:i4>44</vt:i4>
      </vt:variant>
      <vt:variant>
        <vt:i4>0</vt:i4>
      </vt:variant>
      <vt:variant>
        <vt:i4>5</vt:i4>
      </vt:variant>
      <vt:variant>
        <vt:lpwstr/>
      </vt:variant>
      <vt:variant>
        <vt:lpwstr>_Toc174692657</vt:lpwstr>
      </vt:variant>
      <vt:variant>
        <vt:i4>1114170</vt:i4>
      </vt:variant>
      <vt:variant>
        <vt:i4>38</vt:i4>
      </vt:variant>
      <vt:variant>
        <vt:i4>0</vt:i4>
      </vt:variant>
      <vt:variant>
        <vt:i4>5</vt:i4>
      </vt:variant>
      <vt:variant>
        <vt:lpwstr/>
      </vt:variant>
      <vt:variant>
        <vt:lpwstr>_Toc174692655</vt:lpwstr>
      </vt:variant>
      <vt:variant>
        <vt:i4>1114170</vt:i4>
      </vt:variant>
      <vt:variant>
        <vt:i4>32</vt:i4>
      </vt:variant>
      <vt:variant>
        <vt:i4>0</vt:i4>
      </vt:variant>
      <vt:variant>
        <vt:i4>5</vt:i4>
      </vt:variant>
      <vt:variant>
        <vt:lpwstr/>
      </vt:variant>
      <vt:variant>
        <vt:lpwstr>_Toc174692653</vt:lpwstr>
      </vt:variant>
      <vt:variant>
        <vt:i4>1114170</vt:i4>
      </vt:variant>
      <vt:variant>
        <vt:i4>26</vt:i4>
      </vt:variant>
      <vt:variant>
        <vt:i4>0</vt:i4>
      </vt:variant>
      <vt:variant>
        <vt:i4>5</vt:i4>
      </vt:variant>
      <vt:variant>
        <vt:lpwstr/>
      </vt:variant>
      <vt:variant>
        <vt:lpwstr>_Toc174692652</vt:lpwstr>
      </vt:variant>
      <vt:variant>
        <vt:i4>1048634</vt:i4>
      </vt:variant>
      <vt:variant>
        <vt:i4>20</vt:i4>
      </vt:variant>
      <vt:variant>
        <vt:i4>0</vt:i4>
      </vt:variant>
      <vt:variant>
        <vt:i4>5</vt:i4>
      </vt:variant>
      <vt:variant>
        <vt:lpwstr/>
      </vt:variant>
      <vt:variant>
        <vt:lpwstr>_Toc174692648</vt:lpwstr>
      </vt:variant>
      <vt:variant>
        <vt:i4>1048634</vt:i4>
      </vt:variant>
      <vt:variant>
        <vt:i4>14</vt:i4>
      </vt:variant>
      <vt:variant>
        <vt:i4>0</vt:i4>
      </vt:variant>
      <vt:variant>
        <vt:i4>5</vt:i4>
      </vt:variant>
      <vt:variant>
        <vt:lpwstr/>
      </vt:variant>
      <vt:variant>
        <vt:lpwstr>_Toc174692645</vt:lpwstr>
      </vt:variant>
      <vt:variant>
        <vt:i4>1048634</vt:i4>
      </vt:variant>
      <vt:variant>
        <vt:i4>8</vt:i4>
      </vt:variant>
      <vt:variant>
        <vt:i4>0</vt:i4>
      </vt:variant>
      <vt:variant>
        <vt:i4>5</vt:i4>
      </vt:variant>
      <vt:variant>
        <vt:lpwstr/>
      </vt:variant>
      <vt:variant>
        <vt:lpwstr>_Toc174692644</vt:lpwstr>
      </vt:variant>
      <vt:variant>
        <vt:i4>1507386</vt:i4>
      </vt:variant>
      <vt:variant>
        <vt:i4>2</vt:i4>
      </vt:variant>
      <vt:variant>
        <vt:i4>0</vt:i4>
      </vt:variant>
      <vt:variant>
        <vt:i4>5</vt:i4>
      </vt:variant>
      <vt:variant>
        <vt:lpwstr/>
      </vt:variant>
      <vt:variant>
        <vt:lpwstr>_Toc174692639</vt:lpwstr>
      </vt:variant>
      <vt:variant>
        <vt:i4>1179716</vt:i4>
      </vt:variant>
      <vt:variant>
        <vt:i4>42</vt:i4>
      </vt:variant>
      <vt:variant>
        <vt:i4>0</vt:i4>
      </vt:variant>
      <vt:variant>
        <vt:i4>5</vt:i4>
      </vt:variant>
      <vt:variant>
        <vt:lpwstr>https://www.rba.gov.au/payments-and-infrastructure/review-of-card-payments-regulation/q-and-a/card-payments-regulation-qa-conclusions-paper.html</vt:lpwstr>
      </vt:variant>
      <vt:variant>
        <vt:lpwstr>surcharging-consumers-q7</vt:lpwstr>
      </vt:variant>
      <vt:variant>
        <vt:i4>1245276</vt:i4>
      </vt:variant>
      <vt:variant>
        <vt:i4>39</vt:i4>
      </vt:variant>
      <vt:variant>
        <vt:i4>0</vt:i4>
      </vt:variant>
      <vt:variant>
        <vt:i4>5</vt:i4>
      </vt:variant>
      <vt:variant>
        <vt:lpwstr>https://www.ibisworld.com/au/bed/motor-vehicle-price-index/1708/</vt:lpwstr>
      </vt:variant>
      <vt:variant>
        <vt:lpwstr/>
      </vt:variant>
      <vt:variant>
        <vt:i4>7536766</vt:i4>
      </vt:variant>
      <vt:variant>
        <vt:i4>36</vt:i4>
      </vt:variant>
      <vt:variant>
        <vt:i4>0</vt:i4>
      </vt:variant>
      <vt:variant>
        <vt:i4>5</vt:i4>
      </vt:variant>
      <vt:variant>
        <vt:lpwstr>https://www.uber.com/au/en/r/cities/taxi/melbourne-vic-au/</vt:lpwstr>
      </vt:variant>
      <vt:variant>
        <vt:lpwstr/>
      </vt:variant>
      <vt:variant>
        <vt:i4>4522048</vt:i4>
      </vt:variant>
      <vt:variant>
        <vt:i4>33</vt:i4>
      </vt:variant>
      <vt:variant>
        <vt:i4>0</vt:i4>
      </vt:variant>
      <vt:variant>
        <vt:i4>5</vt:i4>
      </vt:variant>
      <vt:variant>
        <vt:lpwstr>https://help.cabcharge.com.au/en/articles/5944422-cabcharge-fees</vt:lpwstr>
      </vt:variant>
      <vt:variant>
        <vt:lpwstr/>
      </vt:variant>
      <vt:variant>
        <vt:i4>852048</vt:i4>
      </vt:variant>
      <vt:variant>
        <vt:i4>30</vt:i4>
      </vt:variant>
      <vt:variant>
        <vt:i4>0</vt:i4>
      </vt:variant>
      <vt:variant>
        <vt:i4>5</vt:i4>
      </vt:variant>
      <vt:variant>
        <vt:lpwstr>https://www.rba.gov.au/payments-and-infrastructure/review-of-card-payments-regulation/pdf/standard-no-3-of-2016-scheme-rules-relating-to-merchant-pricing-2021-11-18.pdf</vt:lpwstr>
      </vt:variant>
      <vt:variant>
        <vt:lpwstr/>
      </vt:variant>
      <vt:variant>
        <vt:i4>8323104</vt:i4>
      </vt:variant>
      <vt:variant>
        <vt:i4>27</vt:i4>
      </vt:variant>
      <vt:variant>
        <vt:i4>0</vt:i4>
      </vt:variant>
      <vt:variant>
        <vt:i4>5</vt:i4>
      </vt:variant>
      <vt:variant>
        <vt:lpwstr>https://ola.com.au/driver/drivers-guidelines/ola-driver-cleaning-fee-reimbursement-policy/</vt:lpwstr>
      </vt:variant>
      <vt:variant>
        <vt:lpwstr/>
      </vt:variant>
      <vt:variant>
        <vt:i4>8126581</vt:i4>
      </vt:variant>
      <vt:variant>
        <vt:i4>24</vt:i4>
      </vt:variant>
      <vt:variant>
        <vt:i4>0</vt:i4>
      </vt:variant>
      <vt:variant>
        <vt:i4>5</vt:i4>
      </vt:variant>
      <vt:variant>
        <vt:lpwstr>https://web.didiglobal.com/au/help-center/how-do-i-request-a-cleaning-fee/</vt:lpwstr>
      </vt:variant>
      <vt:variant>
        <vt:lpwstr/>
      </vt:variant>
      <vt:variant>
        <vt:i4>7012386</vt:i4>
      </vt:variant>
      <vt:variant>
        <vt:i4>21</vt:i4>
      </vt:variant>
      <vt:variant>
        <vt:i4>0</vt:i4>
      </vt:variant>
      <vt:variant>
        <vt:i4>5</vt:i4>
      </vt:variant>
      <vt:variant>
        <vt:lpwstr>https://www.qld.gov.au/transport/public/operators/information-for-passengers/passenger-rights-and-fares/taxi-service-standards</vt:lpwstr>
      </vt:variant>
      <vt:variant>
        <vt:lpwstr/>
      </vt:variant>
      <vt:variant>
        <vt:i4>262235</vt:i4>
      </vt:variant>
      <vt:variant>
        <vt:i4>18</vt:i4>
      </vt:variant>
      <vt:variant>
        <vt:i4>0</vt:i4>
      </vt:variant>
      <vt:variant>
        <vt:i4>5</vt:i4>
      </vt:variant>
      <vt:variant>
        <vt:lpwstr>https://nt.gov.au/driving/industry/commercial-passenger-vehicles/taxi-areas-meters-and-fares</vt:lpwstr>
      </vt:variant>
      <vt:variant>
        <vt:lpwstr/>
      </vt:variant>
      <vt:variant>
        <vt:i4>1441816</vt:i4>
      </vt:variant>
      <vt:variant>
        <vt:i4>15</vt:i4>
      </vt:variant>
      <vt:variant>
        <vt:i4>0</vt:i4>
      </vt:variant>
      <vt:variant>
        <vt:i4>5</vt:i4>
      </vt:variant>
      <vt:variant>
        <vt:lpwstr>https://www.esc.vic.gov.au/transport/commercial-passenger-vehicles/unbooked-taxi-fares-and-non-cash-payment-surcharge-review-2024</vt:lpwstr>
      </vt:variant>
      <vt:variant>
        <vt:lpwstr/>
      </vt:variant>
      <vt:variant>
        <vt:i4>1703957</vt:i4>
      </vt:variant>
      <vt:variant>
        <vt:i4>12</vt:i4>
      </vt:variant>
      <vt:variant>
        <vt:i4>0</vt:i4>
      </vt:variant>
      <vt:variant>
        <vt:i4>5</vt:i4>
      </vt:variant>
      <vt:variant>
        <vt:lpwstr>https://livepayments.com/product/livetap-for-taxi</vt:lpwstr>
      </vt:variant>
      <vt:variant>
        <vt:lpwstr/>
      </vt:variant>
      <vt:variant>
        <vt:i4>7667832</vt:i4>
      </vt:variant>
      <vt:variant>
        <vt:i4>9</vt:i4>
      </vt:variant>
      <vt:variant>
        <vt:i4>0</vt:i4>
      </vt:variant>
      <vt:variant>
        <vt:i4>5</vt:i4>
      </vt:variant>
      <vt:variant>
        <vt:lpwstr>https://www.rba.gov.au/publications/bulletin/2023/jun/consumer-payment-behaviour-in-australia.html</vt:lpwstr>
      </vt:variant>
      <vt:variant>
        <vt:lpwstr/>
      </vt:variant>
      <vt:variant>
        <vt:i4>6488115</vt:i4>
      </vt:variant>
      <vt:variant>
        <vt:i4>6</vt:i4>
      </vt:variant>
      <vt:variant>
        <vt:i4>0</vt:i4>
      </vt:variant>
      <vt:variant>
        <vt:i4>5</vt:i4>
      </vt:variant>
      <vt:variant>
        <vt:lpwstr>https://www.rba.gov.au/publications/rdp/2023/2023-08/full.html</vt:lpwstr>
      </vt:variant>
      <vt:variant>
        <vt:lpwstr/>
      </vt:variant>
      <vt:variant>
        <vt:i4>3276902</vt:i4>
      </vt:variant>
      <vt:variant>
        <vt:i4>3</vt:i4>
      </vt:variant>
      <vt:variant>
        <vt:i4>0</vt:i4>
      </vt:variant>
      <vt:variant>
        <vt:i4>5</vt:i4>
      </vt:variant>
      <vt:variant>
        <vt:lpwstr>https://www.accc.gov.au/about-us/publications/serial-publications/airport-monitoring-reports/airport-monitoring-report-2022-23</vt:lpwstr>
      </vt:variant>
      <vt:variant>
        <vt:lpwstr/>
      </vt:variant>
      <vt:variant>
        <vt:i4>1376279</vt:i4>
      </vt:variant>
      <vt:variant>
        <vt:i4>0</vt:i4>
      </vt:variant>
      <vt:variant>
        <vt:i4>0</vt:i4>
      </vt:variant>
      <vt:variant>
        <vt:i4>5</vt:i4>
      </vt:variant>
      <vt:variant>
        <vt:lpwstr>https://www.esc.vic.gov.au/sites/default/files/documents/DDP - Review of the maximum unbooked taxi fares and non-cash payment surcharges - Draft Decision - 20240605.pdf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maximum unbooked taxi fares and non-cash payment surcharges</dc:title>
  <dc:subject/>
  <dc:creator>Robyn Keely (ESC)</dc:creator>
  <cp:keywords>[SEC=UNOFFICIAL]</cp:keywords>
  <dc:description>Final decision</dc:description>
  <cp:lastModifiedBy>Joel Eversham (ESC)</cp:lastModifiedBy>
  <cp:revision>3</cp:revision>
  <cp:lastPrinted>2024-08-16T02:07:00Z</cp:lastPrinted>
  <dcterms:created xsi:type="dcterms:W3CDTF">2024-08-16T02:07:00Z</dcterms:created>
  <dcterms:modified xsi:type="dcterms:W3CDTF">2024-08-16T02:08:00Z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2024-05-15T00:28:39Z</vt:lpwstr>
  </property>
  <property fmtid="{D5CDD505-2E9C-101B-9397-08002B2CF9AE}" pid="10" name="PM_Markers">
    <vt:lpwstr/>
  </property>
  <property fmtid="{D5CDD505-2E9C-101B-9397-08002B2CF9AE}" pid="11" name="PM_InsertionValue">
    <vt:lpwstr>UNOFFICIAL</vt:lpwstr>
  </property>
  <property fmtid="{D5CDD505-2E9C-101B-9397-08002B2CF9AE}" pid="12" name="PM_DisplayValueSecClassificationWithQualifier">
    <vt:lpwstr>UNOFFICIAL</vt:lpwstr>
  </property>
  <property fmtid="{D5CDD505-2E9C-101B-9397-08002B2CF9AE}" pid="13" name="PM_Originating_FileId">
    <vt:lpwstr>DD68511083864AC398B39DA7F239C479</vt:lpwstr>
  </property>
  <property fmtid="{D5CDD505-2E9C-101B-9397-08002B2CF9AE}" pid="14" name="PM_ProtectiveMarkingValue_Footer">
    <vt:lpwstr>UNOFFICIAL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UNOFFICIAL</vt:lpwstr>
  </property>
  <property fmtid="{D5CDD505-2E9C-101B-9397-08002B2CF9AE}" pid="18" name="PM_OriginatorDomainName_SHA256">
    <vt:lpwstr>9E5929A2B0C9364118E50F7972B6A4AA763F815A803675E11226272E392AE99C</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0x010100DAF79D47A3BF7B408B434098A259DFF3</vt:lpwstr>
  </property>
  <property fmtid="{D5CDD505-2E9C-101B-9397-08002B2CF9AE}" pid="24" name="MediaServiceImageTags">
    <vt:lpwstr/>
  </property>
  <property fmtid="{D5CDD505-2E9C-101B-9397-08002B2CF9AE}" pid="25" name="PM_Originator_Hash_SHA1">
    <vt:lpwstr>A68147AD1CD563CF20F00A2B65E0B6CC35220EB1</vt:lpwstr>
  </property>
  <property fmtid="{D5CDD505-2E9C-101B-9397-08002B2CF9AE}" pid="26" name="PM_OriginatorUserAccountName_SHA256">
    <vt:lpwstr>ABA6E153F337DD4BBD63D4A67CE0E55CF19F811E9FBCBE054671169F087D9C19</vt:lpwstr>
  </property>
  <property fmtid="{D5CDD505-2E9C-101B-9397-08002B2CF9AE}" pid="27" name="PMHMAC">
    <vt:lpwstr>v=2022.1;a=SHA256;h=F2E763CF3CC39AAC9713E4516CACA585FA4931240E118A2664E710C0F929B24E</vt:lpwstr>
  </property>
  <property fmtid="{D5CDD505-2E9C-101B-9397-08002B2CF9AE}" pid="28" name="PM_Hash_Salt_Prev">
    <vt:lpwstr>6F7F39EC4E375E5EE1F1124FF867FC64</vt:lpwstr>
  </property>
  <property fmtid="{D5CDD505-2E9C-101B-9397-08002B2CF9AE}" pid="29" name="PM_Hash_Salt">
    <vt:lpwstr>DDAA72BA2D7FD30DAE0420B333F385E6</vt:lpwstr>
  </property>
  <property fmtid="{D5CDD505-2E9C-101B-9397-08002B2CF9AE}" pid="30" name="PM_Hash_SHA1">
    <vt:lpwstr>E4DBF4E00AB8CAA16D5EC8DEA271D7E93D47B5E9</vt:lpwstr>
  </property>
</Properties>
</file>