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535DF" w14:textId="44D63C31" w:rsidR="007354FA" w:rsidRDefault="007354FA" w:rsidP="00633068">
      <w:pPr>
        <w:pStyle w:val="NoSpacing"/>
        <w:rPr>
          <w:lang w:val="en-AU"/>
        </w:rPr>
      </w:pPr>
      <w:bookmarkStart w:id="1" w:name="_Toc480988875"/>
      <w:bookmarkStart w:id="2" w:name="_Toc481138187"/>
      <w:bookmarkStart w:id="3" w:name="_Toc481138395"/>
      <w:bookmarkStart w:id="4" w:name="_Hlk481497640"/>
    </w:p>
    <w:sdt>
      <w:sdtPr>
        <w:rPr>
          <w:lang w:val="en-AU"/>
        </w:rPr>
        <w:id w:val="-1806228930"/>
        <w:docPartObj>
          <w:docPartGallery w:val="Cover Pages"/>
          <w:docPartUnique/>
        </w:docPartObj>
      </w:sdtPr>
      <w:sdtContent>
        <w:sdt>
          <w:sdtPr>
            <w:id w:val="-1193684748"/>
            <w:placeholder>
              <w:docPart w:val="7EADE071DAEA41E78F612AFD418C39B7"/>
            </w:placeholder>
            <w:showingPlcHdr/>
            <w:text/>
          </w:sdtPr>
          <w:sdtContent>
            <w:p w14:paraId="459BC7E1" w14:textId="056E9E22" w:rsidR="00067DD9" w:rsidRDefault="00067DD9" w:rsidP="00633068">
              <w:pPr>
                <w:pStyle w:val="NoSpacing"/>
                <w:sectPr w:rsidR="00067DD9" w:rsidSect="00DB48F2">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134" w:right="1134" w:bottom="1134" w:left="1134" w:header="709" w:footer="692" w:gutter="0"/>
                  <w:pgNumType w:start="0"/>
                  <w:cols w:space="708"/>
                  <w:docGrid w:linePitch="360"/>
                </w:sectPr>
              </w:pPr>
              <w:r>
                <w:t xml:space="preserve">  </w:t>
              </w:r>
            </w:p>
          </w:sdtContent>
        </w:sdt>
        <w:p w14:paraId="044FD251" w14:textId="16B41348" w:rsidR="00067DD9" w:rsidRPr="0063494B" w:rsidRDefault="00000000" w:rsidP="00633068">
          <w:pPr>
            <w:pStyle w:val="Title"/>
          </w:pPr>
          <w:sdt>
            <w:sdtPr>
              <w:alias w:val="Title"/>
              <w:tag w:val=""/>
              <w:id w:val="-1656833702"/>
              <w:placeholder>
                <w:docPart w:val="34EC1314B48946F9AB9A023C3A43A56C"/>
              </w:placeholder>
              <w:dataBinding w:prefixMappings="xmlns:ns0='http://purl.org/dc/elements/1.1/' xmlns:ns1='http://schemas.openxmlformats.org/package/2006/metadata/core-properties' " w:xpath="/ns1:coreProperties[1]/ns0:title[1]" w:storeItemID="{6C3C8BC8-F283-45AE-878A-BAB7291924A1}"/>
              <w:text/>
            </w:sdtPr>
            <w:sdtContent>
              <w:r w:rsidR="004346EB">
                <w:t>Goulburn-Murray Water</w:t>
              </w:r>
              <w:r w:rsidR="008F4FDA">
                <w:t xml:space="preserve"> draft decision</w:t>
              </w:r>
            </w:sdtContent>
          </w:sdt>
        </w:p>
        <w:sdt>
          <w:sdtPr>
            <w:alias w:val="Subtitle"/>
            <w:tag w:val=""/>
            <w:id w:val="1140151582"/>
            <w:placeholder>
              <w:docPart w:val="F3C3A57147344A77851F182346213046"/>
            </w:placeholder>
            <w:dataBinding w:prefixMappings="xmlns:ns0='http://purl.org/dc/elements/1.1/' xmlns:ns1='http://schemas.openxmlformats.org/package/2006/metadata/core-properties' " w:xpath="/ns1:coreProperties[1]/ns0:description[1]" w:storeItemID="{6C3C8BC8-F283-45AE-878A-BAB7291924A1}"/>
            <w:text w:multiLine="1"/>
          </w:sdtPr>
          <w:sdtContent>
            <w:p w14:paraId="05441D29" w14:textId="57A019B4" w:rsidR="00067DD9" w:rsidRDefault="008F4FDA" w:rsidP="00633068">
              <w:pPr>
                <w:pStyle w:val="Subtitle"/>
              </w:pPr>
              <w:r>
                <w:t>202</w:t>
              </w:r>
              <w:r w:rsidR="004346EB">
                <w:t>4</w:t>
              </w:r>
              <w:r>
                <w:t xml:space="preserve"> Water Price Review</w:t>
              </w:r>
            </w:p>
          </w:sdtContent>
        </w:sdt>
        <w:p w14:paraId="211F560F" w14:textId="74FFE335" w:rsidR="00067DD9" w:rsidRDefault="00884B27" w:rsidP="000A7FD9">
          <w:pPr>
            <w:pStyle w:val="Subtitle"/>
          </w:pPr>
          <w:r w:rsidRPr="002E6D84">
            <w:rPr>
              <w:lang w:val="en-US"/>
            </w:rPr>
            <w:t>26</w:t>
          </w:r>
          <w:r w:rsidR="0013187A" w:rsidRPr="002E6D84">
            <w:rPr>
              <w:lang w:val="en-US"/>
            </w:rPr>
            <w:t xml:space="preserve"> </w:t>
          </w:r>
          <w:r w:rsidR="00307ADC" w:rsidRPr="002E6D84">
            <w:rPr>
              <w:lang w:val="en-US"/>
            </w:rPr>
            <w:t>March</w:t>
          </w:r>
          <w:r w:rsidR="00747571" w:rsidRPr="002E6D84">
            <w:rPr>
              <w:lang w:val="en-US"/>
            </w:rPr>
            <w:t xml:space="preserve"> 202</w:t>
          </w:r>
          <w:r w:rsidR="00F855C9" w:rsidRPr="002E6D84">
            <w:rPr>
              <w:lang w:val="en-US"/>
            </w:rPr>
            <w:t>4</w:t>
          </w:r>
        </w:p>
        <w:p w14:paraId="4A353EB6" w14:textId="77777777" w:rsidR="00067DD9" w:rsidRDefault="00067DD9"/>
        <w:p w14:paraId="77B3ADF8" w14:textId="77777777" w:rsidR="00067DD9" w:rsidRDefault="00067DD9">
          <w:pPr>
            <w:spacing w:line="259" w:lineRule="auto"/>
          </w:pPr>
          <w:r>
            <w:br w:type="page"/>
          </w:r>
        </w:p>
      </w:sdtContent>
    </w:sdt>
    <w:p w14:paraId="43260BD7" w14:textId="77777777" w:rsidR="00F83935" w:rsidRDefault="00F83935" w:rsidP="000D4547">
      <w:pPr>
        <w:pStyle w:val="NoSpacing"/>
        <w:rPr>
          <w:b/>
        </w:rPr>
      </w:pPr>
    </w:p>
    <w:p w14:paraId="51469094" w14:textId="77777777" w:rsidR="0022019B" w:rsidRDefault="0022019B" w:rsidP="0022019B">
      <w:pPr>
        <w:pStyle w:val="Heading2"/>
      </w:pPr>
      <w:bookmarkStart w:id="5" w:name="_Toc161400003"/>
      <w:r>
        <w:t>Acknowledgement</w:t>
      </w:r>
      <w:bookmarkEnd w:id="5"/>
    </w:p>
    <w:p w14:paraId="1B255C7B" w14:textId="77777777" w:rsidR="0022019B" w:rsidRDefault="0022019B" w:rsidP="0022019B">
      <w:r>
        <w:t>We acknowledge the Traditional Owners of the lands and waterways on which we work and live.</w:t>
      </w:r>
    </w:p>
    <w:p w14:paraId="03598A0B" w14:textId="1F20432D" w:rsidR="0022019B" w:rsidRDefault="0022019B" w:rsidP="0022019B">
      <w:r>
        <w:t xml:space="preserve">We acknowledge all Aboriginal and Torres Strait Islander </w:t>
      </w:r>
      <w:r w:rsidR="00F5349C">
        <w:t>communities and</w:t>
      </w:r>
      <w:r>
        <w:t xml:space="preserve"> pay our respects to Elders past and present.</w:t>
      </w:r>
    </w:p>
    <w:p w14:paraId="1D1173AF" w14:textId="77777777" w:rsidR="0022019B" w:rsidRDefault="0022019B" w:rsidP="0022019B">
      <w:r>
        <w:t>As the First Peoples of this land, belonging to the world’s oldest living cultures, we recognise and value their knowledge, and ongoing role in shaping and enriching the story of Victoria.</w:t>
      </w:r>
    </w:p>
    <w:p w14:paraId="3285FEC2" w14:textId="77777777" w:rsidR="001E2BBE" w:rsidRDefault="001E2BBE" w:rsidP="00F83935">
      <w:pPr>
        <w:spacing w:line="259" w:lineRule="auto"/>
        <w:rPr>
          <w:rStyle w:val="Strong"/>
        </w:rPr>
      </w:pPr>
    </w:p>
    <w:p w14:paraId="25A0FD9D" w14:textId="7481CC42" w:rsidR="00881E07" w:rsidRPr="00F83935" w:rsidRDefault="00881E07" w:rsidP="00F83935">
      <w:pPr>
        <w:spacing w:line="259" w:lineRule="auto"/>
        <w:rPr>
          <w:rStyle w:val="Strong"/>
          <w:b w:val="0"/>
          <w:bCs w:val="0"/>
        </w:rPr>
      </w:pPr>
      <w:r w:rsidRPr="00710792">
        <w:rPr>
          <w:rStyle w:val="Strong"/>
        </w:rPr>
        <w:t>An appropriate citation for this paper is:</w:t>
      </w:r>
      <w:bookmarkEnd w:id="1"/>
      <w:bookmarkEnd w:id="2"/>
      <w:bookmarkEnd w:id="3"/>
    </w:p>
    <w:p w14:paraId="2C2E46F4" w14:textId="4911FC72" w:rsidR="00943BDE" w:rsidRDefault="00881E07" w:rsidP="00943BDE">
      <w:r>
        <w:t>Essential Services Commission</w:t>
      </w:r>
      <w:r w:rsidR="003904B9">
        <w:t xml:space="preserve"> </w:t>
      </w:r>
      <w:sdt>
        <w:sdtPr>
          <w:alias w:val="Year"/>
          <w:tag w:val="Year"/>
          <w:id w:val="-1184668763"/>
          <w:placeholder>
            <w:docPart w:val="67DD3D462EAE4C6E8B7D70E61E480038"/>
          </w:placeholder>
          <w:dropDownList>
            <w:listItem w:value="Choose an item."/>
            <w:listItem w:displayText="2020" w:value="2020"/>
            <w:listItem w:displayText="2021" w:value="2021"/>
            <w:listItem w:displayText="2022" w:value="2022"/>
            <w:listItem w:displayText="2023" w:value="2023"/>
            <w:listItem w:displayText="2024" w:value="2024"/>
            <w:listItem w:displayText="2025" w:value="2025"/>
          </w:dropDownList>
        </w:sdtPr>
        <w:sdtContent>
          <w:r w:rsidR="00F855C9" w:rsidRPr="00142FE5">
            <w:t>2024</w:t>
          </w:r>
        </w:sdtContent>
      </w:sdt>
      <w:r w:rsidRPr="00142FE5">
        <w:t>,</w:t>
      </w:r>
      <w:r>
        <w:t xml:space="preserve"> </w:t>
      </w:r>
      <w:sdt>
        <w:sdtPr>
          <w:rPr>
            <w:i/>
            <w:iCs/>
          </w:rPr>
          <w:alias w:val="Title"/>
          <w:tag w:val=""/>
          <w:id w:val="1260560542"/>
          <w:placeholder>
            <w:docPart w:val="C41C5A18611B41BDB65BD4BDF4A2EAF3"/>
          </w:placeholder>
          <w:dataBinding w:prefixMappings="xmlns:ns0='http://purl.org/dc/elements/1.1/' xmlns:ns1='http://schemas.openxmlformats.org/package/2006/metadata/core-properties' " w:xpath="/ns1:coreProperties[1]/ns0:title[1]" w:storeItemID="{6C3C8BC8-F283-45AE-878A-BAB7291924A1}"/>
          <w:text/>
        </w:sdtPr>
        <w:sdtContent>
          <w:r w:rsidR="004346EB">
            <w:rPr>
              <w:i/>
              <w:iCs/>
            </w:rPr>
            <w:t>Goulburn-Murray Water draft decision</w:t>
          </w:r>
        </w:sdtContent>
      </w:sdt>
      <w:r w:rsidR="00633068" w:rsidRPr="00263AEA">
        <w:rPr>
          <w:i/>
          <w:iCs/>
        </w:rPr>
        <w:t xml:space="preserve">: </w:t>
      </w:r>
      <w:sdt>
        <w:sdtPr>
          <w:rPr>
            <w:i/>
            <w:iCs/>
          </w:rPr>
          <w:alias w:val="Subtitle"/>
          <w:tag w:val=""/>
          <w:id w:val="-295916621"/>
          <w:placeholder>
            <w:docPart w:val="8354013ECA134B9FB69E14D68AF69B72"/>
          </w:placeholder>
          <w:dataBinding w:prefixMappings="xmlns:ns0='http://purl.org/dc/elements/1.1/' xmlns:ns1='http://schemas.openxmlformats.org/package/2006/metadata/core-properties' " w:xpath="/ns1:coreProperties[1]/ns0:description[1]" w:storeItemID="{6C3C8BC8-F283-45AE-878A-BAB7291924A1}"/>
          <w:text w:multiLine="1"/>
        </w:sdtPr>
        <w:sdtContent>
          <w:r w:rsidR="004346EB" w:rsidRPr="002E6D84">
            <w:rPr>
              <w:i/>
              <w:iCs/>
            </w:rPr>
            <w:t>2024 Water Price Review</w:t>
          </w:r>
        </w:sdtContent>
      </w:sdt>
      <w:r w:rsidR="00012434" w:rsidRPr="002E6D84">
        <w:t>,</w:t>
      </w:r>
      <w:r w:rsidR="00633068" w:rsidRPr="002E6D84">
        <w:t xml:space="preserve"> </w:t>
      </w:r>
      <w:sdt>
        <w:sdtPr>
          <w:alias w:val="Date"/>
          <w:tag w:val="Year"/>
          <w:id w:val="-733004738"/>
          <w:placeholder>
            <w:docPart w:val="6B52C7CDD4574D6782B02CB85E79AEDC"/>
          </w:placeholder>
          <w:date w:fullDate="2024-03-26T00:00:00Z">
            <w:dateFormat w:val="d MMMM "/>
            <w:lid w:val="en-US"/>
            <w:storeMappedDataAs w:val="dateTime"/>
            <w:calendar w:val="gregorian"/>
          </w:date>
        </w:sdtPr>
        <w:sdtContent>
          <w:r w:rsidR="00884B27" w:rsidRPr="002E6D84">
            <w:rPr>
              <w:lang w:val="en-US"/>
            </w:rPr>
            <w:t xml:space="preserve">26 March </w:t>
          </w:r>
        </w:sdtContent>
      </w:sdt>
    </w:p>
    <w:p w14:paraId="0664CD18" w14:textId="77777777" w:rsidR="00710792" w:rsidRDefault="00710792" w:rsidP="00710792">
      <w:pPr>
        <w:rPr>
          <w:rStyle w:val="Strong"/>
        </w:rPr>
      </w:pPr>
      <w:bookmarkStart w:id="6" w:name="_Toc480988876"/>
      <w:bookmarkStart w:id="7" w:name="_Toc481138188"/>
      <w:bookmarkStart w:id="8" w:name="_Toc481138396"/>
    </w:p>
    <w:p w14:paraId="641CCC03" w14:textId="77777777" w:rsidR="00881E07" w:rsidRPr="00710792" w:rsidRDefault="00881E07" w:rsidP="00710792">
      <w:pPr>
        <w:rPr>
          <w:rStyle w:val="Strong"/>
        </w:rPr>
      </w:pPr>
      <w:r w:rsidRPr="00710792">
        <w:rPr>
          <w:rStyle w:val="Strong"/>
        </w:rPr>
        <w:t>Copyright notice</w:t>
      </w:r>
      <w:bookmarkEnd w:id="6"/>
      <w:bookmarkEnd w:id="7"/>
      <w:bookmarkEnd w:id="8"/>
    </w:p>
    <w:p w14:paraId="3FCB7511" w14:textId="3BA2774A" w:rsidR="00881E07" w:rsidRDefault="00881E07" w:rsidP="00943BDE">
      <w:r>
        <w:t xml:space="preserve">© </w:t>
      </w:r>
      <w:r w:rsidR="00563AD8">
        <w:t>Essential Services Commission</w:t>
      </w:r>
      <w:r w:rsidR="00012434">
        <w:t>,</w:t>
      </w:r>
      <w:r w:rsidR="00563AD8">
        <w:t xml:space="preserve"> </w:t>
      </w:r>
      <w:sdt>
        <w:sdtPr>
          <w:alias w:val="Year"/>
          <w:tag w:val="Year"/>
          <w:id w:val="1606076632"/>
          <w:placeholder>
            <w:docPart w:val="2FD311BECF124DFFAEBE6B54F1D46810"/>
          </w:placeholder>
          <w:dropDownList>
            <w:listItem w:value="Choose an item."/>
            <w:listItem w:displayText="2020" w:value="2020"/>
            <w:listItem w:displayText="2021" w:value="2021"/>
            <w:listItem w:displayText="2022" w:value="2022"/>
            <w:listItem w:displayText="2023" w:value="2023"/>
            <w:listItem w:displayText="2024" w:value="2024"/>
            <w:listItem w:displayText="2025" w:value="2025"/>
          </w:dropDownList>
        </w:sdtPr>
        <w:sdtContent>
          <w:r w:rsidR="00F855C9" w:rsidRPr="00142FE5">
            <w:t>2024</w:t>
          </w:r>
        </w:sdtContent>
      </w:sdt>
    </w:p>
    <w:p w14:paraId="7B56EF2E" w14:textId="77777777" w:rsidR="0050064B" w:rsidRDefault="0050064B" w:rsidP="00943BDE"/>
    <w:p w14:paraId="5122A807" w14:textId="77777777" w:rsidR="00881E07" w:rsidRDefault="0050064B" w:rsidP="00881E07">
      <w:r w:rsidRPr="00F70F20">
        <w:rPr>
          <w:noProof/>
          <w:lang w:eastAsia="en-AU"/>
        </w:rPr>
        <w:drawing>
          <wp:inline distT="0" distB="0" distL="0" distR="0" wp14:anchorId="36A4AC76" wp14:editId="66790ED2">
            <wp:extent cx="1198800" cy="421200"/>
            <wp:effectExtent l="0" t="0" r="1905" b="0"/>
            <wp:docPr id="4" name="Picture 4" descr="untitl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untitled">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8800" cy="421200"/>
                    </a:xfrm>
                    <a:prstGeom prst="rect">
                      <a:avLst/>
                    </a:prstGeom>
                    <a:noFill/>
                  </pic:spPr>
                </pic:pic>
              </a:graphicData>
            </a:graphic>
          </wp:inline>
        </w:drawing>
      </w:r>
      <w:r w:rsidR="00881E07">
        <w:t xml:space="preserve"> </w:t>
      </w:r>
    </w:p>
    <w:p w14:paraId="3994F92C" w14:textId="635778FE" w:rsidR="00881E07" w:rsidRDefault="00881E07" w:rsidP="00881E07">
      <w:r>
        <w:t xml:space="preserve">This work, </w:t>
      </w:r>
      <w:sdt>
        <w:sdtPr>
          <w:alias w:val="Title"/>
          <w:tag w:val=""/>
          <w:id w:val="1731569904"/>
          <w:placeholder>
            <w:docPart w:val="B9DE4E6574DA49069C706AC679A5F08E"/>
          </w:placeholder>
          <w:dataBinding w:prefixMappings="xmlns:ns0='http://purl.org/dc/elements/1.1/' xmlns:ns1='http://schemas.openxmlformats.org/package/2006/metadata/core-properties' " w:xpath="/ns1:coreProperties[1]/ns0:title[1]" w:storeItemID="{6C3C8BC8-F283-45AE-878A-BAB7291924A1}"/>
          <w:text/>
        </w:sdtPr>
        <w:sdtContent>
          <w:r w:rsidR="004346EB">
            <w:t>Goulburn-Murray Water draft decision</w:t>
          </w:r>
        </w:sdtContent>
      </w:sdt>
      <w:r>
        <w:t>, is licensed under a Creative Commons Attribution 4.0 licence [creativecommons.org/licen</w:t>
      </w:r>
      <w:r w:rsidR="00563AD8">
        <w:t>ses/by/4.0]. You are free to re</w:t>
      </w:r>
      <w:r w:rsidR="000D6B4B">
        <w:noBreakHyphen/>
      </w:r>
      <w:r>
        <w:t>use the work under that licence, on the condition that you credit the Essential Services Commission as author, indicate if changes were made and comply with the other licence terms.</w:t>
      </w:r>
    </w:p>
    <w:p w14:paraId="2327E4A7" w14:textId="77777777" w:rsidR="00EA47A3" w:rsidRDefault="00881E07" w:rsidP="00881E07">
      <w:r>
        <w:t>The licence does not apply to any brand logo, images or photographs within the publication.</w:t>
      </w:r>
    </w:p>
    <w:p w14:paraId="4C7BA213" w14:textId="77777777" w:rsidR="00717CCA" w:rsidRDefault="00717CCA" w:rsidP="00881E07"/>
    <w:p w14:paraId="3E0590B7" w14:textId="77777777" w:rsidR="00717CCA" w:rsidRDefault="00717CCA" w:rsidP="00881E07"/>
    <w:bookmarkEnd w:id="4" w:displacedByCustomXml="next"/>
    <w:sdt>
      <w:sdtPr>
        <w:id w:val="1641840776"/>
        <w:lock w:val="sdtContentLocked"/>
        <w:placeholder>
          <w:docPart w:val="7D23570527974AA099E9AC7114E4E31E"/>
        </w:placeholder>
        <w:showingPlcHdr/>
        <w:text/>
      </w:sdtPr>
      <w:sdtContent>
        <w:p w14:paraId="768D7FD7" w14:textId="77777777" w:rsidR="004309BF" w:rsidRDefault="004309BF" w:rsidP="004309BF">
          <w:r>
            <w:t xml:space="preserve">  </w:t>
          </w:r>
        </w:p>
      </w:sdtContent>
    </w:sdt>
    <w:p w14:paraId="53D1C362" w14:textId="77777777" w:rsidR="007A1132" w:rsidRDefault="007A1132" w:rsidP="00710792">
      <w:pPr>
        <w:pStyle w:val="Heading1"/>
        <w:sectPr w:rsidR="007A1132" w:rsidSect="00DB48F2">
          <w:headerReference w:type="default" r:id="rId19"/>
          <w:footerReference w:type="default" r:id="rId20"/>
          <w:type w:val="continuous"/>
          <w:pgSz w:w="11906" w:h="16838" w:code="9"/>
          <w:pgMar w:top="1134" w:right="1134" w:bottom="1134" w:left="1134" w:header="709" w:footer="692" w:gutter="0"/>
          <w:pgNumType w:fmt="lowerRoman"/>
          <w:cols w:space="708"/>
          <w:docGrid w:linePitch="360"/>
        </w:sectPr>
      </w:pPr>
      <w:bookmarkStart w:id="9" w:name="_Toc481138189"/>
      <w:bookmarkStart w:id="10" w:name="_Toc481138397"/>
    </w:p>
    <w:bookmarkEnd w:id="9"/>
    <w:bookmarkEnd w:id="10"/>
    <w:p w14:paraId="45584F22" w14:textId="77777777" w:rsidR="00A75100" w:rsidRDefault="00A75100">
      <w:pPr>
        <w:spacing w:before="0" w:line="259" w:lineRule="auto"/>
      </w:pPr>
      <w:r>
        <w:br w:type="page"/>
      </w:r>
    </w:p>
    <w:p w14:paraId="4A7437E1" w14:textId="68A709FB" w:rsidR="00C71D1F" w:rsidRDefault="00D3670C" w:rsidP="00067781">
      <w:pPr>
        <w:pStyle w:val="TOCHeading"/>
        <w:rPr>
          <w:rFonts w:eastAsiaTheme="minorEastAsia"/>
          <w:b/>
          <w:bCs/>
          <w:noProof/>
          <w:kern w:val="2"/>
          <w:lang w:eastAsia="en-AU"/>
          <w14:ligatures w14:val="standardContextual"/>
        </w:rPr>
      </w:pPr>
      <w:r w:rsidRPr="00394187">
        <w:rPr>
          <w:rStyle w:val="Hyperlink"/>
          <w:color w:val="CE0058" w:themeColor="accent2"/>
          <w:u w:val="none"/>
        </w:rPr>
        <w:lastRenderedPageBreak/>
        <w:t>Contents</w:t>
      </w:r>
      <w:r w:rsidR="00782E55">
        <w:rPr>
          <w:b/>
        </w:rPr>
        <w:fldChar w:fldCharType="begin"/>
      </w:r>
      <w:r w:rsidR="00782E55">
        <w:instrText xml:space="preserve"> TOC \h \z \t "Heading 1,1,Heading 2,3,Heading 3,5,Heading 1 numbered,2,Heading 2 numbered,4,Heading 3 numbered,6" </w:instrText>
      </w:r>
      <w:r w:rsidR="00782E55">
        <w:rPr>
          <w:b/>
        </w:rPr>
        <w:fldChar w:fldCharType="separate"/>
      </w:r>
    </w:p>
    <w:p w14:paraId="67908B74" w14:textId="79E34FEE" w:rsidR="00C71D1F" w:rsidRDefault="00000000" w:rsidP="009D67CC">
      <w:pPr>
        <w:pStyle w:val="TOC1"/>
        <w:rPr>
          <w:rFonts w:eastAsiaTheme="minorEastAsia"/>
          <w:noProof/>
          <w:kern w:val="2"/>
          <w:lang w:eastAsia="en-AU"/>
          <w14:ligatures w14:val="standardContextual"/>
        </w:rPr>
      </w:pPr>
      <w:hyperlink w:anchor="_Toc161400004" w:history="1">
        <w:r w:rsidR="00C71D1F" w:rsidRPr="00B44926">
          <w:rPr>
            <w:rStyle w:val="Hyperlink"/>
            <w:noProof/>
          </w:rPr>
          <w:t>Summary</w:t>
        </w:r>
        <w:r w:rsidR="00C71D1F">
          <w:rPr>
            <w:noProof/>
            <w:webHidden/>
          </w:rPr>
          <w:tab/>
        </w:r>
        <w:r w:rsidR="00C71D1F">
          <w:rPr>
            <w:noProof/>
            <w:webHidden/>
          </w:rPr>
          <w:fldChar w:fldCharType="begin"/>
        </w:r>
        <w:r w:rsidR="00C71D1F">
          <w:rPr>
            <w:noProof/>
            <w:webHidden/>
          </w:rPr>
          <w:instrText xml:space="preserve"> PAGEREF _Toc161400004 \h </w:instrText>
        </w:r>
        <w:r w:rsidR="00C71D1F">
          <w:rPr>
            <w:noProof/>
            <w:webHidden/>
          </w:rPr>
        </w:r>
        <w:r w:rsidR="00C71D1F">
          <w:rPr>
            <w:noProof/>
            <w:webHidden/>
          </w:rPr>
          <w:fldChar w:fldCharType="separate"/>
        </w:r>
        <w:r w:rsidR="00506A50">
          <w:rPr>
            <w:noProof/>
            <w:webHidden/>
          </w:rPr>
          <w:t>iv</w:t>
        </w:r>
        <w:r w:rsidR="00C71D1F">
          <w:rPr>
            <w:noProof/>
            <w:webHidden/>
          </w:rPr>
          <w:fldChar w:fldCharType="end"/>
        </w:r>
      </w:hyperlink>
    </w:p>
    <w:p w14:paraId="66A8BDAE" w14:textId="0BA9430C" w:rsidR="00C71D1F" w:rsidRDefault="00000000" w:rsidP="009D67CC">
      <w:pPr>
        <w:pStyle w:val="TOC1"/>
        <w:rPr>
          <w:rFonts w:eastAsiaTheme="minorEastAsia"/>
          <w:noProof/>
          <w:kern w:val="2"/>
          <w:lang w:eastAsia="en-AU"/>
          <w14:ligatures w14:val="standardContextual"/>
        </w:rPr>
      </w:pPr>
      <w:hyperlink w:anchor="_Toc161400013" w:history="1">
        <w:r w:rsidR="00C71D1F" w:rsidRPr="00B44926">
          <w:rPr>
            <w:rStyle w:val="Hyperlink"/>
            <w:noProof/>
          </w:rPr>
          <w:t>1.</w:t>
        </w:r>
        <w:r w:rsidR="00C71D1F">
          <w:rPr>
            <w:rFonts w:eastAsiaTheme="minorEastAsia"/>
            <w:noProof/>
            <w:kern w:val="2"/>
            <w:lang w:eastAsia="en-AU"/>
            <w14:ligatures w14:val="standardContextual"/>
          </w:rPr>
          <w:tab/>
        </w:r>
        <w:r w:rsidR="00C71D1F" w:rsidRPr="00B44926">
          <w:rPr>
            <w:rStyle w:val="Hyperlink"/>
            <w:noProof/>
          </w:rPr>
          <w:t>Our role and approach to water pricing</w:t>
        </w:r>
        <w:r w:rsidR="00C71D1F">
          <w:rPr>
            <w:noProof/>
            <w:webHidden/>
          </w:rPr>
          <w:tab/>
        </w:r>
        <w:r w:rsidR="00C71D1F">
          <w:rPr>
            <w:noProof/>
            <w:webHidden/>
          </w:rPr>
          <w:fldChar w:fldCharType="begin"/>
        </w:r>
        <w:r w:rsidR="00C71D1F">
          <w:rPr>
            <w:noProof/>
            <w:webHidden/>
          </w:rPr>
          <w:instrText xml:space="preserve"> PAGEREF _Toc161400013 \h </w:instrText>
        </w:r>
        <w:r w:rsidR="00C71D1F">
          <w:rPr>
            <w:noProof/>
            <w:webHidden/>
          </w:rPr>
        </w:r>
        <w:r w:rsidR="00C71D1F">
          <w:rPr>
            <w:noProof/>
            <w:webHidden/>
          </w:rPr>
          <w:fldChar w:fldCharType="separate"/>
        </w:r>
        <w:r w:rsidR="00506A50">
          <w:rPr>
            <w:noProof/>
            <w:webHidden/>
          </w:rPr>
          <w:t>1</w:t>
        </w:r>
        <w:r w:rsidR="00C71D1F">
          <w:rPr>
            <w:noProof/>
            <w:webHidden/>
          </w:rPr>
          <w:fldChar w:fldCharType="end"/>
        </w:r>
      </w:hyperlink>
    </w:p>
    <w:p w14:paraId="7281A256" w14:textId="31CA1FDD" w:rsidR="00C71D1F" w:rsidRDefault="00000000" w:rsidP="004A1702">
      <w:pPr>
        <w:pStyle w:val="TOC3"/>
        <w:rPr>
          <w:rFonts w:eastAsiaTheme="minorEastAsia"/>
          <w:kern w:val="2"/>
          <w:lang w:eastAsia="en-AU"/>
          <w14:ligatures w14:val="standardContextual"/>
        </w:rPr>
      </w:pPr>
      <w:hyperlink w:anchor="_Toc161400014" w:history="1">
        <w:r w:rsidR="00C71D1F" w:rsidRPr="00B44926">
          <w:rPr>
            <w:rStyle w:val="Hyperlink"/>
          </w:rPr>
          <w:t>1.1</w:t>
        </w:r>
        <w:r w:rsidR="00C71D1F">
          <w:rPr>
            <w:rFonts w:eastAsiaTheme="minorEastAsia"/>
            <w:kern w:val="2"/>
            <w:lang w:eastAsia="en-AU"/>
            <w14:ligatures w14:val="standardContextual"/>
          </w:rPr>
          <w:tab/>
        </w:r>
        <w:r w:rsidR="00C71D1F" w:rsidRPr="00B44926">
          <w:rPr>
            <w:rStyle w:val="Hyperlink"/>
          </w:rPr>
          <w:t>We are Victoria’s independent economic regulator</w:t>
        </w:r>
        <w:r w:rsidR="00C71D1F">
          <w:rPr>
            <w:webHidden/>
          </w:rPr>
          <w:tab/>
        </w:r>
        <w:r w:rsidR="00C71D1F">
          <w:rPr>
            <w:webHidden/>
          </w:rPr>
          <w:fldChar w:fldCharType="begin"/>
        </w:r>
        <w:r w:rsidR="00C71D1F">
          <w:rPr>
            <w:webHidden/>
          </w:rPr>
          <w:instrText xml:space="preserve"> PAGEREF _Toc161400014 \h </w:instrText>
        </w:r>
        <w:r w:rsidR="00C71D1F">
          <w:rPr>
            <w:webHidden/>
          </w:rPr>
        </w:r>
        <w:r w:rsidR="00C71D1F">
          <w:rPr>
            <w:webHidden/>
          </w:rPr>
          <w:fldChar w:fldCharType="separate"/>
        </w:r>
        <w:r w:rsidR="00506A50">
          <w:rPr>
            <w:webHidden/>
          </w:rPr>
          <w:t>1</w:t>
        </w:r>
        <w:r w:rsidR="00C71D1F">
          <w:rPr>
            <w:webHidden/>
          </w:rPr>
          <w:fldChar w:fldCharType="end"/>
        </w:r>
      </w:hyperlink>
    </w:p>
    <w:p w14:paraId="723DAD2F" w14:textId="3D751FF4" w:rsidR="00C71D1F" w:rsidRDefault="00000000" w:rsidP="004A1702">
      <w:pPr>
        <w:pStyle w:val="TOC3"/>
        <w:rPr>
          <w:rFonts w:eastAsiaTheme="minorEastAsia"/>
          <w:kern w:val="2"/>
          <w:lang w:eastAsia="en-AU"/>
          <w14:ligatures w14:val="standardContextual"/>
        </w:rPr>
      </w:pPr>
      <w:hyperlink w:anchor="_Toc161400015" w:history="1">
        <w:r w:rsidR="00C71D1F" w:rsidRPr="00B44926">
          <w:rPr>
            <w:rStyle w:val="Hyperlink"/>
          </w:rPr>
          <w:t>1.2</w:t>
        </w:r>
        <w:r w:rsidR="00C71D1F">
          <w:rPr>
            <w:rFonts w:eastAsiaTheme="minorEastAsia"/>
            <w:kern w:val="2"/>
            <w:lang w:eastAsia="en-AU"/>
            <w14:ligatures w14:val="standardContextual"/>
          </w:rPr>
          <w:tab/>
        </w:r>
        <w:r w:rsidR="00C71D1F" w:rsidRPr="00B44926">
          <w:rPr>
            <w:rStyle w:val="Hyperlink"/>
          </w:rPr>
          <w:t>We are reviewing the proposed prices of Goulburn-Murray Water</w:t>
        </w:r>
        <w:r w:rsidR="00C71D1F">
          <w:rPr>
            <w:webHidden/>
          </w:rPr>
          <w:tab/>
        </w:r>
        <w:r w:rsidR="00C71D1F">
          <w:rPr>
            <w:webHidden/>
          </w:rPr>
          <w:fldChar w:fldCharType="begin"/>
        </w:r>
        <w:r w:rsidR="00C71D1F">
          <w:rPr>
            <w:webHidden/>
          </w:rPr>
          <w:instrText xml:space="preserve"> PAGEREF _Toc161400015 \h </w:instrText>
        </w:r>
        <w:r w:rsidR="00C71D1F">
          <w:rPr>
            <w:webHidden/>
          </w:rPr>
        </w:r>
        <w:r w:rsidR="00C71D1F">
          <w:rPr>
            <w:webHidden/>
          </w:rPr>
          <w:fldChar w:fldCharType="separate"/>
        </w:r>
        <w:r w:rsidR="00506A50">
          <w:rPr>
            <w:webHidden/>
          </w:rPr>
          <w:t>1</w:t>
        </w:r>
        <w:r w:rsidR="00C71D1F">
          <w:rPr>
            <w:webHidden/>
          </w:rPr>
          <w:fldChar w:fldCharType="end"/>
        </w:r>
      </w:hyperlink>
    </w:p>
    <w:p w14:paraId="4329CC4D" w14:textId="2D78C468" w:rsidR="00C71D1F" w:rsidRDefault="00000000" w:rsidP="004A1702">
      <w:pPr>
        <w:pStyle w:val="TOC3"/>
        <w:rPr>
          <w:rFonts w:eastAsiaTheme="minorEastAsia"/>
          <w:kern w:val="2"/>
          <w:lang w:eastAsia="en-AU"/>
          <w14:ligatures w14:val="standardContextual"/>
        </w:rPr>
      </w:pPr>
      <w:hyperlink w:anchor="_Toc161400016" w:history="1">
        <w:r w:rsidR="00C71D1F" w:rsidRPr="00B44926">
          <w:rPr>
            <w:rStyle w:val="Hyperlink"/>
          </w:rPr>
          <w:t>1.3</w:t>
        </w:r>
        <w:r w:rsidR="00C71D1F">
          <w:rPr>
            <w:rFonts w:eastAsiaTheme="minorEastAsia"/>
            <w:kern w:val="2"/>
            <w:lang w:eastAsia="en-AU"/>
            <w14:ligatures w14:val="standardContextual"/>
          </w:rPr>
          <w:tab/>
        </w:r>
        <w:r w:rsidR="00C71D1F" w:rsidRPr="00B44926">
          <w:rPr>
            <w:rStyle w:val="Hyperlink"/>
          </w:rPr>
          <w:t>We assess prices against the WIRO and other legal requirements</w:t>
        </w:r>
        <w:r w:rsidR="00C71D1F">
          <w:rPr>
            <w:webHidden/>
          </w:rPr>
          <w:tab/>
        </w:r>
        <w:r w:rsidR="00C71D1F">
          <w:rPr>
            <w:webHidden/>
          </w:rPr>
          <w:fldChar w:fldCharType="begin"/>
        </w:r>
        <w:r w:rsidR="00C71D1F">
          <w:rPr>
            <w:webHidden/>
          </w:rPr>
          <w:instrText xml:space="preserve"> PAGEREF _Toc161400016 \h </w:instrText>
        </w:r>
        <w:r w:rsidR="00C71D1F">
          <w:rPr>
            <w:webHidden/>
          </w:rPr>
        </w:r>
        <w:r w:rsidR="00C71D1F">
          <w:rPr>
            <w:webHidden/>
          </w:rPr>
          <w:fldChar w:fldCharType="separate"/>
        </w:r>
        <w:r w:rsidR="00506A50">
          <w:rPr>
            <w:webHidden/>
          </w:rPr>
          <w:t>1</w:t>
        </w:r>
        <w:r w:rsidR="00C71D1F">
          <w:rPr>
            <w:webHidden/>
          </w:rPr>
          <w:fldChar w:fldCharType="end"/>
        </w:r>
      </w:hyperlink>
    </w:p>
    <w:p w14:paraId="358F72ED" w14:textId="431777DA" w:rsidR="00C71D1F" w:rsidRDefault="00000000" w:rsidP="004A1702">
      <w:pPr>
        <w:pStyle w:val="TOC3"/>
        <w:rPr>
          <w:rFonts w:eastAsiaTheme="minorEastAsia"/>
          <w:kern w:val="2"/>
          <w:lang w:eastAsia="en-AU"/>
          <w14:ligatures w14:val="standardContextual"/>
        </w:rPr>
      </w:pPr>
      <w:hyperlink w:anchor="_Toc161400017" w:history="1">
        <w:r w:rsidR="00C71D1F" w:rsidRPr="00B44926">
          <w:rPr>
            <w:rStyle w:val="Hyperlink"/>
          </w:rPr>
          <w:t>1.4</w:t>
        </w:r>
        <w:r w:rsidR="00C71D1F">
          <w:rPr>
            <w:rFonts w:eastAsiaTheme="minorEastAsia"/>
            <w:kern w:val="2"/>
            <w:lang w:eastAsia="en-AU"/>
            <w14:ligatures w14:val="standardContextual"/>
          </w:rPr>
          <w:tab/>
        </w:r>
        <w:r w:rsidR="00C71D1F" w:rsidRPr="00B44926">
          <w:rPr>
            <w:rStyle w:val="Hyperlink"/>
          </w:rPr>
          <w:t>PREMO</w:t>
        </w:r>
        <w:r w:rsidR="00C71D1F">
          <w:rPr>
            <w:webHidden/>
          </w:rPr>
          <w:tab/>
        </w:r>
        <w:r w:rsidR="00C71D1F">
          <w:rPr>
            <w:webHidden/>
          </w:rPr>
          <w:fldChar w:fldCharType="begin"/>
        </w:r>
        <w:r w:rsidR="00C71D1F">
          <w:rPr>
            <w:webHidden/>
          </w:rPr>
          <w:instrText xml:space="preserve"> PAGEREF _Toc161400017 \h </w:instrText>
        </w:r>
        <w:r w:rsidR="00C71D1F">
          <w:rPr>
            <w:webHidden/>
          </w:rPr>
        </w:r>
        <w:r w:rsidR="00C71D1F">
          <w:rPr>
            <w:webHidden/>
          </w:rPr>
          <w:fldChar w:fldCharType="separate"/>
        </w:r>
        <w:r w:rsidR="00506A50">
          <w:rPr>
            <w:webHidden/>
          </w:rPr>
          <w:t>5</w:t>
        </w:r>
        <w:r w:rsidR="00C71D1F">
          <w:rPr>
            <w:webHidden/>
          </w:rPr>
          <w:fldChar w:fldCharType="end"/>
        </w:r>
      </w:hyperlink>
    </w:p>
    <w:p w14:paraId="5B38B67A" w14:textId="043E3AB9" w:rsidR="00C71D1F" w:rsidRDefault="00000000" w:rsidP="009D67CC">
      <w:pPr>
        <w:pStyle w:val="TOC1"/>
        <w:rPr>
          <w:rFonts w:eastAsiaTheme="minorEastAsia"/>
          <w:noProof/>
          <w:kern w:val="2"/>
          <w:lang w:eastAsia="en-AU"/>
          <w14:ligatures w14:val="standardContextual"/>
        </w:rPr>
      </w:pPr>
      <w:hyperlink w:anchor="_Toc161400018" w:history="1">
        <w:r w:rsidR="00C71D1F" w:rsidRPr="00B44926">
          <w:rPr>
            <w:rStyle w:val="Hyperlink"/>
            <w:noProof/>
          </w:rPr>
          <w:t>2.</w:t>
        </w:r>
        <w:r w:rsidR="00C71D1F">
          <w:rPr>
            <w:rFonts w:eastAsiaTheme="minorEastAsia"/>
            <w:noProof/>
            <w:kern w:val="2"/>
            <w:lang w:eastAsia="en-AU"/>
            <w14:ligatures w14:val="standardContextual"/>
          </w:rPr>
          <w:tab/>
        </w:r>
        <w:r w:rsidR="00C71D1F" w:rsidRPr="00B44926">
          <w:rPr>
            <w:rStyle w:val="Hyperlink"/>
            <w:noProof/>
          </w:rPr>
          <w:t>Our assessment of Goulburn-Murray Water’s price submission</w:t>
        </w:r>
        <w:r w:rsidR="00C71D1F">
          <w:rPr>
            <w:noProof/>
            <w:webHidden/>
          </w:rPr>
          <w:tab/>
        </w:r>
        <w:r w:rsidR="00C71D1F">
          <w:rPr>
            <w:noProof/>
            <w:webHidden/>
          </w:rPr>
          <w:fldChar w:fldCharType="begin"/>
        </w:r>
        <w:r w:rsidR="00C71D1F">
          <w:rPr>
            <w:noProof/>
            <w:webHidden/>
          </w:rPr>
          <w:instrText xml:space="preserve"> PAGEREF _Toc161400018 \h </w:instrText>
        </w:r>
        <w:r w:rsidR="00C71D1F">
          <w:rPr>
            <w:noProof/>
            <w:webHidden/>
          </w:rPr>
        </w:r>
        <w:r w:rsidR="00C71D1F">
          <w:rPr>
            <w:noProof/>
            <w:webHidden/>
          </w:rPr>
          <w:fldChar w:fldCharType="separate"/>
        </w:r>
        <w:r w:rsidR="00506A50">
          <w:rPr>
            <w:noProof/>
            <w:webHidden/>
          </w:rPr>
          <w:t>7</w:t>
        </w:r>
        <w:r w:rsidR="00C71D1F">
          <w:rPr>
            <w:noProof/>
            <w:webHidden/>
          </w:rPr>
          <w:fldChar w:fldCharType="end"/>
        </w:r>
      </w:hyperlink>
    </w:p>
    <w:p w14:paraId="29BD51FE" w14:textId="0515CB0B" w:rsidR="00C71D1F" w:rsidRDefault="00000000" w:rsidP="004A1702">
      <w:pPr>
        <w:pStyle w:val="TOC3"/>
        <w:rPr>
          <w:rFonts w:eastAsiaTheme="minorEastAsia"/>
          <w:kern w:val="2"/>
          <w:lang w:eastAsia="en-AU"/>
          <w14:ligatures w14:val="standardContextual"/>
        </w:rPr>
      </w:pPr>
      <w:hyperlink w:anchor="_Toc161400019" w:history="1">
        <w:r w:rsidR="00C71D1F" w:rsidRPr="00B44926">
          <w:rPr>
            <w:rStyle w:val="Hyperlink"/>
          </w:rPr>
          <w:t>2.1</w:t>
        </w:r>
        <w:r w:rsidR="00C71D1F">
          <w:rPr>
            <w:rFonts w:eastAsiaTheme="minorEastAsia"/>
            <w:kern w:val="2"/>
            <w:lang w:eastAsia="en-AU"/>
            <w14:ligatures w14:val="standardContextual"/>
          </w:rPr>
          <w:tab/>
        </w:r>
        <w:r w:rsidR="00C71D1F" w:rsidRPr="00B44926">
          <w:rPr>
            <w:rStyle w:val="Hyperlink"/>
          </w:rPr>
          <w:t>Draft decision paper outline</w:t>
        </w:r>
        <w:r w:rsidR="00C71D1F">
          <w:rPr>
            <w:webHidden/>
          </w:rPr>
          <w:tab/>
        </w:r>
        <w:r w:rsidR="00C71D1F">
          <w:rPr>
            <w:webHidden/>
          </w:rPr>
          <w:fldChar w:fldCharType="begin"/>
        </w:r>
        <w:r w:rsidR="00C71D1F">
          <w:rPr>
            <w:webHidden/>
          </w:rPr>
          <w:instrText xml:space="preserve"> PAGEREF _Toc161400019 \h </w:instrText>
        </w:r>
        <w:r w:rsidR="00C71D1F">
          <w:rPr>
            <w:webHidden/>
          </w:rPr>
        </w:r>
        <w:r w:rsidR="00C71D1F">
          <w:rPr>
            <w:webHidden/>
          </w:rPr>
          <w:fldChar w:fldCharType="separate"/>
        </w:r>
        <w:r w:rsidR="00506A50">
          <w:rPr>
            <w:webHidden/>
          </w:rPr>
          <w:t>8</w:t>
        </w:r>
        <w:r w:rsidR="00C71D1F">
          <w:rPr>
            <w:webHidden/>
          </w:rPr>
          <w:fldChar w:fldCharType="end"/>
        </w:r>
      </w:hyperlink>
    </w:p>
    <w:p w14:paraId="5EFF57C9" w14:textId="198F76C1" w:rsidR="00C71D1F" w:rsidRDefault="00000000" w:rsidP="004A1702">
      <w:pPr>
        <w:pStyle w:val="TOC3"/>
        <w:rPr>
          <w:rFonts w:eastAsiaTheme="minorEastAsia"/>
          <w:kern w:val="2"/>
          <w:lang w:eastAsia="en-AU"/>
          <w14:ligatures w14:val="standardContextual"/>
        </w:rPr>
      </w:pPr>
      <w:hyperlink w:anchor="_Toc161400020" w:history="1">
        <w:r w:rsidR="00C71D1F" w:rsidRPr="00B44926">
          <w:rPr>
            <w:rStyle w:val="Hyperlink"/>
          </w:rPr>
          <w:t>2.2</w:t>
        </w:r>
        <w:r w:rsidR="00C71D1F">
          <w:rPr>
            <w:rFonts w:eastAsiaTheme="minorEastAsia"/>
            <w:kern w:val="2"/>
            <w:lang w:eastAsia="en-AU"/>
            <w14:ligatures w14:val="standardContextual"/>
          </w:rPr>
          <w:tab/>
        </w:r>
        <w:r w:rsidR="00C71D1F" w:rsidRPr="00B44926">
          <w:rPr>
            <w:rStyle w:val="Hyperlink"/>
          </w:rPr>
          <w:t>Regulatory period</w:t>
        </w:r>
        <w:r w:rsidR="00C71D1F">
          <w:rPr>
            <w:webHidden/>
          </w:rPr>
          <w:tab/>
        </w:r>
        <w:r w:rsidR="00C71D1F">
          <w:rPr>
            <w:webHidden/>
          </w:rPr>
          <w:fldChar w:fldCharType="begin"/>
        </w:r>
        <w:r w:rsidR="00C71D1F">
          <w:rPr>
            <w:webHidden/>
          </w:rPr>
          <w:instrText xml:space="preserve"> PAGEREF _Toc161400020 \h </w:instrText>
        </w:r>
        <w:r w:rsidR="00C71D1F">
          <w:rPr>
            <w:webHidden/>
          </w:rPr>
        </w:r>
        <w:r w:rsidR="00C71D1F">
          <w:rPr>
            <w:webHidden/>
          </w:rPr>
          <w:fldChar w:fldCharType="separate"/>
        </w:r>
        <w:r w:rsidR="00506A50">
          <w:rPr>
            <w:webHidden/>
          </w:rPr>
          <w:t>8</w:t>
        </w:r>
        <w:r w:rsidR="00C71D1F">
          <w:rPr>
            <w:webHidden/>
          </w:rPr>
          <w:fldChar w:fldCharType="end"/>
        </w:r>
      </w:hyperlink>
    </w:p>
    <w:p w14:paraId="04D7A40C" w14:textId="2DEB4C87" w:rsidR="00C71D1F" w:rsidRDefault="00000000" w:rsidP="009D67CC">
      <w:pPr>
        <w:pStyle w:val="TOC1"/>
        <w:rPr>
          <w:rFonts w:eastAsiaTheme="minorEastAsia"/>
          <w:noProof/>
          <w:kern w:val="2"/>
          <w:lang w:eastAsia="en-AU"/>
          <w14:ligatures w14:val="standardContextual"/>
        </w:rPr>
      </w:pPr>
      <w:hyperlink w:anchor="_Toc161400021" w:history="1">
        <w:r w:rsidR="00C71D1F" w:rsidRPr="00B44926">
          <w:rPr>
            <w:rStyle w:val="Hyperlink"/>
            <w:noProof/>
          </w:rPr>
          <w:t>3.</w:t>
        </w:r>
        <w:r w:rsidR="00C71D1F">
          <w:rPr>
            <w:rFonts w:eastAsiaTheme="minorEastAsia"/>
            <w:noProof/>
            <w:kern w:val="2"/>
            <w:lang w:eastAsia="en-AU"/>
            <w14:ligatures w14:val="standardContextual"/>
          </w:rPr>
          <w:tab/>
        </w:r>
        <w:r w:rsidR="00C71D1F" w:rsidRPr="00B44926">
          <w:rPr>
            <w:rStyle w:val="Hyperlink"/>
            <w:noProof/>
          </w:rPr>
          <w:t>Customer outcomes</w:t>
        </w:r>
        <w:r w:rsidR="00C71D1F">
          <w:rPr>
            <w:noProof/>
            <w:webHidden/>
          </w:rPr>
          <w:tab/>
        </w:r>
        <w:r w:rsidR="00C71D1F">
          <w:rPr>
            <w:noProof/>
            <w:webHidden/>
          </w:rPr>
          <w:fldChar w:fldCharType="begin"/>
        </w:r>
        <w:r w:rsidR="00C71D1F">
          <w:rPr>
            <w:noProof/>
            <w:webHidden/>
          </w:rPr>
          <w:instrText xml:space="preserve"> PAGEREF _Toc161400021 \h </w:instrText>
        </w:r>
        <w:r w:rsidR="00C71D1F">
          <w:rPr>
            <w:noProof/>
            <w:webHidden/>
          </w:rPr>
        </w:r>
        <w:r w:rsidR="00C71D1F">
          <w:rPr>
            <w:noProof/>
            <w:webHidden/>
          </w:rPr>
          <w:fldChar w:fldCharType="separate"/>
        </w:r>
        <w:r w:rsidR="00506A50">
          <w:rPr>
            <w:noProof/>
            <w:webHidden/>
          </w:rPr>
          <w:t>10</w:t>
        </w:r>
        <w:r w:rsidR="00C71D1F">
          <w:rPr>
            <w:noProof/>
            <w:webHidden/>
          </w:rPr>
          <w:fldChar w:fldCharType="end"/>
        </w:r>
      </w:hyperlink>
    </w:p>
    <w:p w14:paraId="5FBD14A8" w14:textId="554DFF12" w:rsidR="00C71D1F" w:rsidRDefault="00000000" w:rsidP="004A1702">
      <w:pPr>
        <w:pStyle w:val="TOC3"/>
        <w:rPr>
          <w:rFonts w:eastAsiaTheme="minorEastAsia"/>
          <w:kern w:val="2"/>
          <w:lang w:eastAsia="en-AU"/>
          <w14:ligatures w14:val="standardContextual"/>
        </w:rPr>
      </w:pPr>
      <w:hyperlink w:anchor="_Toc161400022" w:history="1">
        <w:r w:rsidR="00C71D1F" w:rsidRPr="00B44926">
          <w:rPr>
            <w:rStyle w:val="Hyperlink"/>
          </w:rPr>
          <w:t>3.1</w:t>
        </w:r>
        <w:r w:rsidR="00C71D1F">
          <w:rPr>
            <w:rFonts w:eastAsiaTheme="minorEastAsia"/>
            <w:kern w:val="2"/>
            <w:lang w:eastAsia="en-AU"/>
            <w14:ligatures w14:val="standardContextual"/>
          </w:rPr>
          <w:tab/>
        </w:r>
        <w:r w:rsidR="00C71D1F" w:rsidRPr="00B44926">
          <w:rPr>
            <w:rStyle w:val="Hyperlink"/>
          </w:rPr>
          <w:t>Customer engagement</w:t>
        </w:r>
        <w:r w:rsidR="00C71D1F">
          <w:rPr>
            <w:webHidden/>
          </w:rPr>
          <w:tab/>
        </w:r>
        <w:r w:rsidR="00C71D1F">
          <w:rPr>
            <w:webHidden/>
          </w:rPr>
          <w:fldChar w:fldCharType="begin"/>
        </w:r>
        <w:r w:rsidR="00C71D1F">
          <w:rPr>
            <w:webHidden/>
          </w:rPr>
          <w:instrText xml:space="preserve"> PAGEREF _Toc161400022 \h </w:instrText>
        </w:r>
        <w:r w:rsidR="00C71D1F">
          <w:rPr>
            <w:webHidden/>
          </w:rPr>
        </w:r>
        <w:r w:rsidR="00C71D1F">
          <w:rPr>
            <w:webHidden/>
          </w:rPr>
          <w:fldChar w:fldCharType="separate"/>
        </w:r>
        <w:r w:rsidR="00506A50">
          <w:rPr>
            <w:webHidden/>
          </w:rPr>
          <w:t>10</w:t>
        </w:r>
        <w:r w:rsidR="00C71D1F">
          <w:rPr>
            <w:webHidden/>
          </w:rPr>
          <w:fldChar w:fldCharType="end"/>
        </w:r>
      </w:hyperlink>
    </w:p>
    <w:p w14:paraId="73CE68FD" w14:textId="0EF26EF3" w:rsidR="00C71D1F" w:rsidRDefault="00000000" w:rsidP="004A1702">
      <w:pPr>
        <w:pStyle w:val="TOC3"/>
        <w:rPr>
          <w:rFonts w:eastAsiaTheme="minorEastAsia"/>
          <w:kern w:val="2"/>
          <w:lang w:eastAsia="en-AU"/>
          <w14:ligatures w14:val="standardContextual"/>
        </w:rPr>
      </w:pPr>
      <w:hyperlink w:anchor="_Toc161400023" w:history="1">
        <w:r w:rsidR="00C71D1F" w:rsidRPr="00B44926">
          <w:rPr>
            <w:rStyle w:val="Hyperlink"/>
          </w:rPr>
          <w:t>3.2</w:t>
        </w:r>
        <w:r w:rsidR="00C71D1F">
          <w:rPr>
            <w:rFonts w:eastAsiaTheme="minorEastAsia"/>
            <w:kern w:val="2"/>
            <w:lang w:eastAsia="en-AU"/>
            <w14:ligatures w14:val="standardContextual"/>
          </w:rPr>
          <w:tab/>
        </w:r>
        <w:r w:rsidR="00C71D1F" w:rsidRPr="00B44926">
          <w:rPr>
            <w:rStyle w:val="Hyperlink"/>
          </w:rPr>
          <w:t>Outcomes</w:t>
        </w:r>
        <w:r w:rsidR="00C71D1F">
          <w:rPr>
            <w:webHidden/>
          </w:rPr>
          <w:tab/>
        </w:r>
        <w:r w:rsidR="00C71D1F">
          <w:rPr>
            <w:webHidden/>
          </w:rPr>
          <w:fldChar w:fldCharType="begin"/>
        </w:r>
        <w:r w:rsidR="00C71D1F">
          <w:rPr>
            <w:webHidden/>
          </w:rPr>
          <w:instrText xml:space="preserve"> PAGEREF _Toc161400023 \h </w:instrText>
        </w:r>
        <w:r w:rsidR="00C71D1F">
          <w:rPr>
            <w:webHidden/>
          </w:rPr>
        </w:r>
        <w:r w:rsidR="00C71D1F">
          <w:rPr>
            <w:webHidden/>
          </w:rPr>
          <w:fldChar w:fldCharType="separate"/>
        </w:r>
        <w:r w:rsidR="00506A50">
          <w:rPr>
            <w:webHidden/>
          </w:rPr>
          <w:t>13</w:t>
        </w:r>
        <w:r w:rsidR="00C71D1F">
          <w:rPr>
            <w:webHidden/>
          </w:rPr>
          <w:fldChar w:fldCharType="end"/>
        </w:r>
      </w:hyperlink>
    </w:p>
    <w:p w14:paraId="1B55DB78" w14:textId="0EFD6EE0" w:rsidR="00C71D1F" w:rsidRDefault="00000000" w:rsidP="004A1702">
      <w:pPr>
        <w:pStyle w:val="TOC3"/>
        <w:rPr>
          <w:rFonts w:eastAsiaTheme="minorEastAsia"/>
          <w:kern w:val="2"/>
          <w:lang w:eastAsia="en-AU"/>
          <w14:ligatures w14:val="standardContextual"/>
        </w:rPr>
      </w:pPr>
      <w:hyperlink w:anchor="_Toc161400026" w:history="1">
        <w:r w:rsidR="00C71D1F" w:rsidRPr="00B44926">
          <w:rPr>
            <w:rStyle w:val="Hyperlink"/>
          </w:rPr>
          <w:t>3.3</w:t>
        </w:r>
        <w:r w:rsidR="00C71D1F">
          <w:rPr>
            <w:rFonts w:eastAsiaTheme="minorEastAsia"/>
            <w:kern w:val="2"/>
            <w:lang w:eastAsia="en-AU"/>
            <w14:ligatures w14:val="standardContextual"/>
          </w:rPr>
          <w:tab/>
        </w:r>
        <w:r w:rsidR="00C71D1F" w:rsidRPr="00B44926">
          <w:rPr>
            <w:rStyle w:val="Hyperlink"/>
          </w:rPr>
          <w:t>Service standards related to service reliability and faults</w:t>
        </w:r>
        <w:r w:rsidR="00C71D1F">
          <w:rPr>
            <w:webHidden/>
          </w:rPr>
          <w:tab/>
        </w:r>
        <w:r w:rsidR="00C71D1F">
          <w:rPr>
            <w:webHidden/>
          </w:rPr>
          <w:fldChar w:fldCharType="begin"/>
        </w:r>
        <w:r w:rsidR="00C71D1F">
          <w:rPr>
            <w:webHidden/>
          </w:rPr>
          <w:instrText xml:space="preserve"> PAGEREF _Toc161400026 \h </w:instrText>
        </w:r>
        <w:r w:rsidR="00C71D1F">
          <w:rPr>
            <w:webHidden/>
          </w:rPr>
        </w:r>
        <w:r w:rsidR="00C71D1F">
          <w:rPr>
            <w:webHidden/>
          </w:rPr>
          <w:fldChar w:fldCharType="separate"/>
        </w:r>
        <w:r w:rsidR="00506A50">
          <w:rPr>
            <w:webHidden/>
          </w:rPr>
          <w:t>15</w:t>
        </w:r>
        <w:r w:rsidR="00C71D1F">
          <w:rPr>
            <w:webHidden/>
          </w:rPr>
          <w:fldChar w:fldCharType="end"/>
        </w:r>
      </w:hyperlink>
    </w:p>
    <w:p w14:paraId="47D15A3E" w14:textId="4C61F68E" w:rsidR="00C71D1F" w:rsidRDefault="00000000" w:rsidP="004A1702">
      <w:pPr>
        <w:pStyle w:val="TOC3"/>
        <w:rPr>
          <w:rFonts w:eastAsiaTheme="minorEastAsia"/>
          <w:kern w:val="2"/>
          <w:lang w:eastAsia="en-AU"/>
          <w14:ligatures w14:val="standardContextual"/>
        </w:rPr>
      </w:pPr>
      <w:hyperlink w:anchor="_Toc161400027" w:history="1">
        <w:r w:rsidR="00C71D1F" w:rsidRPr="00B44926">
          <w:rPr>
            <w:rStyle w:val="Hyperlink"/>
          </w:rPr>
          <w:t>3.4</w:t>
        </w:r>
        <w:r w:rsidR="00C71D1F">
          <w:rPr>
            <w:rFonts w:eastAsiaTheme="minorEastAsia"/>
            <w:kern w:val="2"/>
            <w:lang w:eastAsia="en-AU"/>
            <w14:ligatures w14:val="standardContextual"/>
          </w:rPr>
          <w:tab/>
        </w:r>
        <w:r w:rsidR="00C71D1F" w:rsidRPr="00B44926">
          <w:rPr>
            <w:rStyle w:val="Hyperlink"/>
          </w:rPr>
          <w:t>Guaranteed service levels</w:t>
        </w:r>
        <w:r w:rsidR="00C71D1F">
          <w:rPr>
            <w:webHidden/>
          </w:rPr>
          <w:tab/>
        </w:r>
        <w:r w:rsidR="00C71D1F">
          <w:rPr>
            <w:webHidden/>
          </w:rPr>
          <w:fldChar w:fldCharType="begin"/>
        </w:r>
        <w:r w:rsidR="00C71D1F">
          <w:rPr>
            <w:webHidden/>
          </w:rPr>
          <w:instrText xml:space="preserve"> PAGEREF _Toc161400027 \h </w:instrText>
        </w:r>
        <w:r w:rsidR="00C71D1F">
          <w:rPr>
            <w:webHidden/>
          </w:rPr>
        </w:r>
        <w:r w:rsidR="00C71D1F">
          <w:rPr>
            <w:webHidden/>
          </w:rPr>
          <w:fldChar w:fldCharType="separate"/>
        </w:r>
        <w:r w:rsidR="00506A50">
          <w:rPr>
            <w:webHidden/>
          </w:rPr>
          <w:t>16</w:t>
        </w:r>
        <w:r w:rsidR="00C71D1F">
          <w:rPr>
            <w:webHidden/>
          </w:rPr>
          <w:fldChar w:fldCharType="end"/>
        </w:r>
      </w:hyperlink>
    </w:p>
    <w:p w14:paraId="457FD996" w14:textId="5BC097FA" w:rsidR="00C71D1F" w:rsidRDefault="00000000" w:rsidP="009D67CC">
      <w:pPr>
        <w:pStyle w:val="TOC1"/>
        <w:rPr>
          <w:rFonts w:eastAsiaTheme="minorEastAsia"/>
          <w:noProof/>
          <w:kern w:val="2"/>
          <w:lang w:eastAsia="en-AU"/>
          <w14:ligatures w14:val="standardContextual"/>
        </w:rPr>
      </w:pPr>
      <w:hyperlink w:anchor="_Toc161400028" w:history="1">
        <w:r w:rsidR="00C71D1F" w:rsidRPr="00B44926">
          <w:rPr>
            <w:rStyle w:val="Hyperlink"/>
            <w:noProof/>
          </w:rPr>
          <w:t>4.</w:t>
        </w:r>
        <w:r w:rsidR="00C71D1F">
          <w:rPr>
            <w:rFonts w:eastAsiaTheme="minorEastAsia"/>
            <w:noProof/>
            <w:kern w:val="2"/>
            <w:lang w:eastAsia="en-AU"/>
            <w14:ligatures w14:val="standardContextual"/>
          </w:rPr>
          <w:tab/>
        </w:r>
        <w:r w:rsidR="00C71D1F" w:rsidRPr="00B44926">
          <w:rPr>
            <w:rStyle w:val="Hyperlink"/>
            <w:noProof/>
          </w:rPr>
          <w:t>Revenue requirement</w:t>
        </w:r>
        <w:r w:rsidR="00C71D1F">
          <w:rPr>
            <w:noProof/>
            <w:webHidden/>
          </w:rPr>
          <w:tab/>
        </w:r>
        <w:r w:rsidR="00C71D1F">
          <w:rPr>
            <w:noProof/>
            <w:webHidden/>
          </w:rPr>
          <w:fldChar w:fldCharType="begin"/>
        </w:r>
        <w:r w:rsidR="00C71D1F">
          <w:rPr>
            <w:noProof/>
            <w:webHidden/>
          </w:rPr>
          <w:instrText xml:space="preserve"> PAGEREF _Toc161400028 \h </w:instrText>
        </w:r>
        <w:r w:rsidR="00C71D1F">
          <w:rPr>
            <w:noProof/>
            <w:webHidden/>
          </w:rPr>
        </w:r>
        <w:r w:rsidR="00C71D1F">
          <w:rPr>
            <w:noProof/>
            <w:webHidden/>
          </w:rPr>
          <w:fldChar w:fldCharType="separate"/>
        </w:r>
        <w:r w:rsidR="00506A50">
          <w:rPr>
            <w:noProof/>
            <w:webHidden/>
          </w:rPr>
          <w:t>17</w:t>
        </w:r>
        <w:r w:rsidR="00C71D1F">
          <w:rPr>
            <w:noProof/>
            <w:webHidden/>
          </w:rPr>
          <w:fldChar w:fldCharType="end"/>
        </w:r>
      </w:hyperlink>
    </w:p>
    <w:p w14:paraId="54CB19E5" w14:textId="5926AB3C" w:rsidR="00C71D1F" w:rsidRDefault="00000000" w:rsidP="004A1702">
      <w:pPr>
        <w:pStyle w:val="TOC3"/>
        <w:rPr>
          <w:rFonts w:eastAsiaTheme="minorEastAsia"/>
          <w:kern w:val="2"/>
          <w:lang w:eastAsia="en-AU"/>
          <w14:ligatures w14:val="standardContextual"/>
        </w:rPr>
      </w:pPr>
      <w:hyperlink w:anchor="_Toc161400029" w:history="1">
        <w:r w:rsidR="00C71D1F" w:rsidRPr="00B44926">
          <w:rPr>
            <w:rStyle w:val="Hyperlink"/>
          </w:rPr>
          <w:t>4.1</w:t>
        </w:r>
        <w:r w:rsidR="00C71D1F">
          <w:rPr>
            <w:rFonts w:eastAsiaTheme="minorEastAsia"/>
            <w:kern w:val="2"/>
            <w:lang w:eastAsia="en-AU"/>
            <w14:ligatures w14:val="standardContextual"/>
          </w:rPr>
          <w:tab/>
        </w:r>
        <w:r w:rsidR="00C71D1F" w:rsidRPr="00B44926">
          <w:rPr>
            <w:rStyle w:val="Hyperlink"/>
          </w:rPr>
          <w:t>Operating expenditure</w:t>
        </w:r>
        <w:r w:rsidR="00C71D1F">
          <w:rPr>
            <w:webHidden/>
          </w:rPr>
          <w:tab/>
        </w:r>
        <w:r w:rsidR="00C71D1F">
          <w:rPr>
            <w:webHidden/>
          </w:rPr>
          <w:fldChar w:fldCharType="begin"/>
        </w:r>
        <w:r w:rsidR="00C71D1F">
          <w:rPr>
            <w:webHidden/>
          </w:rPr>
          <w:instrText xml:space="preserve"> PAGEREF _Toc161400029 \h </w:instrText>
        </w:r>
        <w:r w:rsidR="00C71D1F">
          <w:rPr>
            <w:webHidden/>
          </w:rPr>
        </w:r>
        <w:r w:rsidR="00C71D1F">
          <w:rPr>
            <w:webHidden/>
          </w:rPr>
          <w:fldChar w:fldCharType="separate"/>
        </w:r>
        <w:r w:rsidR="00506A50">
          <w:rPr>
            <w:webHidden/>
          </w:rPr>
          <w:t>19</w:t>
        </w:r>
        <w:r w:rsidR="00C71D1F">
          <w:rPr>
            <w:webHidden/>
          </w:rPr>
          <w:fldChar w:fldCharType="end"/>
        </w:r>
      </w:hyperlink>
    </w:p>
    <w:p w14:paraId="1C15E87E" w14:textId="52B044D5" w:rsidR="00C71D1F" w:rsidRDefault="00000000" w:rsidP="004A1702">
      <w:pPr>
        <w:pStyle w:val="TOC3"/>
        <w:rPr>
          <w:rFonts w:eastAsiaTheme="minorEastAsia"/>
          <w:kern w:val="2"/>
          <w:lang w:eastAsia="en-AU"/>
          <w14:ligatures w14:val="standardContextual"/>
        </w:rPr>
      </w:pPr>
      <w:hyperlink w:anchor="_Toc161400032" w:history="1">
        <w:r w:rsidR="00C71D1F" w:rsidRPr="00B44926">
          <w:rPr>
            <w:rStyle w:val="Hyperlink"/>
          </w:rPr>
          <w:t xml:space="preserve">4.2 </w:t>
        </w:r>
        <w:r w:rsidR="00C71D1F">
          <w:rPr>
            <w:rFonts w:eastAsiaTheme="minorEastAsia"/>
            <w:kern w:val="2"/>
            <w:lang w:eastAsia="en-AU"/>
            <w14:ligatures w14:val="standardContextual"/>
          </w:rPr>
          <w:tab/>
        </w:r>
        <w:r w:rsidR="00C71D1F" w:rsidRPr="00B44926">
          <w:rPr>
            <w:rStyle w:val="Hyperlink"/>
          </w:rPr>
          <w:t>Capital expenditure</w:t>
        </w:r>
        <w:r w:rsidR="00C71D1F">
          <w:rPr>
            <w:webHidden/>
          </w:rPr>
          <w:tab/>
        </w:r>
        <w:r w:rsidR="00C71D1F">
          <w:rPr>
            <w:webHidden/>
          </w:rPr>
          <w:fldChar w:fldCharType="begin"/>
        </w:r>
        <w:r w:rsidR="00C71D1F">
          <w:rPr>
            <w:webHidden/>
          </w:rPr>
          <w:instrText xml:space="preserve"> PAGEREF _Toc161400032 \h </w:instrText>
        </w:r>
        <w:r w:rsidR="00C71D1F">
          <w:rPr>
            <w:webHidden/>
          </w:rPr>
        </w:r>
        <w:r w:rsidR="00C71D1F">
          <w:rPr>
            <w:webHidden/>
          </w:rPr>
          <w:fldChar w:fldCharType="separate"/>
        </w:r>
        <w:r w:rsidR="00506A50">
          <w:rPr>
            <w:webHidden/>
          </w:rPr>
          <w:t>25</w:t>
        </w:r>
        <w:r w:rsidR="00C71D1F">
          <w:rPr>
            <w:webHidden/>
          </w:rPr>
          <w:fldChar w:fldCharType="end"/>
        </w:r>
      </w:hyperlink>
    </w:p>
    <w:p w14:paraId="7A47CDF7" w14:textId="6A3BAA7F" w:rsidR="00C71D1F" w:rsidRDefault="00000000" w:rsidP="004A1702">
      <w:pPr>
        <w:pStyle w:val="TOC3"/>
        <w:rPr>
          <w:rFonts w:eastAsiaTheme="minorEastAsia"/>
          <w:kern w:val="2"/>
          <w:lang w:eastAsia="en-AU"/>
          <w14:ligatures w14:val="standardContextual"/>
        </w:rPr>
      </w:pPr>
      <w:hyperlink w:anchor="_Toc161400034" w:history="1">
        <w:r w:rsidR="00C71D1F" w:rsidRPr="00B44926">
          <w:rPr>
            <w:rStyle w:val="Hyperlink"/>
          </w:rPr>
          <w:t>4.3</w:t>
        </w:r>
        <w:r w:rsidR="00C71D1F">
          <w:rPr>
            <w:rFonts w:eastAsiaTheme="minorEastAsia"/>
            <w:kern w:val="2"/>
            <w:lang w:eastAsia="en-AU"/>
            <w14:ligatures w14:val="standardContextual"/>
          </w:rPr>
          <w:tab/>
        </w:r>
        <w:r w:rsidR="00C71D1F" w:rsidRPr="00B44926">
          <w:rPr>
            <w:rStyle w:val="Hyperlink"/>
          </w:rPr>
          <w:t>Regulatory asset base</w:t>
        </w:r>
        <w:r w:rsidR="00C71D1F">
          <w:rPr>
            <w:webHidden/>
          </w:rPr>
          <w:tab/>
        </w:r>
        <w:r w:rsidR="00C71D1F">
          <w:rPr>
            <w:webHidden/>
          </w:rPr>
          <w:fldChar w:fldCharType="begin"/>
        </w:r>
        <w:r w:rsidR="00C71D1F">
          <w:rPr>
            <w:webHidden/>
          </w:rPr>
          <w:instrText xml:space="preserve"> PAGEREF _Toc161400034 \h </w:instrText>
        </w:r>
        <w:r w:rsidR="00C71D1F">
          <w:rPr>
            <w:webHidden/>
          </w:rPr>
        </w:r>
        <w:r w:rsidR="00C71D1F">
          <w:rPr>
            <w:webHidden/>
          </w:rPr>
          <w:fldChar w:fldCharType="separate"/>
        </w:r>
        <w:r w:rsidR="00506A50">
          <w:rPr>
            <w:webHidden/>
          </w:rPr>
          <w:t>28</w:t>
        </w:r>
        <w:r w:rsidR="00C71D1F">
          <w:rPr>
            <w:webHidden/>
          </w:rPr>
          <w:fldChar w:fldCharType="end"/>
        </w:r>
      </w:hyperlink>
    </w:p>
    <w:p w14:paraId="3B7E7066" w14:textId="7FBD9A80" w:rsidR="00C71D1F" w:rsidRDefault="00000000" w:rsidP="004A1702">
      <w:pPr>
        <w:pStyle w:val="TOC3"/>
        <w:rPr>
          <w:rFonts w:eastAsiaTheme="minorEastAsia"/>
          <w:kern w:val="2"/>
          <w:lang w:eastAsia="en-AU"/>
          <w14:ligatures w14:val="standardContextual"/>
        </w:rPr>
      </w:pPr>
      <w:hyperlink w:anchor="_Toc161400037" w:history="1">
        <w:r w:rsidR="00C71D1F" w:rsidRPr="00B44926">
          <w:rPr>
            <w:rStyle w:val="Hyperlink"/>
          </w:rPr>
          <w:t xml:space="preserve">4.4 </w:t>
        </w:r>
        <w:r w:rsidR="00C71D1F">
          <w:rPr>
            <w:rFonts w:eastAsiaTheme="minorEastAsia"/>
            <w:kern w:val="2"/>
            <w:lang w:eastAsia="en-AU"/>
            <w14:ligatures w14:val="standardContextual"/>
          </w:rPr>
          <w:tab/>
        </w:r>
        <w:r w:rsidR="00C71D1F" w:rsidRPr="00B44926">
          <w:rPr>
            <w:rStyle w:val="Hyperlink"/>
          </w:rPr>
          <w:t>Rate of return</w:t>
        </w:r>
        <w:r w:rsidR="00C71D1F">
          <w:rPr>
            <w:webHidden/>
          </w:rPr>
          <w:tab/>
        </w:r>
        <w:r w:rsidR="00C71D1F">
          <w:rPr>
            <w:webHidden/>
          </w:rPr>
          <w:fldChar w:fldCharType="begin"/>
        </w:r>
        <w:r w:rsidR="00C71D1F">
          <w:rPr>
            <w:webHidden/>
          </w:rPr>
          <w:instrText xml:space="preserve"> PAGEREF _Toc161400037 \h </w:instrText>
        </w:r>
        <w:r w:rsidR="00C71D1F">
          <w:rPr>
            <w:webHidden/>
          </w:rPr>
        </w:r>
        <w:r w:rsidR="00C71D1F">
          <w:rPr>
            <w:webHidden/>
          </w:rPr>
          <w:fldChar w:fldCharType="separate"/>
        </w:r>
        <w:r w:rsidR="00506A50">
          <w:rPr>
            <w:webHidden/>
          </w:rPr>
          <w:t>32</w:t>
        </w:r>
        <w:r w:rsidR="00C71D1F">
          <w:rPr>
            <w:webHidden/>
          </w:rPr>
          <w:fldChar w:fldCharType="end"/>
        </w:r>
      </w:hyperlink>
    </w:p>
    <w:p w14:paraId="09C3B3A7" w14:textId="6AC3598C" w:rsidR="00C71D1F" w:rsidRDefault="00000000" w:rsidP="004A1702">
      <w:pPr>
        <w:pStyle w:val="TOC3"/>
        <w:rPr>
          <w:rFonts w:eastAsiaTheme="minorEastAsia"/>
          <w:kern w:val="2"/>
          <w:lang w:eastAsia="en-AU"/>
          <w14:ligatures w14:val="standardContextual"/>
        </w:rPr>
      </w:pPr>
      <w:hyperlink w:anchor="_Toc161400040" w:history="1">
        <w:r w:rsidR="00C71D1F" w:rsidRPr="00B44926">
          <w:rPr>
            <w:rStyle w:val="Hyperlink"/>
          </w:rPr>
          <w:t>4.5</w:t>
        </w:r>
        <w:r w:rsidR="00C71D1F">
          <w:rPr>
            <w:rFonts w:eastAsiaTheme="minorEastAsia"/>
            <w:kern w:val="2"/>
            <w:lang w:eastAsia="en-AU"/>
            <w14:ligatures w14:val="standardContextual"/>
          </w:rPr>
          <w:tab/>
        </w:r>
        <w:r w:rsidR="00C71D1F" w:rsidRPr="00B44926">
          <w:rPr>
            <w:rStyle w:val="Hyperlink"/>
          </w:rPr>
          <w:t>Regulatory depreciation</w:t>
        </w:r>
        <w:r w:rsidR="00C71D1F">
          <w:rPr>
            <w:webHidden/>
          </w:rPr>
          <w:tab/>
        </w:r>
        <w:r w:rsidR="00C71D1F">
          <w:rPr>
            <w:webHidden/>
          </w:rPr>
          <w:fldChar w:fldCharType="begin"/>
        </w:r>
        <w:r w:rsidR="00C71D1F">
          <w:rPr>
            <w:webHidden/>
          </w:rPr>
          <w:instrText xml:space="preserve"> PAGEREF _Toc161400040 \h </w:instrText>
        </w:r>
        <w:r w:rsidR="00C71D1F">
          <w:rPr>
            <w:webHidden/>
          </w:rPr>
        </w:r>
        <w:r w:rsidR="00C71D1F">
          <w:rPr>
            <w:webHidden/>
          </w:rPr>
          <w:fldChar w:fldCharType="separate"/>
        </w:r>
        <w:r w:rsidR="00506A50">
          <w:rPr>
            <w:webHidden/>
          </w:rPr>
          <w:t>34</w:t>
        </w:r>
        <w:r w:rsidR="00C71D1F">
          <w:rPr>
            <w:webHidden/>
          </w:rPr>
          <w:fldChar w:fldCharType="end"/>
        </w:r>
      </w:hyperlink>
    </w:p>
    <w:p w14:paraId="33CFB861" w14:textId="72388494" w:rsidR="00C71D1F" w:rsidRDefault="00000000" w:rsidP="004A1702">
      <w:pPr>
        <w:pStyle w:val="TOC3"/>
        <w:rPr>
          <w:rFonts w:eastAsiaTheme="minorEastAsia"/>
          <w:kern w:val="2"/>
          <w:lang w:eastAsia="en-AU"/>
          <w14:ligatures w14:val="standardContextual"/>
        </w:rPr>
      </w:pPr>
      <w:hyperlink w:anchor="_Toc161400041" w:history="1">
        <w:r w:rsidR="00C71D1F" w:rsidRPr="00B44926">
          <w:rPr>
            <w:rStyle w:val="Hyperlink"/>
          </w:rPr>
          <w:t>4.6</w:t>
        </w:r>
        <w:r w:rsidR="00C71D1F">
          <w:rPr>
            <w:rFonts w:eastAsiaTheme="minorEastAsia"/>
            <w:kern w:val="2"/>
            <w:lang w:eastAsia="en-AU"/>
            <w14:ligatures w14:val="standardContextual"/>
          </w:rPr>
          <w:tab/>
        </w:r>
        <w:r w:rsidR="00C71D1F" w:rsidRPr="00B44926">
          <w:rPr>
            <w:rStyle w:val="Hyperlink"/>
          </w:rPr>
          <w:t>Tax allowance</w:t>
        </w:r>
        <w:r w:rsidR="00C71D1F">
          <w:rPr>
            <w:webHidden/>
          </w:rPr>
          <w:tab/>
        </w:r>
        <w:r w:rsidR="00C71D1F">
          <w:rPr>
            <w:webHidden/>
          </w:rPr>
          <w:fldChar w:fldCharType="begin"/>
        </w:r>
        <w:r w:rsidR="00C71D1F">
          <w:rPr>
            <w:webHidden/>
          </w:rPr>
          <w:instrText xml:space="preserve"> PAGEREF _Toc161400041 \h </w:instrText>
        </w:r>
        <w:r w:rsidR="00C71D1F">
          <w:rPr>
            <w:webHidden/>
          </w:rPr>
        </w:r>
        <w:r w:rsidR="00C71D1F">
          <w:rPr>
            <w:webHidden/>
          </w:rPr>
          <w:fldChar w:fldCharType="separate"/>
        </w:r>
        <w:r w:rsidR="00506A50">
          <w:rPr>
            <w:webHidden/>
          </w:rPr>
          <w:t>34</w:t>
        </w:r>
        <w:r w:rsidR="00C71D1F">
          <w:rPr>
            <w:webHidden/>
          </w:rPr>
          <w:fldChar w:fldCharType="end"/>
        </w:r>
      </w:hyperlink>
    </w:p>
    <w:p w14:paraId="42E1293F" w14:textId="1463CE4B" w:rsidR="00C71D1F" w:rsidRDefault="00000000" w:rsidP="009D67CC">
      <w:pPr>
        <w:pStyle w:val="TOC1"/>
        <w:rPr>
          <w:rFonts w:eastAsiaTheme="minorEastAsia"/>
          <w:noProof/>
          <w:kern w:val="2"/>
          <w:lang w:eastAsia="en-AU"/>
          <w14:ligatures w14:val="standardContextual"/>
        </w:rPr>
      </w:pPr>
      <w:hyperlink w:anchor="_Toc161400042" w:history="1">
        <w:r w:rsidR="00C71D1F" w:rsidRPr="00B44926">
          <w:rPr>
            <w:rStyle w:val="Hyperlink"/>
            <w:noProof/>
          </w:rPr>
          <w:t>5.</w:t>
        </w:r>
        <w:r w:rsidR="00C71D1F">
          <w:rPr>
            <w:rFonts w:eastAsiaTheme="minorEastAsia"/>
            <w:noProof/>
            <w:kern w:val="2"/>
            <w:lang w:eastAsia="en-AU"/>
            <w14:ligatures w14:val="standardContextual"/>
          </w:rPr>
          <w:tab/>
        </w:r>
        <w:r w:rsidR="00C71D1F" w:rsidRPr="00B44926">
          <w:rPr>
            <w:rStyle w:val="Hyperlink"/>
            <w:noProof/>
          </w:rPr>
          <w:t>Demand</w:t>
        </w:r>
        <w:r w:rsidR="00C71D1F">
          <w:rPr>
            <w:noProof/>
            <w:webHidden/>
          </w:rPr>
          <w:tab/>
        </w:r>
        <w:r w:rsidR="00C71D1F">
          <w:rPr>
            <w:noProof/>
            <w:webHidden/>
          </w:rPr>
          <w:fldChar w:fldCharType="begin"/>
        </w:r>
        <w:r w:rsidR="00C71D1F">
          <w:rPr>
            <w:noProof/>
            <w:webHidden/>
          </w:rPr>
          <w:instrText xml:space="preserve"> PAGEREF _Toc161400042 \h </w:instrText>
        </w:r>
        <w:r w:rsidR="00C71D1F">
          <w:rPr>
            <w:noProof/>
            <w:webHidden/>
          </w:rPr>
        </w:r>
        <w:r w:rsidR="00C71D1F">
          <w:rPr>
            <w:noProof/>
            <w:webHidden/>
          </w:rPr>
          <w:fldChar w:fldCharType="separate"/>
        </w:r>
        <w:r w:rsidR="00506A50">
          <w:rPr>
            <w:noProof/>
            <w:webHidden/>
          </w:rPr>
          <w:t>35</w:t>
        </w:r>
        <w:r w:rsidR="00C71D1F">
          <w:rPr>
            <w:noProof/>
            <w:webHidden/>
          </w:rPr>
          <w:fldChar w:fldCharType="end"/>
        </w:r>
      </w:hyperlink>
    </w:p>
    <w:p w14:paraId="52F81EB7" w14:textId="6596E5BD" w:rsidR="00C71D1F" w:rsidRDefault="00000000" w:rsidP="009D67CC">
      <w:pPr>
        <w:pStyle w:val="TOC1"/>
        <w:rPr>
          <w:rFonts w:eastAsiaTheme="minorEastAsia"/>
          <w:noProof/>
          <w:kern w:val="2"/>
          <w:lang w:eastAsia="en-AU"/>
          <w14:ligatures w14:val="standardContextual"/>
        </w:rPr>
      </w:pPr>
      <w:hyperlink w:anchor="_Toc161400043" w:history="1">
        <w:r w:rsidR="00C71D1F" w:rsidRPr="00B44926">
          <w:rPr>
            <w:rStyle w:val="Hyperlink"/>
            <w:noProof/>
          </w:rPr>
          <w:t>6.</w:t>
        </w:r>
        <w:r w:rsidR="00C71D1F">
          <w:rPr>
            <w:rFonts w:eastAsiaTheme="minorEastAsia"/>
            <w:noProof/>
            <w:kern w:val="2"/>
            <w:lang w:eastAsia="en-AU"/>
            <w14:ligatures w14:val="standardContextual"/>
          </w:rPr>
          <w:tab/>
        </w:r>
        <w:r w:rsidR="00C71D1F" w:rsidRPr="00B44926">
          <w:rPr>
            <w:rStyle w:val="Hyperlink"/>
            <w:noProof/>
          </w:rPr>
          <w:t>Form of price control</w:t>
        </w:r>
        <w:r w:rsidR="00C71D1F">
          <w:rPr>
            <w:noProof/>
            <w:webHidden/>
          </w:rPr>
          <w:tab/>
        </w:r>
        <w:r w:rsidR="00C71D1F">
          <w:rPr>
            <w:noProof/>
            <w:webHidden/>
          </w:rPr>
          <w:fldChar w:fldCharType="begin"/>
        </w:r>
        <w:r w:rsidR="00C71D1F">
          <w:rPr>
            <w:noProof/>
            <w:webHidden/>
          </w:rPr>
          <w:instrText xml:space="preserve"> PAGEREF _Toc161400043 \h </w:instrText>
        </w:r>
        <w:r w:rsidR="00C71D1F">
          <w:rPr>
            <w:noProof/>
            <w:webHidden/>
          </w:rPr>
        </w:r>
        <w:r w:rsidR="00C71D1F">
          <w:rPr>
            <w:noProof/>
            <w:webHidden/>
          </w:rPr>
          <w:fldChar w:fldCharType="separate"/>
        </w:r>
        <w:r w:rsidR="00506A50">
          <w:rPr>
            <w:noProof/>
            <w:webHidden/>
          </w:rPr>
          <w:t>36</w:t>
        </w:r>
        <w:r w:rsidR="00C71D1F">
          <w:rPr>
            <w:noProof/>
            <w:webHidden/>
          </w:rPr>
          <w:fldChar w:fldCharType="end"/>
        </w:r>
      </w:hyperlink>
    </w:p>
    <w:p w14:paraId="13BF419A" w14:textId="1BAC033A" w:rsidR="00C71D1F" w:rsidRDefault="00000000" w:rsidP="009D67CC">
      <w:pPr>
        <w:pStyle w:val="TOC1"/>
        <w:rPr>
          <w:rFonts w:eastAsiaTheme="minorEastAsia"/>
          <w:noProof/>
          <w:kern w:val="2"/>
          <w:lang w:eastAsia="en-AU"/>
          <w14:ligatures w14:val="standardContextual"/>
        </w:rPr>
      </w:pPr>
      <w:hyperlink w:anchor="_Toc161400044" w:history="1">
        <w:r w:rsidR="00C71D1F" w:rsidRPr="00B44926">
          <w:rPr>
            <w:rStyle w:val="Hyperlink"/>
            <w:noProof/>
          </w:rPr>
          <w:t>7.</w:t>
        </w:r>
        <w:r w:rsidR="00C71D1F">
          <w:rPr>
            <w:rFonts w:eastAsiaTheme="minorEastAsia"/>
            <w:noProof/>
            <w:kern w:val="2"/>
            <w:lang w:eastAsia="en-AU"/>
            <w14:ligatures w14:val="standardContextual"/>
          </w:rPr>
          <w:tab/>
        </w:r>
        <w:r w:rsidR="00C71D1F" w:rsidRPr="00B44926">
          <w:rPr>
            <w:rStyle w:val="Hyperlink"/>
            <w:noProof/>
          </w:rPr>
          <w:t>Irrigation and drainage tariffs</w:t>
        </w:r>
        <w:r w:rsidR="00C71D1F">
          <w:rPr>
            <w:noProof/>
            <w:webHidden/>
          </w:rPr>
          <w:tab/>
        </w:r>
        <w:r w:rsidR="00C71D1F">
          <w:rPr>
            <w:noProof/>
            <w:webHidden/>
          </w:rPr>
          <w:fldChar w:fldCharType="begin"/>
        </w:r>
        <w:r w:rsidR="00C71D1F">
          <w:rPr>
            <w:noProof/>
            <w:webHidden/>
          </w:rPr>
          <w:instrText xml:space="preserve"> PAGEREF _Toc161400044 \h </w:instrText>
        </w:r>
        <w:r w:rsidR="00C71D1F">
          <w:rPr>
            <w:noProof/>
            <w:webHidden/>
          </w:rPr>
        </w:r>
        <w:r w:rsidR="00C71D1F">
          <w:rPr>
            <w:noProof/>
            <w:webHidden/>
          </w:rPr>
          <w:fldChar w:fldCharType="separate"/>
        </w:r>
        <w:r w:rsidR="00506A50">
          <w:rPr>
            <w:noProof/>
            <w:webHidden/>
          </w:rPr>
          <w:t>37</w:t>
        </w:r>
        <w:r w:rsidR="00C71D1F">
          <w:rPr>
            <w:noProof/>
            <w:webHidden/>
          </w:rPr>
          <w:fldChar w:fldCharType="end"/>
        </w:r>
      </w:hyperlink>
    </w:p>
    <w:p w14:paraId="2B4472BC" w14:textId="1449786E" w:rsidR="00C71D1F" w:rsidRDefault="00000000" w:rsidP="004A1702">
      <w:pPr>
        <w:pStyle w:val="TOC3"/>
        <w:rPr>
          <w:rFonts w:eastAsiaTheme="minorEastAsia"/>
          <w:kern w:val="2"/>
          <w:lang w:eastAsia="en-AU"/>
          <w14:ligatures w14:val="standardContextual"/>
        </w:rPr>
      </w:pPr>
      <w:hyperlink w:anchor="_Toc161400045" w:history="1">
        <w:r w:rsidR="00C71D1F" w:rsidRPr="00B44926">
          <w:rPr>
            <w:rStyle w:val="Hyperlink"/>
          </w:rPr>
          <w:t>7.1</w:t>
        </w:r>
        <w:r w:rsidR="00083E7C">
          <w:rPr>
            <w:rFonts w:eastAsiaTheme="minorEastAsia"/>
            <w:kern w:val="2"/>
            <w:lang w:eastAsia="en-AU"/>
            <w14:ligatures w14:val="standardContextual"/>
          </w:rPr>
          <w:t xml:space="preserve"> </w:t>
        </w:r>
        <w:r w:rsidR="00C71D1F" w:rsidRPr="00B44926">
          <w:rPr>
            <w:rStyle w:val="Hyperlink"/>
          </w:rPr>
          <w:t>Tariff structures</w:t>
        </w:r>
        <w:r w:rsidR="00C71D1F">
          <w:rPr>
            <w:webHidden/>
          </w:rPr>
          <w:tab/>
        </w:r>
        <w:r w:rsidR="00C71D1F">
          <w:rPr>
            <w:webHidden/>
          </w:rPr>
          <w:fldChar w:fldCharType="begin"/>
        </w:r>
        <w:r w:rsidR="00C71D1F">
          <w:rPr>
            <w:webHidden/>
          </w:rPr>
          <w:instrText xml:space="preserve"> PAGEREF _Toc161400045 \h </w:instrText>
        </w:r>
        <w:r w:rsidR="00C71D1F">
          <w:rPr>
            <w:webHidden/>
          </w:rPr>
        </w:r>
        <w:r w:rsidR="00C71D1F">
          <w:rPr>
            <w:webHidden/>
          </w:rPr>
          <w:fldChar w:fldCharType="separate"/>
        </w:r>
        <w:r w:rsidR="00506A50">
          <w:rPr>
            <w:webHidden/>
          </w:rPr>
          <w:t>37</w:t>
        </w:r>
        <w:r w:rsidR="00C71D1F">
          <w:rPr>
            <w:webHidden/>
          </w:rPr>
          <w:fldChar w:fldCharType="end"/>
        </w:r>
      </w:hyperlink>
    </w:p>
    <w:p w14:paraId="67EB6870" w14:textId="7F548A33" w:rsidR="00C71D1F" w:rsidRDefault="00000000" w:rsidP="004A1702">
      <w:pPr>
        <w:pStyle w:val="TOC3"/>
        <w:rPr>
          <w:rFonts w:eastAsiaTheme="minorEastAsia"/>
          <w:kern w:val="2"/>
          <w:lang w:eastAsia="en-AU"/>
          <w14:ligatures w14:val="standardContextual"/>
        </w:rPr>
      </w:pPr>
      <w:hyperlink w:anchor="_Toc161400048" w:history="1">
        <w:r w:rsidR="00C71D1F" w:rsidRPr="00B44926">
          <w:rPr>
            <w:rStyle w:val="Hyperlink"/>
          </w:rPr>
          <w:t>7.2 Prices</w:t>
        </w:r>
        <w:r w:rsidR="00C71D1F">
          <w:rPr>
            <w:webHidden/>
          </w:rPr>
          <w:tab/>
        </w:r>
        <w:r w:rsidR="00C71D1F">
          <w:rPr>
            <w:webHidden/>
          </w:rPr>
          <w:fldChar w:fldCharType="begin"/>
        </w:r>
        <w:r w:rsidR="00C71D1F">
          <w:rPr>
            <w:webHidden/>
          </w:rPr>
          <w:instrText xml:space="preserve"> PAGEREF _Toc161400048 \h </w:instrText>
        </w:r>
        <w:r w:rsidR="00C71D1F">
          <w:rPr>
            <w:webHidden/>
          </w:rPr>
        </w:r>
        <w:r w:rsidR="00C71D1F">
          <w:rPr>
            <w:webHidden/>
          </w:rPr>
          <w:fldChar w:fldCharType="separate"/>
        </w:r>
        <w:r w:rsidR="00506A50">
          <w:rPr>
            <w:webHidden/>
          </w:rPr>
          <w:t>38</w:t>
        </w:r>
        <w:r w:rsidR="00C71D1F">
          <w:rPr>
            <w:webHidden/>
          </w:rPr>
          <w:fldChar w:fldCharType="end"/>
        </w:r>
      </w:hyperlink>
    </w:p>
    <w:p w14:paraId="4D126E59" w14:textId="57FB6B71" w:rsidR="00C71D1F" w:rsidRDefault="00000000" w:rsidP="009D67CC">
      <w:pPr>
        <w:pStyle w:val="TOC1"/>
        <w:rPr>
          <w:rFonts w:eastAsiaTheme="minorEastAsia"/>
          <w:noProof/>
          <w:kern w:val="2"/>
          <w:lang w:eastAsia="en-AU"/>
          <w14:ligatures w14:val="standardContextual"/>
        </w:rPr>
      </w:pPr>
      <w:hyperlink w:anchor="_Toc161400049" w:history="1">
        <w:r w:rsidR="00C71D1F" w:rsidRPr="00B44926">
          <w:rPr>
            <w:rStyle w:val="Hyperlink"/>
            <w:noProof/>
          </w:rPr>
          <w:t>8.</w:t>
        </w:r>
        <w:r w:rsidR="00C71D1F">
          <w:rPr>
            <w:rFonts w:eastAsiaTheme="minorEastAsia"/>
            <w:noProof/>
            <w:kern w:val="2"/>
            <w:lang w:eastAsia="en-AU"/>
            <w14:ligatures w14:val="standardContextual"/>
          </w:rPr>
          <w:tab/>
        </w:r>
        <w:r w:rsidR="00C71D1F" w:rsidRPr="00B44926">
          <w:rPr>
            <w:rStyle w:val="Hyperlink"/>
            <w:noProof/>
          </w:rPr>
          <w:t>Diversion services</w:t>
        </w:r>
        <w:r w:rsidR="00C71D1F">
          <w:rPr>
            <w:noProof/>
            <w:webHidden/>
          </w:rPr>
          <w:tab/>
        </w:r>
        <w:r w:rsidR="00C71D1F">
          <w:rPr>
            <w:noProof/>
            <w:webHidden/>
          </w:rPr>
          <w:fldChar w:fldCharType="begin"/>
        </w:r>
        <w:r w:rsidR="00C71D1F">
          <w:rPr>
            <w:noProof/>
            <w:webHidden/>
          </w:rPr>
          <w:instrText xml:space="preserve"> PAGEREF _Toc161400049 \h </w:instrText>
        </w:r>
        <w:r w:rsidR="00C71D1F">
          <w:rPr>
            <w:noProof/>
            <w:webHidden/>
          </w:rPr>
        </w:r>
        <w:r w:rsidR="00C71D1F">
          <w:rPr>
            <w:noProof/>
            <w:webHidden/>
          </w:rPr>
          <w:fldChar w:fldCharType="separate"/>
        </w:r>
        <w:r w:rsidR="00506A50">
          <w:rPr>
            <w:noProof/>
            <w:webHidden/>
          </w:rPr>
          <w:t>40</w:t>
        </w:r>
        <w:r w:rsidR="00C71D1F">
          <w:rPr>
            <w:noProof/>
            <w:webHidden/>
          </w:rPr>
          <w:fldChar w:fldCharType="end"/>
        </w:r>
      </w:hyperlink>
    </w:p>
    <w:p w14:paraId="5720281E" w14:textId="6B2D23EF" w:rsidR="00C71D1F" w:rsidRDefault="00000000" w:rsidP="004A1702">
      <w:pPr>
        <w:pStyle w:val="TOC3"/>
        <w:rPr>
          <w:rFonts w:eastAsiaTheme="minorEastAsia"/>
          <w:kern w:val="2"/>
          <w:lang w:eastAsia="en-AU"/>
          <w14:ligatures w14:val="standardContextual"/>
        </w:rPr>
      </w:pPr>
      <w:hyperlink w:anchor="_Toc161400050" w:history="1">
        <w:r w:rsidR="00C71D1F" w:rsidRPr="00B44926">
          <w:rPr>
            <w:rStyle w:val="Hyperlink"/>
          </w:rPr>
          <w:t>8.1 Tariff structures</w:t>
        </w:r>
        <w:r w:rsidR="00C71D1F">
          <w:rPr>
            <w:webHidden/>
          </w:rPr>
          <w:tab/>
        </w:r>
        <w:r w:rsidR="00C71D1F">
          <w:rPr>
            <w:webHidden/>
          </w:rPr>
          <w:fldChar w:fldCharType="begin"/>
        </w:r>
        <w:r w:rsidR="00C71D1F">
          <w:rPr>
            <w:webHidden/>
          </w:rPr>
          <w:instrText xml:space="preserve"> PAGEREF _Toc161400050 \h </w:instrText>
        </w:r>
        <w:r w:rsidR="00C71D1F">
          <w:rPr>
            <w:webHidden/>
          </w:rPr>
        </w:r>
        <w:r w:rsidR="00C71D1F">
          <w:rPr>
            <w:webHidden/>
          </w:rPr>
          <w:fldChar w:fldCharType="separate"/>
        </w:r>
        <w:r w:rsidR="00506A50">
          <w:rPr>
            <w:webHidden/>
          </w:rPr>
          <w:t>40</w:t>
        </w:r>
        <w:r w:rsidR="00C71D1F">
          <w:rPr>
            <w:webHidden/>
          </w:rPr>
          <w:fldChar w:fldCharType="end"/>
        </w:r>
      </w:hyperlink>
    </w:p>
    <w:p w14:paraId="07AFF44C" w14:textId="4DE9CAD0" w:rsidR="00C71D1F" w:rsidRDefault="00000000" w:rsidP="004A1702">
      <w:pPr>
        <w:pStyle w:val="TOC3"/>
        <w:rPr>
          <w:rFonts w:eastAsiaTheme="minorEastAsia"/>
          <w:kern w:val="2"/>
          <w:lang w:eastAsia="en-AU"/>
          <w14:ligatures w14:val="standardContextual"/>
        </w:rPr>
      </w:pPr>
      <w:hyperlink w:anchor="_Toc161400051" w:history="1">
        <w:r w:rsidR="00C71D1F" w:rsidRPr="00B44926">
          <w:rPr>
            <w:rStyle w:val="Hyperlink"/>
          </w:rPr>
          <w:t>8.2 Prices</w:t>
        </w:r>
        <w:r w:rsidR="00C71D1F">
          <w:rPr>
            <w:webHidden/>
          </w:rPr>
          <w:tab/>
        </w:r>
        <w:r w:rsidR="00C71D1F">
          <w:rPr>
            <w:webHidden/>
          </w:rPr>
          <w:fldChar w:fldCharType="begin"/>
        </w:r>
        <w:r w:rsidR="00C71D1F">
          <w:rPr>
            <w:webHidden/>
          </w:rPr>
          <w:instrText xml:space="preserve"> PAGEREF _Toc161400051 \h </w:instrText>
        </w:r>
        <w:r w:rsidR="00C71D1F">
          <w:rPr>
            <w:webHidden/>
          </w:rPr>
        </w:r>
        <w:r w:rsidR="00C71D1F">
          <w:rPr>
            <w:webHidden/>
          </w:rPr>
          <w:fldChar w:fldCharType="separate"/>
        </w:r>
        <w:r w:rsidR="00506A50">
          <w:rPr>
            <w:webHidden/>
          </w:rPr>
          <w:t>42</w:t>
        </w:r>
        <w:r w:rsidR="00C71D1F">
          <w:rPr>
            <w:webHidden/>
          </w:rPr>
          <w:fldChar w:fldCharType="end"/>
        </w:r>
      </w:hyperlink>
    </w:p>
    <w:p w14:paraId="043BC295" w14:textId="01C5B25C" w:rsidR="00C71D1F" w:rsidRDefault="00000000" w:rsidP="009D67CC">
      <w:pPr>
        <w:pStyle w:val="TOC1"/>
        <w:rPr>
          <w:rFonts w:eastAsiaTheme="minorEastAsia"/>
          <w:noProof/>
          <w:kern w:val="2"/>
          <w:lang w:eastAsia="en-AU"/>
          <w14:ligatures w14:val="standardContextual"/>
        </w:rPr>
      </w:pPr>
      <w:hyperlink w:anchor="_Toc161400052" w:history="1">
        <w:r w:rsidR="00C71D1F" w:rsidRPr="00B44926">
          <w:rPr>
            <w:rStyle w:val="Hyperlink"/>
            <w:noProof/>
          </w:rPr>
          <w:t>9.</w:t>
        </w:r>
        <w:r w:rsidR="00C71D1F">
          <w:rPr>
            <w:rFonts w:eastAsiaTheme="minorEastAsia"/>
            <w:noProof/>
            <w:kern w:val="2"/>
            <w:lang w:eastAsia="en-AU"/>
            <w14:ligatures w14:val="standardContextual"/>
          </w:rPr>
          <w:tab/>
        </w:r>
        <w:r w:rsidR="00C71D1F" w:rsidRPr="00B44926">
          <w:rPr>
            <w:rStyle w:val="Hyperlink"/>
            <w:noProof/>
          </w:rPr>
          <w:t>Bulk water storage services</w:t>
        </w:r>
        <w:r w:rsidR="00C71D1F">
          <w:rPr>
            <w:noProof/>
            <w:webHidden/>
          </w:rPr>
          <w:tab/>
        </w:r>
        <w:r w:rsidR="00C71D1F">
          <w:rPr>
            <w:noProof/>
            <w:webHidden/>
          </w:rPr>
          <w:fldChar w:fldCharType="begin"/>
        </w:r>
        <w:r w:rsidR="00C71D1F">
          <w:rPr>
            <w:noProof/>
            <w:webHidden/>
          </w:rPr>
          <w:instrText xml:space="preserve"> PAGEREF _Toc161400052 \h </w:instrText>
        </w:r>
        <w:r w:rsidR="00C71D1F">
          <w:rPr>
            <w:noProof/>
            <w:webHidden/>
          </w:rPr>
        </w:r>
        <w:r w:rsidR="00C71D1F">
          <w:rPr>
            <w:noProof/>
            <w:webHidden/>
          </w:rPr>
          <w:fldChar w:fldCharType="separate"/>
        </w:r>
        <w:r w:rsidR="00506A50">
          <w:rPr>
            <w:noProof/>
            <w:webHidden/>
          </w:rPr>
          <w:t>44</w:t>
        </w:r>
        <w:r w:rsidR="00C71D1F">
          <w:rPr>
            <w:noProof/>
            <w:webHidden/>
          </w:rPr>
          <w:fldChar w:fldCharType="end"/>
        </w:r>
      </w:hyperlink>
    </w:p>
    <w:p w14:paraId="03A47FBC" w14:textId="069D10F8" w:rsidR="00C71D1F" w:rsidRDefault="00000000" w:rsidP="004A1702">
      <w:pPr>
        <w:pStyle w:val="TOC3"/>
        <w:rPr>
          <w:rFonts w:eastAsiaTheme="minorEastAsia"/>
          <w:kern w:val="2"/>
          <w:lang w:eastAsia="en-AU"/>
          <w14:ligatures w14:val="standardContextual"/>
        </w:rPr>
      </w:pPr>
      <w:hyperlink w:anchor="_Toc161400053" w:history="1">
        <w:r w:rsidR="00C71D1F" w:rsidRPr="00B44926">
          <w:rPr>
            <w:rStyle w:val="Hyperlink"/>
          </w:rPr>
          <w:t>9.1 Tariff structures</w:t>
        </w:r>
        <w:r w:rsidR="00C71D1F">
          <w:rPr>
            <w:webHidden/>
          </w:rPr>
          <w:tab/>
        </w:r>
        <w:r w:rsidR="00C71D1F">
          <w:rPr>
            <w:webHidden/>
          </w:rPr>
          <w:fldChar w:fldCharType="begin"/>
        </w:r>
        <w:r w:rsidR="00C71D1F">
          <w:rPr>
            <w:webHidden/>
          </w:rPr>
          <w:instrText xml:space="preserve"> PAGEREF _Toc161400053 \h </w:instrText>
        </w:r>
        <w:r w:rsidR="00C71D1F">
          <w:rPr>
            <w:webHidden/>
          </w:rPr>
        </w:r>
        <w:r w:rsidR="00C71D1F">
          <w:rPr>
            <w:webHidden/>
          </w:rPr>
          <w:fldChar w:fldCharType="separate"/>
        </w:r>
        <w:r w:rsidR="00506A50">
          <w:rPr>
            <w:webHidden/>
          </w:rPr>
          <w:t>44</w:t>
        </w:r>
        <w:r w:rsidR="00C71D1F">
          <w:rPr>
            <w:webHidden/>
          </w:rPr>
          <w:fldChar w:fldCharType="end"/>
        </w:r>
      </w:hyperlink>
    </w:p>
    <w:p w14:paraId="31F2068F" w14:textId="78FBCE09" w:rsidR="00C71D1F" w:rsidRDefault="00000000" w:rsidP="004A1702">
      <w:pPr>
        <w:pStyle w:val="TOC3"/>
        <w:rPr>
          <w:rFonts w:eastAsiaTheme="minorEastAsia"/>
          <w:kern w:val="2"/>
          <w:lang w:eastAsia="en-AU"/>
          <w14:ligatures w14:val="standardContextual"/>
        </w:rPr>
      </w:pPr>
      <w:hyperlink w:anchor="_Toc161400056" w:history="1">
        <w:r w:rsidR="00C71D1F" w:rsidRPr="00B44926">
          <w:rPr>
            <w:rStyle w:val="Hyperlink"/>
          </w:rPr>
          <w:t>9.2 Prices</w:t>
        </w:r>
        <w:r w:rsidR="00C71D1F">
          <w:rPr>
            <w:webHidden/>
          </w:rPr>
          <w:tab/>
        </w:r>
        <w:r w:rsidR="00C71D1F">
          <w:rPr>
            <w:webHidden/>
          </w:rPr>
          <w:fldChar w:fldCharType="begin"/>
        </w:r>
        <w:r w:rsidR="00C71D1F">
          <w:rPr>
            <w:webHidden/>
          </w:rPr>
          <w:instrText xml:space="preserve"> PAGEREF _Toc161400056 \h </w:instrText>
        </w:r>
        <w:r w:rsidR="00C71D1F">
          <w:rPr>
            <w:webHidden/>
          </w:rPr>
        </w:r>
        <w:r w:rsidR="00C71D1F">
          <w:rPr>
            <w:webHidden/>
          </w:rPr>
          <w:fldChar w:fldCharType="separate"/>
        </w:r>
        <w:r w:rsidR="00506A50">
          <w:rPr>
            <w:webHidden/>
          </w:rPr>
          <w:t>46</w:t>
        </w:r>
        <w:r w:rsidR="00C71D1F">
          <w:rPr>
            <w:webHidden/>
          </w:rPr>
          <w:fldChar w:fldCharType="end"/>
        </w:r>
      </w:hyperlink>
    </w:p>
    <w:p w14:paraId="2CF27304" w14:textId="26E30BE1" w:rsidR="00C71D1F" w:rsidRDefault="00000000" w:rsidP="009D67CC">
      <w:pPr>
        <w:pStyle w:val="TOC1"/>
        <w:rPr>
          <w:rFonts w:eastAsiaTheme="minorEastAsia"/>
          <w:noProof/>
          <w:kern w:val="2"/>
          <w:lang w:eastAsia="en-AU"/>
          <w14:ligatures w14:val="standardContextual"/>
        </w:rPr>
      </w:pPr>
      <w:hyperlink w:anchor="_Toc161400057" w:history="1">
        <w:r w:rsidR="00C71D1F" w:rsidRPr="00B44926">
          <w:rPr>
            <w:rStyle w:val="Hyperlink"/>
            <w:noProof/>
          </w:rPr>
          <w:t>10.</w:t>
        </w:r>
        <w:r w:rsidR="00C71D1F">
          <w:rPr>
            <w:rFonts w:eastAsiaTheme="minorEastAsia"/>
            <w:noProof/>
            <w:kern w:val="2"/>
            <w:lang w:eastAsia="en-AU"/>
            <w14:ligatures w14:val="standardContextual"/>
          </w:rPr>
          <w:tab/>
        </w:r>
        <w:r w:rsidR="00C71D1F" w:rsidRPr="00B44926">
          <w:rPr>
            <w:rStyle w:val="Hyperlink"/>
            <w:noProof/>
          </w:rPr>
          <w:t>Service point fees</w:t>
        </w:r>
        <w:r w:rsidR="00C71D1F">
          <w:rPr>
            <w:noProof/>
            <w:webHidden/>
          </w:rPr>
          <w:tab/>
        </w:r>
        <w:r w:rsidR="00C71D1F">
          <w:rPr>
            <w:noProof/>
            <w:webHidden/>
          </w:rPr>
          <w:fldChar w:fldCharType="begin"/>
        </w:r>
        <w:r w:rsidR="00C71D1F">
          <w:rPr>
            <w:noProof/>
            <w:webHidden/>
          </w:rPr>
          <w:instrText xml:space="preserve"> PAGEREF _Toc161400057 \h </w:instrText>
        </w:r>
        <w:r w:rsidR="00C71D1F">
          <w:rPr>
            <w:noProof/>
            <w:webHidden/>
          </w:rPr>
        </w:r>
        <w:r w:rsidR="00C71D1F">
          <w:rPr>
            <w:noProof/>
            <w:webHidden/>
          </w:rPr>
          <w:fldChar w:fldCharType="separate"/>
        </w:r>
        <w:r w:rsidR="00506A50">
          <w:rPr>
            <w:noProof/>
            <w:webHidden/>
          </w:rPr>
          <w:t>47</w:t>
        </w:r>
        <w:r w:rsidR="00C71D1F">
          <w:rPr>
            <w:noProof/>
            <w:webHidden/>
          </w:rPr>
          <w:fldChar w:fldCharType="end"/>
        </w:r>
      </w:hyperlink>
    </w:p>
    <w:p w14:paraId="6C333CD6" w14:textId="3DE8729D" w:rsidR="00C71D1F" w:rsidRDefault="00000000" w:rsidP="004A1702">
      <w:pPr>
        <w:pStyle w:val="TOC3"/>
        <w:rPr>
          <w:rFonts w:eastAsiaTheme="minorEastAsia"/>
          <w:kern w:val="2"/>
          <w:lang w:eastAsia="en-AU"/>
          <w14:ligatures w14:val="standardContextual"/>
        </w:rPr>
      </w:pPr>
      <w:hyperlink w:anchor="_Toc161400058" w:history="1">
        <w:r w:rsidR="00C71D1F" w:rsidRPr="00B44926">
          <w:rPr>
            <w:rStyle w:val="Hyperlink"/>
          </w:rPr>
          <w:t>10.1 Tariff structures</w:t>
        </w:r>
        <w:r w:rsidR="00C71D1F">
          <w:rPr>
            <w:webHidden/>
          </w:rPr>
          <w:tab/>
        </w:r>
        <w:r w:rsidR="00C71D1F">
          <w:rPr>
            <w:webHidden/>
          </w:rPr>
          <w:fldChar w:fldCharType="begin"/>
        </w:r>
        <w:r w:rsidR="00C71D1F">
          <w:rPr>
            <w:webHidden/>
          </w:rPr>
          <w:instrText xml:space="preserve"> PAGEREF _Toc161400058 \h </w:instrText>
        </w:r>
        <w:r w:rsidR="00C71D1F">
          <w:rPr>
            <w:webHidden/>
          </w:rPr>
        </w:r>
        <w:r w:rsidR="00C71D1F">
          <w:rPr>
            <w:webHidden/>
          </w:rPr>
          <w:fldChar w:fldCharType="separate"/>
        </w:r>
        <w:r w:rsidR="00506A50">
          <w:rPr>
            <w:webHidden/>
          </w:rPr>
          <w:t>47</w:t>
        </w:r>
        <w:r w:rsidR="00C71D1F">
          <w:rPr>
            <w:webHidden/>
          </w:rPr>
          <w:fldChar w:fldCharType="end"/>
        </w:r>
      </w:hyperlink>
    </w:p>
    <w:p w14:paraId="6AD7AD79" w14:textId="24873715" w:rsidR="00C71D1F" w:rsidRDefault="00000000" w:rsidP="009D67CC">
      <w:pPr>
        <w:pStyle w:val="TOC1"/>
        <w:rPr>
          <w:rFonts w:eastAsiaTheme="minorEastAsia"/>
          <w:noProof/>
          <w:kern w:val="2"/>
          <w:lang w:eastAsia="en-AU"/>
          <w14:ligatures w14:val="standardContextual"/>
        </w:rPr>
      </w:pPr>
      <w:hyperlink w:anchor="_Toc161400062" w:history="1">
        <w:r w:rsidR="00C71D1F" w:rsidRPr="00B44926">
          <w:rPr>
            <w:rStyle w:val="Hyperlink"/>
            <w:noProof/>
          </w:rPr>
          <w:t>11.</w:t>
        </w:r>
        <w:r w:rsidR="00C71D1F">
          <w:rPr>
            <w:rFonts w:eastAsiaTheme="minorEastAsia"/>
            <w:noProof/>
            <w:kern w:val="2"/>
            <w:lang w:eastAsia="en-AU"/>
            <w14:ligatures w14:val="standardContextual"/>
          </w:rPr>
          <w:tab/>
        </w:r>
        <w:r w:rsidR="00C71D1F" w:rsidRPr="00B44926">
          <w:rPr>
            <w:rStyle w:val="Hyperlink"/>
            <w:noProof/>
          </w:rPr>
          <w:t>Other tariffs</w:t>
        </w:r>
        <w:r w:rsidR="00C71D1F">
          <w:rPr>
            <w:noProof/>
            <w:webHidden/>
          </w:rPr>
          <w:tab/>
        </w:r>
        <w:r w:rsidR="00C71D1F">
          <w:rPr>
            <w:noProof/>
            <w:webHidden/>
          </w:rPr>
          <w:fldChar w:fldCharType="begin"/>
        </w:r>
        <w:r w:rsidR="00C71D1F">
          <w:rPr>
            <w:noProof/>
            <w:webHidden/>
          </w:rPr>
          <w:instrText xml:space="preserve"> PAGEREF _Toc161400062 \h </w:instrText>
        </w:r>
        <w:r w:rsidR="00C71D1F">
          <w:rPr>
            <w:noProof/>
            <w:webHidden/>
          </w:rPr>
        </w:r>
        <w:r w:rsidR="00C71D1F">
          <w:rPr>
            <w:noProof/>
            <w:webHidden/>
          </w:rPr>
          <w:fldChar w:fldCharType="separate"/>
        </w:r>
        <w:r w:rsidR="00506A50">
          <w:rPr>
            <w:noProof/>
            <w:webHidden/>
          </w:rPr>
          <w:t>52</w:t>
        </w:r>
        <w:r w:rsidR="00C71D1F">
          <w:rPr>
            <w:noProof/>
            <w:webHidden/>
          </w:rPr>
          <w:fldChar w:fldCharType="end"/>
        </w:r>
      </w:hyperlink>
    </w:p>
    <w:p w14:paraId="6F26E354" w14:textId="570707DF" w:rsidR="00C71D1F" w:rsidRDefault="00000000" w:rsidP="004A1702">
      <w:pPr>
        <w:pStyle w:val="TOC3"/>
        <w:rPr>
          <w:rFonts w:eastAsiaTheme="minorEastAsia"/>
          <w:kern w:val="2"/>
          <w:lang w:eastAsia="en-AU"/>
          <w14:ligatures w14:val="standardContextual"/>
        </w:rPr>
      </w:pPr>
      <w:hyperlink w:anchor="_Toc161400063" w:history="1">
        <w:r w:rsidR="00C71D1F" w:rsidRPr="00B44926">
          <w:rPr>
            <w:rStyle w:val="Hyperlink"/>
          </w:rPr>
          <w:t>11.1 Tungamah water supply service</w:t>
        </w:r>
        <w:r w:rsidR="00C71D1F">
          <w:rPr>
            <w:webHidden/>
          </w:rPr>
          <w:tab/>
        </w:r>
        <w:r w:rsidR="00C71D1F">
          <w:rPr>
            <w:webHidden/>
          </w:rPr>
          <w:fldChar w:fldCharType="begin"/>
        </w:r>
        <w:r w:rsidR="00C71D1F">
          <w:rPr>
            <w:webHidden/>
          </w:rPr>
          <w:instrText xml:space="preserve"> PAGEREF _Toc161400063 \h </w:instrText>
        </w:r>
        <w:r w:rsidR="00C71D1F">
          <w:rPr>
            <w:webHidden/>
          </w:rPr>
        </w:r>
        <w:r w:rsidR="00C71D1F">
          <w:rPr>
            <w:webHidden/>
          </w:rPr>
          <w:fldChar w:fldCharType="separate"/>
        </w:r>
        <w:r w:rsidR="00506A50">
          <w:rPr>
            <w:webHidden/>
          </w:rPr>
          <w:t>52</w:t>
        </w:r>
        <w:r w:rsidR="00C71D1F">
          <w:rPr>
            <w:webHidden/>
          </w:rPr>
          <w:fldChar w:fldCharType="end"/>
        </w:r>
      </w:hyperlink>
    </w:p>
    <w:p w14:paraId="41EC0EC4" w14:textId="1AE58047" w:rsidR="00C71D1F" w:rsidRDefault="00000000" w:rsidP="004A1702">
      <w:pPr>
        <w:pStyle w:val="TOC3"/>
        <w:rPr>
          <w:rFonts w:eastAsiaTheme="minorEastAsia"/>
          <w:kern w:val="2"/>
          <w:lang w:eastAsia="en-AU"/>
          <w14:ligatures w14:val="standardContextual"/>
        </w:rPr>
      </w:pPr>
      <w:hyperlink w:anchor="_Toc161400064" w:history="1">
        <w:r w:rsidR="00C71D1F" w:rsidRPr="00B44926">
          <w:rPr>
            <w:rStyle w:val="Hyperlink"/>
          </w:rPr>
          <w:t>11.2 Customer fee</w:t>
        </w:r>
        <w:r w:rsidR="00C71D1F">
          <w:rPr>
            <w:webHidden/>
          </w:rPr>
          <w:tab/>
        </w:r>
        <w:r w:rsidR="00C71D1F">
          <w:rPr>
            <w:webHidden/>
          </w:rPr>
          <w:fldChar w:fldCharType="begin"/>
        </w:r>
        <w:r w:rsidR="00C71D1F">
          <w:rPr>
            <w:webHidden/>
          </w:rPr>
          <w:instrText xml:space="preserve"> PAGEREF _Toc161400064 \h </w:instrText>
        </w:r>
        <w:r w:rsidR="00C71D1F">
          <w:rPr>
            <w:webHidden/>
          </w:rPr>
        </w:r>
        <w:r w:rsidR="00C71D1F">
          <w:rPr>
            <w:webHidden/>
          </w:rPr>
          <w:fldChar w:fldCharType="separate"/>
        </w:r>
        <w:r w:rsidR="00506A50">
          <w:rPr>
            <w:webHidden/>
          </w:rPr>
          <w:t>52</w:t>
        </w:r>
        <w:r w:rsidR="00C71D1F">
          <w:rPr>
            <w:webHidden/>
          </w:rPr>
          <w:fldChar w:fldCharType="end"/>
        </w:r>
      </w:hyperlink>
    </w:p>
    <w:p w14:paraId="17FF5BC8" w14:textId="79CDE579" w:rsidR="00C71D1F" w:rsidRDefault="00000000" w:rsidP="009D67CC">
      <w:pPr>
        <w:pStyle w:val="TOC1"/>
        <w:rPr>
          <w:rFonts w:eastAsiaTheme="minorEastAsia"/>
          <w:noProof/>
          <w:kern w:val="2"/>
          <w:lang w:eastAsia="en-AU"/>
          <w14:ligatures w14:val="standardContextual"/>
        </w:rPr>
      </w:pPr>
      <w:hyperlink w:anchor="_Toc161400065" w:history="1">
        <w:r w:rsidR="00C71D1F" w:rsidRPr="00B44926">
          <w:rPr>
            <w:rStyle w:val="Hyperlink"/>
            <w:noProof/>
          </w:rPr>
          <w:t>12.</w:t>
        </w:r>
        <w:r w:rsidR="00C71D1F">
          <w:rPr>
            <w:rFonts w:eastAsiaTheme="minorEastAsia"/>
            <w:noProof/>
            <w:kern w:val="2"/>
            <w:lang w:eastAsia="en-AU"/>
            <w14:ligatures w14:val="standardContextual"/>
          </w:rPr>
          <w:tab/>
        </w:r>
        <w:r w:rsidR="00C71D1F" w:rsidRPr="00B44926">
          <w:rPr>
            <w:rStyle w:val="Hyperlink"/>
            <w:noProof/>
          </w:rPr>
          <w:t>Miscellaneous service charges</w:t>
        </w:r>
        <w:r w:rsidR="00C71D1F">
          <w:rPr>
            <w:noProof/>
            <w:webHidden/>
          </w:rPr>
          <w:tab/>
        </w:r>
        <w:r w:rsidR="00C71D1F">
          <w:rPr>
            <w:noProof/>
            <w:webHidden/>
          </w:rPr>
          <w:fldChar w:fldCharType="begin"/>
        </w:r>
        <w:r w:rsidR="00C71D1F">
          <w:rPr>
            <w:noProof/>
            <w:webHidden/>
          </w:rPr>
          <w:instrText xml:space="preserve"> PAGEREF _Toc161400065 \h </w:instrText>
        </w:r>
        <w:r w:rsidR="00C71D1F">
          <w:rPr>
            <w:noProof/>
            <w:webHidden/>
          </w:rPr>
        </w:r>
        <w:r w:rsidR="00C71D1F">
          <w:rPr>
            <w:noProof/>
            <w:webHidden/>
          </w:rPr>
          <w:fldChar w:fldCharType="separate"/>
        </w:r>
        <w:r w:rsidR="00506A50">
          <w:rPr>
            <w:noProof/>
            <w:webHidden/>
          </w:rPr>
          <w:t>54</w:t>
        </w:r>
        <w:r w:rsidR="00C71D1F">
          <w:rPr>
            <w:noProof/>
            <w:webHidden/>
          </w:rPr>
          <w:fldChar w:fldCharType="end"/>
        </w:r>
      </w:hyperlink>
    </w:p>
    <w:p w14:paraId="3A70D4AF" w14:textId="134DA779" w:rsidR="00C71D1F" w:rsidRDefault="00000000" w:rsidP="009D67CC">
      <w:pPr>
        <w:pStyle w:val="TOC1"/>
        <w:rPr>
          <w:rFonts w:eastAsiaTheme="minorEastAsia"/>
          <w:noProof/>
          <w:kern w:val="2"/>
          <w:lang w:eastAsia="en-AU"/>
          <w14:ligatures w14:val="standardContextual"/>
        </w:rPr>
      </w:pPr>
      <w:hyperlink w:anchor="_Toc161400066" w:history="1">
        <w:r w:rsidR="00C71D1F" w:rsidRPr="00B44926">
          <w:rPr>
            <w:rStyle w:val="Hyperlink"/>
            <w:noProof/>
          </w:rPr>
          <w:t>13.</w:t>
        </w:r>
        <w:r w:rsidR="00C71D1F">
          <w:rPr>
            <w:rFonts w:eastAsiaTheme="minorEastAsia"/>
            <w:noProof/>
            <w:kern w:val="2"/>
            <w:lang w:eastAsia="en-AU"/>
            <w14:ligatures w14:val="standardContextual"/>
          </w:rPr>
          <w:tab/>
        </w:r>
        <w:r w:rsidR="00C71D1F" w:rsidRPr="00B44926">
          <w:rPr>
            <w:rStyle w:val="Hyperlink"/>
            <w:noProof/>
          </w:rPr>
          <w:t>Addressing the interests of customers with low income or those experiencing vulnerability</w:t>
        </w:r>
        <w:r w:rsidR="00C71D1F">
          <w:rPr>
            <w:noProof/>
            <w:webHidden/>
          </w:rPr>
          <w:tab/>
        </w:r>
        <w:r w:rsidR="00C71D1F">
          <w:rPr>
            <w:noProof/>
            <w:webHidden/>
          </w:rPr>
          <w:fldChar w:fldCharType="begin"/>
        </w:r>
        <w:r w:rsidR="00C71D1F">
          <w:rPr>
            <w:noProof/>
            <w:webHidden/>
          </w:rPr>
          <w:instrText xml:space="preserve"> PAGEREF _Toc161400066 \h </w:instrText>
        </w:r>
        <w:r w:rsidR="00C71D1F">
          <w:rPr>
            <w:noProof/>
            <w:webHidden/>
          </w:rPr>
        </w:r>
        <w:r w:rsidR="00C71D1F">
          <w:rPr>
            <w:noProof/>
            <w:webHidden/>
          </w:rPr>
          <w:fldChar w:fldCharType="separate"/>
        </w:r>
        <w:r w:rsidR="00506A50">
          <w:rPr>
            <w:noProof/>
            <w:webHidden/>
          </w:rPr>
          <w:t>55</w:t>
        </w:r>
        <w:r w:rsidR="00C71D1F">
          <w:rPr>
            <w:noProof/>
            <w:webHidden/>
          </w:rPr>
          <w:fldChar w:fldCharType="end"/>
        </w:r>
      </w:hyperlink>
    </w:p>
    <w:p w14:paraId="159C0CED" w14:textId="20205DC1" w:rsidR="00C71D1F" w:rsidRDefault="00000000" w:rsidP="009D67CC">
      <w:pPr>
        <w:pStyle w:val="TOC1"/>
        <w:rPr>
          <w:rFonts w:eastAsiaTheme="minorEastAsia"/>
          <w:noProof/>
          <w:kern w:val="2"/>
          <w:lang w:eastAsia="en-AU"/>
          <w14:ligatures w14:val="standardContextual"/>
        </w:rPr>
      </w:pPr>
      <w:hyperlink w:anchor="_Toc161400067" w:history="1">
        <w:r w:rsidR="00C71D1F" w:rsidRPr="00B44926">
          <w:rPr>
            <w:rStyle w:val="Hyperlink"/>
            <w:noProof/>
          </w:rPr>
          <w:t>14.</w:t>
        </w:r>
        <w:r w:rsidR="00C71D1F">
          <w:rPr>
            <w:rFonts w:eastAsiaTheme="minorEastAsia"/>
            <w:noProof/>
            <w:kern w:val="2"/>
            <w:lang w:eastAsia="en-AU"/>
            <w14:ligatures w14:val="standardContextual"/>
          </w:rPr>
          <w:tab/>
        </w:r>
        <w:r w:rsidR="00C71D1F" w:rsidRPr="00B44926">
          <w:rPr>
            <w:rStyle w:val="Hyperlink"/>
            <w:noProof/>
          </w:rPr>
          <w:t>Adjusting prices</w:t>
        </w:r>
        <w:r w:rsidR="00C71D1F">
          <w:rPr>
            <w:noProof/>
            <w:webHidden/>
          </w:rPr>
          <w:tab/>
        </w:r>
        <w:r w:rsidR="00C71D1F">
          <w:rPr>
            <w:noProof/>
            <w:webHidden/>
          </w:rPr>
          <w:fldChar w:fldCharType="begin"/>
        </w:r>
        <w:r w:rsidR="00C71D1F">
          <w:rPr>
            <w:noProof/>
            <w:webHidden/>
          </w:rPr>
          <w:instrText xml:space="preserve"> PAGEREF _Toc161400067 \h </w:instrText>
        </w:r>
        <w:r w:rsidR="00C71D1F">
          <w:rPr>
            <w:noProof/>
            <w:webHidden/>
          </w:rPr>
        </w:r>
        <w:r w:rsidR="00C71D1F">
          <w:rPr>
            <w:noProof/>
            <w:webHidden/>
          </w:rPr>
          <w:fldChar w:fldCharType="separate"/>
        </w:r>
        <w:r w:rsidR="00506A50">
          <w:rPr>
            <w:noProof/>
            <w:webHidden/>
          </w:rPr>
          <w:t>56</w:t>
        </w:r>
        <w:r w:rsidR="00C71D1F">
          <w:rPr>
            <w:noProof/>
            <w:webHidden/>
          </w:rPr>
          <w:fldChar w:fldCharType="end"/>
        </w:r>
      </w:hyperlink>
    </w:p>
    <w:p w14:paraId="1EA8A14A" w14:textId="2ADF58A5" w:rsidR="00C71D1F" w:rsidRDefault="00000000" w:rsidP="009D67CC">
      <w:pPr>
        <w:pStyle w:val="TOC1"/>
        <w:rPr>
          <w:rFonts w:eastAsiaTheme="minorEastAsia"/>
          <w:noProof/>
          <w:kern w:val="2"/>
          <w:lang w:eastAsia="en-AU"/>
          <w14:ligatures w14:val="standardContextual"/>
        </w:rPr>
      </w:pPr>
      <w:hyperlink w:anchor="_Toc161400068" w:history="1">
        <w:r w:rsidR="00C71D1F" w:rsidRPr="00B44926">
          <w:rPr>
            <w:rStyle w:val="Hyperlink"/>
            <w:noProof/>
          </w:rPr>
          <w:t>15.</w:t>
        </w:r>
        <w:r w:rsidR="00C71D1F">
          <w:rPr>
            <w:rFonts w:eastAsiaTheme="minorEastAsia"/>
            <w:noProof/>
            <w:kern w:val="2"/>
            <w:lang w:eastAsia="en-AU"/>
            <w14:ligatures w14:val="standardContextual"/>
          </w:rPr>
          <w:tab/>
        </w:r>
        <w:r w:rsidR="00C71D1F" w:rsidRPr="00B44926">
          <w:rPr>
            <w:rStyle w:val="Hyperlink"/>
            <w:noProof/>
          </w:rPr>
          <w:t>Financial position</w:t>
        </w:r>
        <w:r w:rsidR="00C71D1F">
          <w:rPr>
            <w:noProof/>
            <w:webHidden/>
          </w:rPr>
          <w:tab/>
        </w:r>
        <w:r w:rsidR="00C71D1F">
          <w:rPr>
            <w:noProof/>
            <w:webHidden/>
          </w:rPr>
          <w:fldChar w:fldCharType="begin"/>
        </w:r>
        <w:r w:rsidR="00C71D1F">
          <w:rPr>
            <w:noProof/>
            <w:webHidden/>
          </w:rPr>
          <w:instrText xml:space="preserve"> PAGEREF _Toc161400068 \h </w:instrText>
        </w:r>
        <w:r w:rsidR="00C71D1F">
          <w:rPr>
            <w:noProof/>
            <w:webHidden/>
          </w:rPr>
        </w:r>
        <w:r w:rsidR="00C71D1F">
          <w:rPr>
            <w:noProof/>
            <w:webHidden/>
          </w:rPr>
          <w:fldChar w:fldCharType="separate"/>
        </w:r>
        <w:r w:rsidR="00506A50">
          <w:rPr>
            <w:noProof/>
            <w:webHidden/>
          </w:rPr>
          <w:t>57</w:t>
        </w:r>
        <w:r w:rsidR="00C71D1F">
          <w:rPr>
            <w:noProof/>
            <w:webHidden/>
          </w:rPr>
          <w:fldChar w:fldCharType="end"/>
        </w:r>
      </w:hyperlink>
    </w:p>
    <w:p w14:paraId="46404868" w14:textId="401153AD" w:rsidR="00C71D1F" w:rsidRDefault="00000000" w:rsidP="009D67CC">
      <w:pPr>
        <w:pStyle w:val="TOC1"/>
        <w:rPr>
          <w:rFonts w:eastAsiaTheme="minorEastAsia"/>
          <w:noProof/>
          <w:kern w:val="2"/>
          <w:lang w:eastAsia="en-AU"/>
          <w14:ligatures w14:val="standardContextual"/>
        </w:rPr>
      </w:pPr>
      <w:hyperlink w:anchor="_Toc161400069" w:history="1">
        <w:r w:rsidR="00C71D1F" w:rsidRPr="00B44926">
          <w:rPr>
            <w:rStyle w:val="Hyperlink"/>
            <w:noProof/>
          </w:rPr>
          <w:t>16.</w:t>
        </w:r>
        <w:r w:rsidR="00C71D1F">
          <w:rPr>
            <w:rFonts w:eastAsiaTheme="minorEastAsia"/>
            <w:noProof/>
            <w:kern w:val="2"/>
            <w:lang w:eastAsia="en-AU"/>
            <w14:ligatures w14:val="standardContextual"/>
          </w:rPr>
          <w:tab/>
        </w:r>
        <w:r w:rsidR="00C71D1F" w:rsidRPr="00B44926">
          <w:rPr>
            <w:rStyle w:val="Hyperlink"/>
            <w:noProof/>
          </w:rPr>
          <w:t>PREMO rating</w:t>
        </w:r>
        <w:r w:rsidR="00C71D1F">
          <w:rPr>
            <w:noProof/>
            <w:webHidden/>
          </w:rPr>
          <w:tab/>
        </w:r>
        <w:r w:rsidR="00C71D1F">
          <w:rPr>
            <w:noProof/>
            <w:webHidden/>
          </w:rPr>
          <w:fldChar w:fldCharType="begin"/>
        </w:r>
        <w:r w:rsidR="00C71D1F">
          <w:rPr>
            <w:noProof/>
            <w:webHidden/>
          </w:rPr>
          <w:instrText xml:space="preserve"> PAGEREF _Toc161400069 \h </w:instrText>
        </w:r>
        <w:r w:rsidR="00C71D1F">
          <w:rPr>
            <w:noProof/>
            <w:webHidden/>
          </w:rPr>
        </w:r>
        <w:r w:rsidR="00C71D1F">
          <w:rPr>
            <w:noProof/>
            <w:webHidden/>
          </w:rPr>
          <w:fldChar w:fldCharType="separate"/>
        </w:r>
        <w:r w:rsidR="00506A50">
          <w:rPr>
            <w:noProof/>
            <w:webHidden/>
          </w:rPr>
          <w:t>58</w:t>
        </w:r>
        <w:r w:rsidR="00C71D1F">
          <w:rPr>
            <w:noProof/>
            <w:webHidden/>
          </w:rPr>
          <w:fldChar w:fldCharType="end"/>
        </w:r>
      </w:hyperlink>
    </w:p>
    <w:p w14:paraId="2B26A449" w14:textId="3C1B2649" w:rsidR="00C71D1F" w:rsidRDefault="00000000" w:rsidP="004A1702">
      <w:pPr>
        <w:pStyle w:val="TOC3"/>
        <w:rPr>
          <w:rFonts w:eastAsiaTheme="minorEastAsia"/>
          <w:kern w:val="2"/>
          <w:lang w:eastAsia="en-AU"/>
          <w14:ligatures w14:val="standardContextual"/>
        </w:rPr>
      </w:pPr>
      <w:hyperlink w:anchor="_Toc161400070" w:history="1">
        <w:r w:rsidR="00C71D1F" w:rsidRPr="00B44926">
          <w:rPr>
            <w:rStyle w:val="Hyperlink"/>
          </w:rPr>
          <w:t>16.1</w:t>
        </w:r>
        <w:r w:rsidR="004A1702">
          <w:rPr>
            <w:rStyle w:val="Hyperlink"/>
          </w:rPr>
          <w:tab/>
        </w:r>
        <w:r w:rsidR="00C71D1F" w:rsidRPr="00B44926">
          <w:rPr>
            <w:rStyle w:val="Hyperlink"/>
          </w:rPr>
          <w:t>Our PREMO assessment of Goulburn-Murray Water’s price submission</w:t>
        </w:r>
        <w:r w:rsidR="00A70A68">
          <w:rPr>
            <w:webHidden/>
          </w:rPr>
          <w:t xml:space="preserve"> </w:t>
        </w:r>
        <w:r w:rsidR="004A1702">
          <w:rPr>
            <w:webHidden/>
          </w:rPr>
          <w:tab/>
        </w:r>
        <w:r w:rsidR="00C71D1F">
          <w:rPr>
            <w:webHidden/>
          </w:rPr>
          <w:fldChar w:fldCharType="begin"/>
        </w:r>
        <w:r w:rsidR="00C71D1F">
          <w:rPr>
            <w:webHidden/>
          </w:rPr>
          <w:instrText xml:space="preserve"> PAGEREF _Toc161400070 \h </w:instrText>
        </w:r>
        <w:r w:rsidR="00C71D1F">
          <w:rPr>
            <w:webHidden/>
          </w:rPr>
        </w:r>
        <w:r w:rsidR="00C71D1F">
          <w:rPr>
            <w:webHidden/>
          </w:rPr>
          <w:fldChar w:fldCharType="separate"/>
        </w:r>
        <w:r w:rsidR="00506A50">
          <w:rPr>
            <w:webHidden/>
          </w:rPr>
          <w:t>58</w:t>
        </w:r>
        <w:r w:rsidR="00C71D1F">
          <w:rPr>
            <w:webHidden/>
          </w:rPr>
          <w:fldChar w:fldCharType="end"/>
        </w:r>
      </w:hyperlink>
    </w:p>
    <w:p w14:paraId="60034264" w14:textId="10F754A6" w:rsidR="00C71D1F" w:rsidRDefault="00000000" w:rsidP="009D67CC">
      <w:pPr>
        <w:pStyle w:val="TOC1"/>
        <w:rPr>
          <w:rFonts w:eastAsiaTheme="minorEastAsia"/>
          <w:noProof/>
          <w:kern w:val="2"/>
          <w:lang w:eastAsia="en-AU"/>
          <w14:ligatures w14:val="standardContextual"/>
        </w:rPr>
      </w:pPr>
      <w:hyperlink w:anchor="_Toc161400075" w:history="1">
        <w:r w:rsidR="00C71D1F" w:rsidRPr="00B44926">
          <w:rPr>
            <w:rStyle w:val="Hyperlink"/>
            <w:noProof/>
          </w:rPr>
          <w:t>Appendix A — Submissions received</w:t>
        </w:r>
        <w:r w:rsidR="00C71D1F">
          <w:rPr>
            <w:noProof/>
            <w:webHidden/>
          </w:rPr>
          <w:tab/>
        </w:r>
        <w:r w:rsidR="00C71D1F">
          <w:rPr>
            <w:noProof/>
            <w:webHidden/>
          </w:rPr>
          <w:fldChar w:fldCharType="begin"/>
        </w:r>
        <w:r w:rsidR="00C71D1F">
          <w:rPr>
            <w:noProof/>
            <w:webHidden/>
          </w:rPr>
          <w:instrText xml:space="preserve"> PAGEREF _Toc161400075 \h </w:instrText>
        </w:r>
        <w:r w:rsidR="00C71D1F">
          <w:rPr>
            <w:noProof/>
            <w:webHidden/>
          </w:rPr>
        </w:r>
        <w:r w:rsidR="00C71D1F">
          <w:rPr>
            <w:noProof/>
            <w:webHidden/>
          </w:rPr>
          <w:fldChar w:fldCharType="separate"/>
        </w:r>
        <w:r w:rsidR="00506A50">
          <w:rPr>
            <w:noProof/>
            <w:webHidden/>
          </w:rPr>
          <w:t>63</w:t>
        </w:r>
        <w:r w:rsidR="00C71D1F">
          <w:rPr>
            <w:noProof/>
            <w:webHidden/>
          </w:rPr>
          <w:fldChar w:fldCharType="end"/>
        </w:r>
      </w:hyperlink>
    </w:p>
    <w:p w14:paraId="7816E0F3" w14:textId="247612B5" w:rsidR="00C71D1F" w:rsidRDefault="00000000" w:rsidP="009D67CC">
      <w:pPr>
        <w:pStyle w:val="TOC1"/>
        <w:rPr>
          <w:rFonts w:eastAsiaTheme="minorEastAsia"/>
          <w:noProof/>
          <w:kern w:val="2"/>
          <w:lang w:eastAsia="en-AU"/>
          <w14:ligatures w14:val="standardContextual"/>
        </w:rPr>
      </w:pPr>
      <w:hyperlink w:anchor="_Toc161400076" w:history="1">
        <w:r w:rsidR="00C71D1F" w:rsidRPr="00B44926">
          <w:rPr>
            <w:rStyle w:val="Hyperlink"/>
            <w:noProof/>
          </w:rPr>
          <w:t>Appendix B — Commission’s consideration of legal requirements</w:t>
        </w:r>
        <w:r w:rsidR="00C71D1F">
          <w:rPr>
            <w:noProof/>
            <w:webHidden/>
          </w:rPr>
          <w:tab/>
        </w:r>
        <w:r w:rsidR="00C71D1F">
          <w:rPr>
            <w:noProof/>
            <w:webHidden/>
          </w:rPr>
          <w:fldChar w:fldCharType="begin"/>
        </w:r>
        <w:r w:rsidR="00C71D1F">
          <w:rPr>
            <w:noProof/>
            <w:webHidden/>
          </w:rPr>
          <w:instrText xml:space="preserve"> PAGEREF _Toc161400076 \h </w:instrText>
        </w:r>
        <w:r w:rsidR="00C71D1F">
          <w:rPr>
            <w:noProof/>
            <w:webHidden/>
          </w:rPr>
        </w:r>
        <w:r w:rsidR="00C71D1F">
          <w:rPr>
            <w:noProof/>
            <w:webHidden/>
          </w:rPr>
          <w:fldChar w:fldCharType="separate"/>
        </w:r>
        <w:r w:rsidR="00506A50">
          <w:rPr>
            <w:noProof/>
            <w:webHidden/>
          </w:rPr>
          <w:t>64</w:t>
        </w:r>
        <w:r w:rsidR="00C71D1F">
          <w:rPr>
            <w:noProof/>
            <w:webHidden/>
          </w:rPr>
          <w:fldChar w:fldCharType="end"/>
        </w:r>
      </w:hyperlink>
    </w:p>
    <w:p w14:paraId="016E9F4E" w14:textId="4D4D231A" w:rsidR="003A30F3" w:rsidRPr="003A30F3" w:rsidRDefault="00782E55" w:rsidP="003A30F3">
      <w:pPr>
        <w:sectPr w:rsidR="003A30F3" w:rsidRPr="003A30F3" w:rsidSect="00DB48F2">
          <w:footerReference w:type="default" r:id="rId21"/>
          <w:type w:val="continuous"/>
          <w:pgSz w:w="11906" w:h="16838" w:code="9"/>
          <w:pgMar w:top="1134" w:right="1558" w:bottom="1134" w:left="1134" w:header="709" w:footer="692" w:gutter="0"/>
          <w:pgNumType w:fmt="lowerRoman"/>
          <w:cols w:space="708"/>
          <w:docGrid w:linePitch="360"/>
        </w:sectPr>
      </w:pPr>
      <w:r>
        <w:rPr>
          <w:color w:val="236192" w:themeColor="accent1"/>
        </w:rPr>
        <w:fldChar w:fldCharType="end"/>
      </w:r>
    </w:p>
    <w:p w14:paraId="0BE221DF" w14:textId="082BC94F" w:rsidR="00710792" w:rsidRDefault="00710792" w:rsidP="00710792">
      <w:pPr>
        <w:pStyle w:val="Heading1"/>
      </w:pPr>
      <w:bookmarkStart w:id="11" w:name="_Toc161400004"/>
      <w:r>
        <w:lastRenderedPageBreak/>
        <w:t>Summary</w:t>
      </w:r>
      <w:bookmarkEnd w:id="11"/>
      <w:r w:rsidR="009421C2">
        <w:t xml:space="preserve"> </w:t>
      </w:r>
    </w:p>
    <w:p w14:paraId="25670C8B" w14:textId="4B3F9D78" w:rsidR="00B503C2" w:rsidRDefault="00496F65" w:rsidP="003E5DB7">
      <w:pPr>
        <w:pStyle w:val="Heading2"/>
      </w:pPr>
      <w:bookmarkStart w:id="12" w:name="_Toc117178651"/>
      <w:bookmarkStart w:id="13" w:name="_Toc118289104"/>
      <w:bookmarkStart w:id="14" w:name="_Toc122514835"/>
      <w:bookmarkStart w:id="15" w:name="_Toc149223906"/>
      <w:bookmarkStart w:id="16" w:name="_Toc149560232"/>
      <w:bookmarkStart w:id="17" w:name="_Toc150866047"/>
      <w:bookmarkStart w:id="18" w:name="_Toc150866151"/>
      <w:bookmarkStart w:id="19" w:name="_Toc150866217"/>
      <w:bookmarkStart w:id="20" w:name="_Toc160038287"/>
      <w:bookmarkStart w:id="21" w:name="_Toc161400005"/>
      <w:r>
        <w:t xml:space="preserve">Our draft decision considers </w:t>
      </w:r>
      <w:r w:rsidR="00656116">
        <w:t>Goulburn-Murray Water</w:t>
      </w:r>
      <w:r>
        <w:t xml:space="preserve">’s proposed prices for a </w:t>
      </w:r>
      <w:r w:rsidR="00D16D71" w:rsidRPr="00AA1DF8">
        <w:t>four</w:t>
      </w:r>
      <w:r w:rsidR="004C4290" w:rsidRPr="00AA1DF8">
        <w:t>-</w:t>
      </w:r>
      <w:r w:rsidRPr="00AA1DF8">
        <w:t>year period starting 1 July 202</w:t>
      </w:r>
      <w:bookmarkEnd w:id="12"/>
      <w:bookmarkEnd w:id="13"/>
      <w:bookmarkEnd w:id="14"/>
      <w:r w:rsidR="007A5CE1" w:rsidRPr="00AA1DF8">
        <w:t>4</w:t>
      </w:r>
      <w:bookmarkEnd w:id="15"/>
      <w:bookmarkEnd w:id="16"/>
      <w:bookmarkEnd w:id="17"/>
      <w:bookmarkEnd w:id="18"/>
      <w:bookmarkEnd w:id="19"/>
      <w:bookmarkEnd w:id="20"/>
      <w:bookmarkEnd w:id="21"/>
    </w:p>
    <w:p w14:paraId="58E919B4" w14:textId="55C74191" w:rsidR="00B503C2" w:rsidRDefault="00F569BD" w:rsidP="00B503C2">
      <w:pPr>
        <w:sectPr w:rsidR="00B503C2" w:rsidSect="00DB48F2">
          <w:footerReference w:type="default" r:id="rId22"/>
          <w:type w:val="continuous"/>
          <w:pgSz w:w="11906" w:h="16838" w:code="9"/>
          <w:pgMar w:top="1134" w:right="1134" w:bottom="1134" w:left="1134" w:header="709" w:footer="692" w:gutter="0"/>
          <w:pgNumType w:fmt="lowerRoman"/>
          <w:cols w:space="708"/>
          <w:docGrid w:linePitch="360"/>
        </w:sectPr>
      </w:pPr>
      <w:r>
        <w:rPr>
          <w:noProof/>
        </w:rPr>
        <mc:AlternateContent>
          <mc:Choice Requires="wpc">
            <w:drawing>
              <wp:anchor distT="0" distB="0" distL="114300" distR="114300" simplePos="0" relativeHeight="251658245" behindDoc="1" locked="0" layoutInCell="1" allowOverlap="1" wp14:anchorId="26C8E462" wp14:editId="63D6C4D8">
                <wp:simplePos x="0" y="0"/>
                <wp:positionH relativeFrom="column">
                  <wp:posOffset>-5715</wp:posOffset>
                </wp:positionH>
                <wp:positionV relativeFrom="paragraph">
                  <wp:posOffset>532130</wp:posOffset>
                </wp:positionV>
                <wp:extent cx="6113780" cy="1095375"/>
                <wp:effectExtent l="0" t="0" r="1270" b="9525"/>
                <wp:wrapNone/>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2">
                            <a:lumMod val="40000"/>
                            <a:lumOff val="60000"/>
                          </a:schemeClr>
                        </a:solidFill>
                      </wpc:bg>
                      <wpc:whole>
                        <a:ln w="3175"/>
                      </wpc:whole>
                    </wpc:wpc>
                  </a:graphicData>
                </a:graphic>
                <wp14:sizeRelH relativeFrom="margin">
                  <wp14:pctWidth>0</wp14:pctWidth>
                </wp14:sizeRelH>
                <wp14:sizeRelV relativeFrom="margin">
                  <wp14:pctHeight>0</wp14:pctHeight>
                </wp14:sizeRelV>
              </wp:anchor>
            </w:drawing>
          </mc:Choice>
          <mc:Fallback>
            <w:pict>
              <v:group w14:anchorId="058E0F0E" id="Canvas 10" o:spid="_x0000_s1026" editas="canvas" style="position:absolute;margin-left:-.45pt;margin-top:41.9pt;width:481.4pt;height:86.25pt;z-index:-251658235;mso-width-relative:margin;mso-height-relative:margin" coordsize="61137,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137;height:10953;visibility:visible;mso-wrap-style:square" filled="t" fillcolor="#c7c8ca [1310]" strokeweight=".25pt">
                  <v:fill o:detectmouseclick="t"/>
                  <v:path o:connecttype="none"/>
                </v:shape>
              </v:group>
            </w:pict>
          </mc:Fallback>
        </mc:AlternateContent>
      </w:r>
      <w:r w:rsidR="009D01C0" w:rsidRPr="009D01C0">
        <w:t xml:space="preserve">This draft decision sets out our preliminary views on </w:t>
      </w:r>
      <w:r w:rsidR="00F8162D">
        <w:t>Goulburn-Murray Water</w:t>
      </w:r>
      <w:r w:rsidR="009D01C0" w:rsidRPr="009D01C0">
        <w:t>’s price submission.</w:t>
      </w:r>
      <w:r w:rsidR="00D6527C">
        <w:rPr>
          <w:rStyle w:val="FootnoteReference"/>
        </w:rPr>
        <w:footnoteReference w:id="2"/>
      </w:r>
      <w:r w:rsidR="009D01C0" w:rsidRPr="009D01C0">
        <w:t xml:space="preserve"> Our draft decision should be read together with </w:t>
      </w:r>
      <w:r w:rsidR="00F8162D">
        <w:t>Goulburn-Murray Water</w:t>
      </w:r>
      <w:r w:rsidR="009D01C0" w:rsidRPr="009D01C0">
        <w:t>’s price submission.</w:t>
      </w:r>
    </w:p>
    <w:p w14:paraId="412B7D28" w14:textId="48CF4728" w:rsidR="008F7E2D" w:rsidRDefault="00352275" w:rsidP="00040B8E">
      <w:pPr>
        <w:spacing w:before="360"/>
        <w:ind w:left="1559" w:right="284"/>
      </w:pPr>
      <w:r>
        <w:rPr>
          <w:noProof/>
        </w:rPr>
        <w:drawing>
          <wp:anchor distT="0" distB="0" distL="114300" distR="114300" simplePos="0" relativeHeight="251658240" behindDoc="0" locked="0" layoutInCell="1" allowOverlap="1" wp14:anchorId="05A22946" wp14:editId="0849FBC5">
            <wp:simplePos x="0" y="0"/>
            <wp:positionH relativeFrom="column">
              <wp:posOffset>57785</wp:posOffset>
            </wp:positionH>
            <wp:positionV relativeFrom="paragraph">
              <wp:posOffset>24765</wp:posOffset>
            </wp:positionV>
            <wp:extent cx="934720" cy="934720"/>
            <wp:effectExtent l="0" t="0" r="0" b="0"/>
            <wp:wrapSquare wrapText="bothSides"/>
            <wp:docPr id="9" name="Graphic 9" descr="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encil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34720" cy="934720"/>
                    </a:xfrm>
                    <a:prstGeom prst="rect">
                      <a:avLst/>
                    </a:prstGeom>
                  </pic:spPr>
                </pic:pic>
              </a:graphicData>
            </a:graphic>
            <wp14:sizeRelH relativeFrom="page">
              <wp14:pctWidth>0</wp14:pctWidth>
            </wp14:sizeRelH>
            <wp14:sizeRelV relativeFrom="page">
              <wp14:pctHeight>0</wp14:pctHeight>
            </wp14:sizeRelV>
          </wp:anchor>
        </w:drawing>
      </w:r>
      <w:r w:rsidR="006B7693" w:rsidRPr="006B7693">
        <w:t xml:space="preserve">We invite </w:t>
      </w:r>
      <w:r w:rsidR="00594857">
        <w:t>feedback on</w:t>
      </w:r>
      <w:r w:rsidR="006B7693" w:rsidRPr="006B7693">
        <w:t xml:space="preserve"> this draft decision before we make a final decision and issue a price determination in </w:t>
      </w:r>
      <w:r w:rsidR="006B7693" w:rsidRPr="006247B7">
        <w:t>June 202</w:t>
      </w:r>
      <w:r w:rsidR="00F8162D" w:rsidRPr="006247B7">
        <w:t>4</w:t>
      </w:r>
      <w:r w:rsidR="006B7693" w:rsidRPr="006247B7">
        <w:t>.</w:t>
      </w:r>
      <w:r w:rsidR="006B7693" w:rsidRPr="006B7693">
        <w:t xml:space="preserve"> </w:t>
      </w:r>
      <w:r w:rsidR="005E1200">
        <w:t>P</w:t>
      </w:r>
      <w:r w:rsidR="007074C4">
        <w:t>rovide feedback</w:t>
      </w:r>
      <w:r w:rsidR="00273E3B">
        <w:t xml:space="preserve"> </w:t>
      </w:r>
      <w:r w:rsidR="006F6FF9">
        <w:t>via</w:t>
      </w:r>
      <w:r w:rsidR="004954BF">
        <w:t xml:space="preserve"> Engage Victoria</w:t>
      </w:r>
      <w:r w:rsidR="005D76E8">
        <w:t>:</w:t>
      </w:r>
      <w:r w:rsidR="0092609C">
        <w:t xml:space="preserve"> </w:t>
      </w:r>
      <w:hyperlink r:id="rId25" w:tgtFrame="_blank" w:tooltip="https://engage.vic.gov.au/esc-water-price-review-2024" w:history="1">
        <w:r w:rsidR="00A50A3B">
          <w:rPr>
            <w:rStyle w:val="Hyperlink"/>
          </w:rPr>
          <w:t>https://engage.vic.gov.au/ESC-water-price-review-2024</w:t>
        </w:r>
      </w:hyperlink>
    </w:p>
    <w:p w14:paraId="61047EFC" w14:textId="77777777" w:rsidR="00790615" w:rsidRDefault="00790615" w:rsidP="00D64150">
      <w:bookmarkStart w:id="22" w:name="_Toc117178652"/>
      <w:bookmarkStart w:id="23" w:name="_Toc118289106"/>
      <w:bookmarkStart w:id="24" w:name="_Toc122514837"/>
      <w:bookmarkStart w:id="25" w:name="_Toc149223907"/>
      <w:bookmarkStart w:id="26" w:name="_Toc149560233"/>
      <w:bookmarkStart w:id="27" w:name="_Toc150866048"/>
      <w:bookmarkStart w:id="28" w:name="_Toc150866152"/>
      <w:bookmarkStart w:id="29" w:name="_Toc150866218"/>
      <w:bookmarkStart w:id="30" w:name="_Toc160038288"/>
    </w:p>
    <w:p w14:paraId="3E41F9DB" w14:textId="7E641848" w:rsidR="001F59D5" w:rsidRPr="00123E65" w:rsidRDefault="001F59D5" w:rsidP="001F59D5">
      <w:pPr>
        <w:pStyle w:val="Heading2"/>
      </w:pPr>
      <w:bookmarkStart w:id="31" w:name="_Toc161400006"/>
      <w:r w:rsidRPr="00123E65">
        <w:t>Goulburn-Murray Water has committed to delivering outcomes that reflect customer priorities</w:t>
      </w:r>
      <w:bookmarkEnd w:id="22"/>
      <w:bookmarkEnd w:id="23"/>
      <w:bookmarkEnd w:id="24"/>
      <w:bookmarkEnd w:id="25"/>
      <w:bookmarkEnd w:id="26"/>
      <w:bookmarkEnd w:id="27"/>
      <w:bookmarkEnd w:id="28"/>
      <w:bookmarkEnd w:id="29"/>
      <w:bookmarkEnd w:id="30"/>
      <w:bookmarkEnd w:id="31"/>
    </w:p>
    <w:p w14:paraId="1779E7E0" w14:textId="59842B33" w:rsidR="00036AFF" w:rsidRDefault="00D1620B" w:rsidP="00036AFF">
      <w:r>
        <w:t>Goulburn-Murray Water</w:t>
      </w:r>
      <w:r w:rsidR="00036AFF">
        <w:t xml:space="preserve"> plans to deliver the following outcomes for customers:</w:t>
      </w:r>
    </w:p>
    <w:p w14:paraId="1CF67A6A" w14:textId="77777777" w:rsidR="001F59D5" w:rsidRPr="00123E65" w:rsidRDefault="001F59D5" w:rsidP="00821A3A">
      <w:pPr>
        <w:pStyle w:val="ListBullet"/>
      </w:pPr>
      <w:r w:rsidRPr="00123E65">
        <w:t>reliable supply</w:t>
      </w:r>
    </w:p>
    <w:p w14:paraId="36C2F3C0" w14:textId="77777777" w:rsidR="001F59D5" w:rsidRPr="00123E65" w:rsidRDefault="001F59D5" w:rsidP="00821A3A">
      <w:pPr>
        <w:pStyle w:val="ListBullet"/>
      </w:pPr>
      <w:r w:rsidRPr="00123E65">
        <w:t>credible business</w:t>
      </w:r>
    </w:p>
    <w:p w14:paraId="700DCBE9" w14:textId="77777777" w:rsidR="001F59D5" w:rsidRPr="00123E65" w:rsidRDefault="001F59D5" w:rsidP="00821A3A">
      <w:pPr>
        <w:pStyle w:val="ListBullet"/>
      </w:pPr>
      <w:r w:rsidRPr="00123E65">
        <w:t>fair pricing</w:t>
      </w:r>
    </w:p>
    <w:p w14:paraId="5C54AE91" w14:textId="77777777" w:rsidR="001F59D5" w:rsidRPr="00123E65" w:rsidRDefault="001F59D5" w:rsidP="00821A3A">
      <w:pPr>
        <w:pStyle w:val="ListBullet"/>
      </w:pPr>
      <w:r w:rsidRPr="00123E65">
        <w:t>efficient operations</w:t>
      </w:r>
    </w:p>
    <w:p w14:paraId="37B9D382" w14:textId="77777777" w:rsidR="001F59D5" w:rsidRPr="00123E65" w:rsidRDefault="001F59D5" w:rsidP="00821A3A">
      <w:pPr>
        <w:pStyle w:val="ListBullet"/>
      </w:pPr>
      <w:r w:rsidRPr="00123E65">
        <w:t>responsible services</w:t>
      </w:r>
    </w:p>
    <w:p w14:paraId="6EF3EC1A" w14:textId="0A1678D4" w:rsidR="001F59D5" w:rsidRPr="00123E65" w:rsidRDefault="001F59D5" w:rsidP="00821A3A">
      <w:pPr>
        <w:pStyle w:val="ListBullet"/>
      </w:pPr>
      <w:r w:rsidRPr="00123E65">
        <w:t>socially responsible.</w:t>
      </w:r>
      <w:r w:rsidRPr="00123E65">
        <w:rPr>
          <w:rStyle w:val="FootnoteReference"/>
        </w:rPr>
        <w:footnoteReference w:id="3"/>
      </w:r>
    </w:p>
    <w:p w14:paraId="0560BECD" w14:textId="1F4A6E1C" w:rsidR="001E1877" w:rsidRDefault="00260EDA" w:rsidP="00A15336">
      <w:r w:rsidRPr="00FB4CD4">
        <w:t>Among the key initiatives to deliver on its commitments</w:t>
      </w:r>
      <w:r w:rsidR="005A31A2">
        <w:t>,</w:t>
      </w:r>
      <w:r w:rsidRPr="00FB4CD4">
        <w:t xml:space="preserve"> </w:t>
      </w:r>
      <w:r w:rsidR="0092358A">
        <w:t xml:space="preserve">Goulburn-Murray Water </w:t>
      </w:r>
      <w:r w:rsidRPr="00FB4CD4">
        <w:t xml:space="preserve">will </w:t>
      </w:r>
      <w:r w:rsidR="00AF05FA">
        <w:t>invest</w:t>
      </w:r>
      <w:r w:rsidRPr="00FB4CD4" w:rsidDel="00115226">
        <w:t xml:space="preserve"> to </w:t>
      </w:r>
      <w:r w:rsidR="00AF05FA">
        <w:t xml:space="preserve">renew </w:t>
      </w:r>
      <w:r w:rsidR="00D70B29">
        <w:t xml:space="preserve">and maintain </w:t>
      </w:r>
      <w:r w:rsidR="00AF05FA">
        <w:t>assets</w:t>
      </w:r>
      <w:r w:rsidRPr="00FB4CD4">
        <w:t xml:space="preserve"> </w:t>
      </w:r>
      <w:r w:rsidR="002B7440">
        <w:t xml:space="preserve">to underpin reliability, and </w:t>
      </w:r>
      <w:r w:rsidR="002D2883">
        <w:t>improve</w:t>
      </w:r>
      <w:r w:rsidRPr="00FB4CD4">
        <w:t xml:space="preserve"> IT security to ensure its systems and data remain secure. </w:t>
      </w:r>
      <w:r w:rsidR="006122A6">
        <w:t>I</w:t>
      </w:r>
      <w:r w:rsidR="00AB4440">
        <w:t xml:space="preserve">t has prioritised flow rates </w:t>
      </w:r>
      <w:r w:rsidR="00AB76DB">
        <w:t xml:space="preserve">and </w:t>
      </w:r>
      <w:r w:rsidR="005A31F9">
        <w:t xml:space="preserve">delivery </w:t>
      </w:r>
      <w:r w:rsidR="00C01310">
        <w:t xml:space="preserve">of water to </w:t>
      </w:r>
      <w:r w:rsidR="00B94941">
        <w:t>schedule</w:t>
      </w:r>
      <w:r w:rsidR="00C01310">
        <w:t xml:space="preserve">, </w:t>
      </w:r>
      <w:r w:rsidR="001F01F9">
        <w:t>and</w:t>
      </w:r>
      <w:r w:rsidR="00CD3311">
        <w:t xml:space="preserve"> </w:t>
      </w:r>
      <w:r w:rsidR="00A41EA6">
        <w:t>reduced</w:t>
      </w:r>
      <w:r w:rsidR="00F370F8">
        <w:t xml:space="preserve"> </w:t>
      </w:r>
      <w:r w:rsidR="00CD3311">
        <w:t xml:space="preserve">processing timelines for </w:t>
      </w:r>
      <w:r w:rsidR="00C9331A">
        <w:t xml:space="preserve">applications to support efficient farm operations. </w:t>
      </w:r>
      <w:r w:rsidR="00844600">
        <w:t>Goulburn-Murray Water</w:t>
      </w:r>
      <w:r w:rsidR="00373F7C" w:rsidRPr="00FB4CD4">
        <w:t xml:space="preserve"> </w:t>
      </w:r>
      <w:r w:rsidR="00E20360">
        <w:t xml:space="preserve">has </w:t>
      </w:r>
      <w:r w:rsidR="00373F7C" w:rsidRPr="00FB4CD4">
        <w:t xml:space="preserve">also </w:t>
      </w:r>
      <w:r w:rsidR="00E20360">
        <w:t>adopted</w:t>
      </w:r>
      <w:r w:rsidR="00373F7C" w:rsidRPr="00FB4CD4">
        <w:t xml:space="preserve"> a new ‘socially responsible’ outcome following customer feedback, which will deliver environmental and cultural outcomes that matter to Traditional Owners and communities.</w:t>
      </w:r>
      <w:r w:rsidR="00C60195" w:rsidRPr="00C60195">
        <w:t xml:space="preserve"> </w:t>
      </w:r>
    </w:p>
    <w:p w14:paraId="7C3973F2" w14:textId="7C15A49E" w:rsidR="00666B23" w:rsidRPr="003F739E" w:rsidRDefault="00C60195" w:rsidP="00A15336">
      <w:pPr>
        <w:rPr>
          <w:highlight w:val="darkGray"/>
        </w:rPr>
      </w:pPr>
      <w:r>
        <w:t>Goulburn-Murray Water has committed to efficiencies to minimise prices</w:t>
      </w:r>
      <w:r w:rsidRPr="00FB4CD4">
        <w:t>.</w:t>
      </w:r>
      <w:r w:rsidR="00C543ED">
        <w:t xml:space="preserve"> It proposed </w:t>
      </w:r>
      <w:r w:rsidR="0063758E">
        <w:t xml:space="preserve">lower prices (before inflation) for gravity irrigation, </w:t>
      </w:r>
      <w:r w:rsidR="001D1843">
        <w:t>its largest service.</w:t>
      </w:r>
    </w:p>
    <w:p w14:paraId="7832FC8C" w14:textId="0E9AD7FF" w:rsidR="005A2979" w:rsidRDefault="005A2979" w:rsidP="005A2979">
      <w:pPr>
        <w:pStyle w:val="Heading2"/>
      </w:pPr>
      <w:bookmarkStart w:id="32" w:name="_Toc160038289"/>
      <w:bookmarkStart w:id="33" w:name="_Toc161400007"/>
      <w:r w:rsidRPr="002224A3">
        <w:lastRenderedPageBreak/>
        <w:t>Our draft decision approves a revenue requirement that will enable Goulburn-Murray Water to deliver on its proposed outcomes</w:t>
      </w:r>
      <w:bookmarkEnd w:id="32"/>
      <w:bookmarkEnd w:id="33"/>
      <w:r w:rsidRPr="002224A3">
        <w:t xml:space="preserve"> </w:t>
      </w:r>
    </w:p>
    <w:p w14:paraId="570F6FAF" w14:textId="655D021D" w:rsidR="005A2979" w:rsidRDefault="005A2979" w:rsidP="005A2979">
      <w:r w:rsidRPr="00213DEB">
        <w:t xml:space="preserve">Our draft decision </w:t>
      </w:r>
      <w:r>
        <w:t xml:space="preserve">is to </w:t>
      </w:r>
      <w:r w:rsidRPr="005D1C5B">
        <w:t>approve</w:t>
      </w:r>
      <w:r>
        <w:t xml:space="preserve"> a revenue requirement that </w:t>
      </w:r>
      <w:r w:rsidR="00671980">
        <w:t>will</w:t>
      </w:r>
      <w:r>
        <w:t xml:space="preserve"> allow Goulburn-Murray Water to deliver on its customer service commitments, government policy, and obligations monitored by the Environment Protection Authority Victoria and the Department of Health.</w:t>
      </w:r>
    </w:p>
    <w:p w14:paraId="0B4867D5" w14:textId="5C69BE63" w:rsidR="003A4D1A" w:rsidRDefault="005A2979" w:rsidP="00C765FB">
      <w:r w:rsidRPr="000F3489">
        <w:t>Our draft decision approve</w:t>
      </w:r>
      <w:r w:rsidR="00385B94">
        <w:t>s</w:t>
      </w:r>
      <w:r w:rsidRPr="000F3489">
        <w:t xml:space="preserve"> a revenue requirement of $</w:t>
      </w:r>
      <w:r w:rsidR="00616010">
        <w:t>480.3</w:t>
      </w:r>
      <w:r w:rsidRPr="000F3489">
        <w:t> million over</w:t>
      </w:r>
      <w:r w:rsidRPr="000F3489" w:rsidDel="0067404E">
        <w:t xml:space="preserve"> </w:t>
      </w:r>
      <w:r w:rsidR="0067404E">
        <w:t xml:space="preserve">a </w:t>
      </w:r>
      <w:r w:rsidRPr="000F3489">
        <w:t>four</w:t>
      </w:r>
      <w:r w:rsidRPr="000F3489">
        <w:noBreakHyphen/>
        <w:t>year period starting 1 July 2024 (Chapter 4).</w:t>
      </w:r>
      <w:r w:rsidRPr="000F3489">
        <w:rPr>
          <w:rStyle w:val="FootnoteReference"/>
        </w:rPr>
        <w:footnoteReference w:id="4"/>
      </w:r>
      <w:r w:rsidRPr="000F3489">
        <w:t xml:space="preserve"> This reflects our view of efficient costs. This </w:t>
      </w:r>
      <w:r>
        <w:t xml:space="preserve">figure </w:t>
      </w:r>
      <w:r w:rsidRPr="000F3489">
        <w:t xml:space="preserve">is </w:t>
      </w:r>
      <w:r w:rsidR="003418CE">
        <w:t>around one</w:t>
      </w:r>
      <w:r w:rsidR="007E7ED4">
        <w:t xml:space="preserve"> per cent </w:t>
      </w:r>
      <w:r w:rsidR="00616010">
        <w:t xml:space="preserve">higher than </w:t>
      </w:r>
      <w:r w:rsidRPr="000F3489">
        <w:t>proposed by Goulburn-Murray Water</w:t>
      </w:r>
      <w:r w:rsidR="00F45CBE">
        <w:t xml:space="preserve">, </w:t>
      </w:r>
      <w:r w:rsidR="00F45CBE" w:rsidRPr="00D1031B">
        <w:t>reflecting</w:t>
      </w:r>
      <w:r w:rsidR="00616010" w:rsidRPr="00D1031B">
        <w:t xml:space="preserve"> </w:t>
      </w:r>
      <w:r w:rsidR="00CE6EF7" w:rsidRPr="00D1031B">
        <w:t xml:space="preserve">our </w:t>
      </w:r>
      <w:r w:rsidR="00030828" w:rsidRPr="00D1031B">
        <w:t>down</w:t>
      </w:r>
      <w:r w:rsidR="00CE6EF7" w:rsidRPr="00D1031B">
        <w:t>ward</w:t>
      </w:r>
      <w:r w:rsidR="00030828" w:rsidRPr="00D1031B">
        <w:t xml:space="preserve"> </w:t>
      </w:r>
      <w:r w:rsidR="00CE6EF7" w:rsidRPr="00D1031B">
        <w:t xml:space="preserve">adjustment to </w:t>
      </w:r>
      <w:r w:rsidR="00616010" w:rsidRPr="00D1031B" w:rsidDel="00C52DF5">
        <w:t>our</w:t>
      </w:r>
      <w:r w:rsidR="00616010" w:rsidRPr="00D1031B" w:rsidDel="003418CE">
        <w:t xml:space="preserve"> </w:t>
      </w:r>
      <w:r w:rsidR="00616010" w:rsidRPr="00D1031B">
        <w:t>long-term inflation forecast from 3.5</w:t>
      </w:r>
      <w:r w:rsidR="00AD238A" w:rsidRPr="00D1031B">
        <w:t xml:space="preserve"> per cent </w:t>
      </w:r>
      <w:r w:rsidR="00616010" w:rsidRPr="00D1031B">
        <w:t>to 3</w:t>
      </w:r>
      <w:r w:rsidR="00AD238A" w:rsidRPr="00D1031B">
        <w:t xml:space="preserve"> per cent</w:t>
      </w:r>
      <w:r w:rsidR="000A769E" w:rsidRPr="00D1031B">
        <w:t>.</w:t>
      </w:r>
      <w:r w:rsidR="00177D73" w:rsidRPr="00D1031B">
        <w:rPr>
          <w:rStyle w:val="FootnoteReference"/>
        </w:rPr>
        <w:footnoteReference w:id="5"/>
      </w:r>
      <w:r w:rsidR="000A769E" w:rsidRPr="00D1031B">
        <w:t xml:space="preserve"> The</w:t>
      </w:r>
      <w:r w:rsidR="000A769E">
        <w:t xml:space="preserve"> main </w:t>
      </w:r>
      <w:r w:rsidR="006B20D6">
        <w:t xml:space="preserve">impact of </w:t>
      </w:r>
      <w:r w:rsidR="000A769E">
        <w:t xml:space="preserve">this is </w:t>
      </w:r>
      <w:r w:rsidR="006B20D6">
        <w:t xml:space="preserve">to increase the real </w:t>
      </w:r>
      <w:r w:rsidR="00603F6D">
        <w:t xml:space="preserve">cost of debt </w:t>
      </w:r>
      <w:r w:rsidR="007E7775">
        <w:t>included in the revenue requirement</w:t>
      </w:r>
      <w:r w:rsidR="00836F16">
        <w:t>.</w:t>
      </w:r>
      <w:r w:rsidR="000321BD">
        <w:t xml:space="preserve"> </w:t>
      </w:r>
    </w:p>
    <w:p w14:paraId="1B164F81" w14:textId="3D826484" w:rsidR="00E82A17" w:rsidRDefault="00854319" w:rsidP="00C765FB">
      <w:r>
        <w:t xml:space="preserve">Other than </w:t>
      </w:r>
      <w:r w:rsidR="00FA6F13">
        <w:t>th</w:t>
      </w:r>
      <w:r w:rsidR="007C524F">
        <w:t>e</w:t>
      </w:r>
      <w:r w:rsidR="00FA6F13">
        <w:t xml:space="preserve"> </w:t>
      </w:r>
      <w:r w:rsidR="00387B28">
        <w:t xml:space="preserve">inflation </w:t>
      </w:r>
      <w:r w:rsidR="00FA6F13">
        <w:t>update</w:t>
      </w:r>
      <w:r w:rsidR="00387B28">
        <w:t>,</w:t>
      </w:r>
      <w:r w:rsidR="003A4D1A">
        <w:t xml:space="preserve"> </w:t>
      </w:r>
      <w:r w:rsidR="002B3E4A">
        <w:t xml:space="preserve">we </w:t>
      </w:r>
      <w:r w:rsidR="00495E7B">
        <w:t xml:space="preserve">have not </w:t>
      </w:r>
      <w:r w:rsidR="000321BD">
        <w:t>propose</w:t>
      </w:r>
      <w:r w:rsidR="00495E7B">
        <w:t>d</w:t>
      </w:r>
      <w:r w:rsidR="000321BD">
        <w:t xml:space="preserve"> any </w:t>
      </w:r>
      <w:r w:rsidR="003213C3">
        <w:t xml:space="preserve">other </w:t>
      </w:r>
      <w:r w:rsidR="002B3E4A">
        <w:t xml:space="preserve">cost </w:t>
      </w:r>
      <w:r w:rsidR="000321BD">
        <w:t>adjustments</w:t>
      </w:r>
      <w:r w:rsidR="000117DD">
        <w:t xml:space="preserve"> </w:t>
      </w:r>
      <w:r w:rsidR="00495E7B">
        <w:t xml:space="preserve">relative to Goulburn-Murray’s proposals </w:t>
      </w:r>
      <w:r w:rsidR="000117DD">
        <w:t>in our draft decision</w:t>
      </w:r>
      <w:r w:rsidR="00C357F3">
        <w:t>.</w:t>
      </w:r>
      <w:r w:rsidR="00EF15D7" w:rsidRPr="00EF15D7">
        <w:t xml:space="preserve"> </w:t>
      </w:r>
    </w:p>
    <w:p w14:paraId="668312E3" w14:textId="3069E36D" w:rsidR="00DD5616" w:rsidRDefault="00EF15D7" w:rsidP="00C765FB">
      <w:r>
        <w:t xml:space="preserve">Goulburn-Murray Water must respond to our draft decision and propose individual tariffs that </w:t>
      </w:r>
      <w:r w:rsidR="00E5547A">
        <w:t xml:space="preserve">take into account </w:t>
      </w:r>
      <w:r>
        <w:t>our initial views on the revenue requirement</w:t>
      </w:r>
      <w:r w:rsidR="00554C47">
        <w:t xml:space="preserve">, and </w:t>
      </w:r>
      <w:r w:rsidR="00554C47" w:rsidRPr="00C31472">
        <w:t xml:space="preserve">our </w:t>
      </w:r>
      <w:r w:rsidR="00554C47">
        <w:t xml:space="preserve">upcoming </w:t>
      </w:r>
      <w:r w:rsidR="00554C47" w:rsidRPr="00C31472">
        <w:t xml:space="preserve">updates to inflation and </w:t>
      </w:r>
      <w:r w:rsidR="00554C47">
        <w:t xml:space="preserve">the </w:t>
      </w:r>
      <w:r w:rsidR="00554C47" w:rsidRPr="00C31472">
        <w:t>cost of debt prior to our final decision.</w:t>
      </w:r>
    </w:p>
    <w:p w14:paraId="063C6AEA" w14:textId="21873760" w:rsidR="005A2979" w:rsidRDefault="00554C47" w:rsidP="00C765FB">
      <w:r w:rsidRPr="00C31472">
        <w:t xml:space="preserve">In </w:t>
      </w:r>
      <w:r>
        <w:t>June</w:t>
      </w:r>
      <w:r w:rsidRPr="00C31472">
        <w:t xml:space="preserve"> 2024, we intend to determine prices for Goulburn-Murray Water in $2024</w:t>
      </w:r>
      <w:r>
        <w:t>-</w:t>
      </w:r>
      <w:r w:rsidRPr="00C31472">
        <w:t xml:space="preserve">25 terms. This means the annual change in the March Quarter 2024 consumer price index (published by the Australian Bureau of Statistics) </w:t>
      </w:r>
      <w:r w:rsidR="004131F4">
        <w:t>needs to be used to calculate</w:t>
      </w:r>
      <w:r w:rsidRPr="00C31472">
        <w:t xml:space="preserve"> 2024</w:t>
      </w:r>
      <w:r>
        <w:t>-</w:t>
      </w:r>
      <w:r w:rsidRPr="00C31472">
        <w:t xml:space="preserve">25 </w:t>
      </w:r>
      <w:r>
        <w:t xml:space="preserve">maximum approved </w:t>
      </w:r>
      <w:r w:rsidRPr="00C31472">
        <w:t>prices.</w:t>
      </w:r>
      <w:r w:rsidR="00EF15D7">
        <w:t xml:space="preserve"> </w:t>
      </w:r>
    </w:p>
    <w:p w14:paraId="3D5E92B6" w14:textId="3617C166" w:rsidR="001C7BA6" w:rsidRPr="00FA35CA" w:rsidRDefault="005A2FC0" w:rsidP="001C7BA6">
      <w:pPr>
        <w:pStyle w:val="Heading2"/>
      </w:pPr>
      <w:bookmarkStart w:id="34" w:name="_Toc160038290"/>
      <w:bookmarkStart w:id="35" w:name="_Toc161400008"/>
      <w:r w:rsidRPr="001B64E6">
        <w:rPr>
          <w:rFonts w:eastAsia="Tahoma" w:cs="Tahoma"/>
        </w:rPr>
        <w:t>Our draft decision accept</w:t>
      </w:r>
      <w:r w:rsidR="001B64E6" w:rsidRPr="001B64E6">
        <w:rPr>
          <w:rFonts w:eastAsia="Tahoma" w:cs="Tahoma"/>
        </w:rPr>
        <w:t>s key tariff reforms proposed by</w:t>
      </w:r>
      <w:r w:rsidRPr="001B64E6">
        <w:rPr>
          <w:rFonts w:eastAsia="Tahoma" w:cs="Tahoma"/>
        </w:rPr>
        <w:t xml:space="preserve"> </w:t>
      </w:r>
      <w:r w:rsidR="00A11B37">
        <w:rPr>
          <w:rFonts w:eastAsia="Tahoma" w:cs="Tahoma"/>
        </w:rPr>
        <w:br/>
      </w:r>
      <w:r w:rsidRPr="001B64E6">
        <w:rPr>
          <w:rFonts w:eastAsia="Tahoma" w:cs="Tahoma"/>
        </w:rPr>
        <w:t>Goulburn</w:t>
      </w:r>
      <w:r w:rsidR="00F32934" w:rsidRPr="001B64E6">
        <w:rPr>
          <w:rFonts w:eastAsia="Tahoma" w:cs="Tahoma"/>
        </w:rPr>
        <w:t>-</w:t>
      </w:r>
      <w:r w:rsidRPr="001B64E6">
        <w:rPr>
          <w:rFonts w:eastAsia="Tahoma" w:cs="Tahoma"/>
        </w:rPr>
        <w:t>Murray Water</w:t>
      </w:r>
      <w:r w:rsidR="003A1825">
        <w:rPr>
          <w:rFonts w:eastAsia="Tahoma" w:cs="Tahoma"/>
        </w:rPr>
        <w:t xml:space="preserve">, but not </w:t>
      </w:r>
      <w:r w:rsidR="00834E4F">
        <w:rPr>
          <w:rFonts w:eastAsia="Tahoma" w:cs="Tahoma"/>
        </w:rPr>
        <w:t>one of its</w:t>
      </w:r>
      <w:r w:rsidR="003A1825" w:rsidDel="00834E4F">
        <w:rPr>
          <w:rFonts w:eastAsia="Tahoma" w:cs="Tahoma"/>
        </w:rPr>
        <w:t xml:space="preserve"> </w:t>
      </w:r>
      <w:bookmarkEnd w:id="34"/>
      <w:r w:rsidR="003A1825" w:rsidRPr="00B04494">
        <w:t>proposed service point fees</w:t>
      </w:r>
      <w:bookmarkEnd w:id="35"/>
    </w:p>
    <w:p w14:paraId="71BD806B" w14:textId="77777777" w:rsidR="00DB651F" w:rsidRPr="003632F0" w:rsidRDefault="001C7BA6" w:rsidP="001C7BA6">
      <w:r w:rsidRPr="003632F0">
        <w:t>Goulburn-Murray Water proposed to</w:t>
      </w:r>
      <w:r w:rsidR="00DB651F" w:rsidRPr="003632F0">
        <w:t>:</w:t>
      </w:r>
    </w:p>
    <w:p w14:paraId="2E612D26" w14:textId="31AD832B" w:rsidR="00DB651F" w:rsidRPr="00C3495C" w:rsidRDefault="002359A9" w:rsidP="00821A3A">
      <w:pPr>
        <w:pStyle w:val="ListBullet"/>
      </w:pPr>
      <w:r>
        <w:t>m</w:t>
      </w:r>
      <w:r w:rsidR="001C7BA6" w:rsidRPr="00C3495C">
        <w:t>ove its bulk water pricing from a basin to a two-system pricing approach. This aligns with the two-system pricing approach we approved for entitlement storage fees in 2020. The proposed approach is more cost reflective, simpler and is supported by Goulburn-Murray Water’s bulk water customers</w:t>
      </w:r>
    </w:p>
    <w:p w14:paraId="5DA33528" w14:textId="688DE827" w:rsidR="00DB651F" w:rsidRPr="003632F0" w:rsidRDefault="002359A9" w:rsidP="00821A3A">
      <w:pPr>
        <w:pStyle w:val="ListBullet"/>
      </w:pPr>
      <w:r>
        <w:t>s</w:t>
      </w:r>
      <w:r w:rsidR="001C7BA6" w:rsidRPr="00C3495C">
        <w:t>implify its tariffs for surface and sub-surface drainage to make them more cost reflective and easier for customers to understand.</w:t>
      </w:r>
      <w:r w:rsidR="001C7BA6" w:rsidRPr="003632F0">
        <w:t xml:space="preserve"> </w:t>
      </w:r>
    </w:p>
    <w:p w14:paraId="77C98EEC" w14:textId="56BFC972" w:rsidR="00887222" w:rsidRDefault="001C7BA6" w:rsidP="001C7BA6">
      <w:r w:rsidRPr="003632F0">
        <w:lastRenderedPageBreak/>
        <w:t xml:space="preserve">Our draft decision accepts Goulburn-Murray Water’s proposed </w:t>
      </w:r>
      <w:r w:rsidR="00005B2D" w:rsidRPr="003632F0">
        <w:t xml:space="preserve">bulk water and drainage </w:t>
      </w:r>
      <w:r w:rsidRPr="003632F0">
        <w:t>tariff reforms as they meet the criteria set out in the guidance.</w:t>
      </w:r>
      <w:r w:rsidRPr="003632F0">
        <w:rPr>
          <w:rStyle w:val="FootnoteReference"/>
        </w:rPr>
        <w:footnoteReference w:id="6"/>
      </w:r>
      <w:r w:rsidR="000723AD">
        <w:t xml:space="preserve"> </w:t>
      </w:r>
    </w:p>
    <w:p w14:paraId="739F1F74" w14:textId="398F6B98" w:rsidR="00A43A88" w:rsidRDefault="001C7BA6" w:rsidP="00A43A88">
      <w:r w:rsidRPr="00B04494">
        <w:t xml:space="preserve">Our draft decision </w:t>
      </w:r>
      <w:r w:rsidR="000723AD">
        <w:t xml:space="preserve">also </w:t>
      </w:r>
      <w:r w:rsidRPr="00B04494">
        <w:t xml:space="preserve">accepts </w:t>
      </w:r>
      <w:r w:rsidR="00FA12BF">
        <w:t xml:space="preserve">most of </w:t>
      </w:r>
      <w:r w:rsidRPr="00B04494">
        <w:t xml:space="preserve">Goulburn-Murray Water’s </w:t>
      </w:r>
      <w:r w:rsidR="0004435A" w:rsidRPr="00B04494">
        <w:t>remaining</w:t>
      </w:r>
      <w:r w:rsidRPr="00B04494">
        <w:t xml:space="preserve"> tariffs on the basis that they are a continuation of </w:t>
      </w:r>
      <w:r w:rsidR="00704FF0">
        <w:t>its</w:t>
      </w:r>
      <w:r w:rsidRPr="00B04494">
        <w:t xml:space="preserve"> approach and otherwise meet the requirements </w:t>
      </w:r>
      <w:r w:rsidRPr="00F31C5D">
        <w:t xml:space="preserve">of </w:t>
      </w:r>
      <w:r w:rsidR="002C22E5" w:rsidRPr="00F31C5D">
        <w:t xml:space="preserve">our </w:t>
      </w:r>
      <w:r w:rsidRPr="00F31C5D">
        <w:t>guidance</w:t>
      </w:r>
      <w:r w:rsidR="00E176D2">
        <w:t>.</w:t>
      </w:r>
      <w:r w:rsidR="00F30D6A" w:rsidRPr="00F31C5D">
        <w:t xml:space="preserve"> </w:t>
      </w:r>
      <w:r w:rsidR="0045317F">
        <w:t xml:space="preserve">We </w:t>
      </w:r>
      <w:r w:rsidR="00F30D6A" w:rsidRPr="00F31C5D">
        <w:t>not</w:t>
      </w:r>
      <w:r w:rsidR="0045317F">
        <w:t>e</w:t>
      </w:r>
      <w:r w:rsidR="00F30D6A" w:rsidRPr="00F31C5D">
        <w:t xml:space="preserve"> </w:t>
      </w:r>
      <w:r w:rsidR="007E23AE" w:rsidRPr="00F31C5D">
        <w:t>the business will need to review its proposed prices given our dra</w:t>
      </w:r>
      <w:r w:rsidR="00A27F8E" w:rsidRPr="00F31C5D">
        <w:t>f</w:t>
      </w:r>
      <w:r w:rsidR="007E23AE" w:rsidRPr="00F31C5D">
        <w:t>t decision</w:t>
      </w:r>
      <w:r w:rsidR="00F31C5D" w:rsidRPr="00F31C5D">
        <w:t>, and</w:t>
      </w:r>
      <w:r w:rsidR="00342EA9" w:rsidRPr="00F31C5D">
        <w:t xml:space="preserve"> </w:t>
      </w:r>
      <w:r w:rsidR="007E23AE" w:rsidRPr="00F31C5D">
        <w:t xml:space="preserve">upcoming </w:t>
      </w:r>
      <w:r w:rsidR="00A43A88" w:rsidRPr="00F31C5D">
        <w:t>updates to</w:t>
      </w:r>
      <w:r w:rsidR="00186D3F" w:rsidRPr="00F31C5D">
        <w:t xml:space="preserve"> inflation and </w:t>
      </w:r>
      <w:r w:rsidR="007E23AE" w:rsidRPr="00F31C5D">
        <w:t>the cost of debt</w:t>
      </w:r>
      <w:r w:rsidR="00A43A88" w:rsidRPr="00F31C5D">
        <w:t xml:space="preserve"> prior to our final decision.</w:t>
      </w:r>
    </w:p>
    <w:p w14:paraId="25B3B814" w14:textId="4478078C" w:rsidR="00EB3830" w:rsidRPr="00B04494" w:rsidRDefault="008D10E9" w:rsidP="00EB3830">
      <w:r>
        <w:t>O</w:t>
      </w:r>
      <w:r w:rsidR="00EB3830" w:rsidRPr="00B04494">
        <w:t>ur draft decision does not accept Goulburn-Murray water’s proposed tariffs for service point fees for unmetered customers as we consider they are not cost reflective and do not meet the requirements of our guidance. We require Goulburn-Murray Water to recalculate its proposed service point fees for unmetered customers after considering our draft decision</w:t>
      </w:r>
      <w:r w:rsidR="000843A6">
        <w:t xml:space="preserve">, </w:t>
      </w:r>
      <w:r w:rsidR="000843A6" w:rsidRPr="000843A6">
        <w:t>noting that we suggest actual cost data to be collected over the medium to longer term</w:t>
      </w:r>
      <w:r w:rsidR="00D21F81">
        <w:t>,</w:t>
      </w:r>
      <w:r w:rsidR="000843A6" w:rsidRPr="000843A6">
        <w:t xml:space="preserve"> which will provide greater accuracy</w:t>
      </w:r>
      <w:r w:rsidR="000843A6">
        <w:t xml:space="preserve">. </w:t>
      </w:r>
    </w:p>
    <w:p w14:paraId="49DAF321" w14:textId="670A340D" w:rsidR="006C4BB8" w:rsidRDefault="003A1825" w:rsidP="001C7BA6">
      <w:r>
        <w:t>See chapters 7 to 11 for our</w:t>
      </w:r>
      <w:r w:rsidR="006C4BB8" w:rsidRPr="00415D51">
        <w:t xml:space="preserve"> review of Goulburn-Murray Water’s proposed tariff</w:t>
      </w:r>
      <w:r w:rsidR="006C4BB8">
        <w:t>s</w:t>
      </w:r>
      <w:r w:rsidR="006C4BB8" w:rsidRPr="00415D51">
        <w:t>.</w:t>
      </w:r>
    </w:p>
    <w:p w14:paraId="4124A84A" w14:textId="3C062B1C" w:rsidR="003A2968" w:rsidRDefault="003A2968" w:rsidP="00121301">
      <w:pPr>
        <w:pStyle w:val="Heading2"/>
      </w:pPr>
      <w:bookmarkStart w:id="36" w:name="_Toc117178655"/>
      <w:bookmarkStart w:id="37" w:name="_Toc160038291"/>
      <w:bookmarkStart w:id="38" w:name="_Toc161400009"/>
      <w:bookmarkStart w:id="39" w:name="_Toc118289110"/>
      <w:bookmarkStart w:id="40" w:name="_Toc122514841"/>
      <w:bookmarkStart w:id="41" w:name="_Toc149223911"/>
      <w:bookmarkStart w:id="42" w:name="_Toc149560237"/>
      <w:bookmarkStart w:id="43" w:name="_Toc150866051"/>
      <w:bookmarkStart w:id="44" w:name="_Toc150866155"/>
      <w:bookmarkStart w:id="45" w:name="_Toc150866221"/>
      <w:r>
        <w:t xml:space="preserve">Our draft decision </w:t>
      </w:r>
      <w:r w:rsidR="00FB7577">
        <w:t xml:space="preserve">is </w:t>
      </w:r>
      <w:r w:rsidR="004177D3" w:rsidRPr="004177D3">
        <w:t xml:space="preserve">to </w:t>
      </w:r>
      <w:r w:rsidRPr="004177D3">
        <w:t>rate</w:t>
      </w:r>
      <w:r>
        <w:t xml:space="preserve"> </w:t>
      </w:r>
      <w:r w:rsidR="0021297E">
        <w:t>Goulburn-Murray Water</w:t>
      </w:r>
      <w:r>
        <w:t xml:space="preserve">’s price submission as </w:t>
      </w:r>
      <w:r w:rsidRPr="00320FE6">
        <w:t>‘</w:t>
      </w:r>
      <w:r w:rsidR="00652FB4" w:rsidRPr="00320FE6">
        <w:t>Standard</w:t>
      </w:r>
      <w:r w:rsidRPr="00320FE6">
        <w:t>’</w:t>
      </w:r>
      <w:r>
        <w:t xml:space="preserve"> under </w:t>
      </w:r>
      <w:r w:rsidR="00D8616F">
        <w:t xml:space="preserve">the </w:t>
      </w:r>
      <w:r>
        <w:t>PREMO</w:t>
      </w:r>
      <w:bookmarkEnd w:id="36"/>
      <w:r w:rsidR="00C32587">
        <w:t xml:space="preserve"> </w:t>
      </w:r>
      <w:r w:rsidR="00D8616F">
        <w:t>framework</w:t>
      </w:r>
      <w:bookmarkEnd w:id="37"/>
      <w:bookmarkEnd w:id="38"/>
      <w:r w:rsidR="00D8616F">
        <w:t xml:space="preserve"> </w:t>
      </w:r>
      <w:bookmarkEnd w:id="39"/>
      <w:bookmarkEnd w:id="40"/>
      <w:bookmarkEnd w:id="41"/>
      <w:bookmarkEnd w:id="42"/>
      <w:bookmarkEnd w:id="43"/>
      <w:bookmarkEnd w:id="44"/>
      <w:bookmarkEnd w:id="45"/>
    </w:p>
    <w:p w14:paraId="2253FB38" w14:textId="3DC47FBC" w:rsidR="003A2968" w:rsidRDefault="003A2968" w:rsidP="003A2968">
      <w:r>
        <w:t xml:space="preserve">Our draft decision is to rate </w:t>
      </w:r>
      <w:r w:rsidR="00D1620B">
        <w:t>Goulburn-Murray Water</w:t>
      </w:r>
      <w:r>
        <w:t xml:space="preserve">’s price submission as </w:t>
      </w:r>
      <w:r w:rsidR="00652FB4" w:rsidRPr="00320FE6">
        <w:t>‘Standard’</w:t>
      </w:r>
      <w:r>
        <w:t xml:space="preserve"> under </w:t>
      </w:r>
      <w:r w:rsidR="00095403">
        <w:t xml:space="preserve">the </w:t>
      </w:r>
      <w:r>
        <w:t>PREMO</w:t>
      </w:r>
      <w:r w:rsidR="00095403">
        <w:t xml:space="preserve"> framework</w:t>
      </w:r>
      <w:r w:rsidR="007A0DFB">
        <w:t xml:space="preserve"> (Table </w:t>
      </w:r>
      <w:r w:rsidR="0062260A" w:rsidRPr="00320FE6">
        <w:t>A</w:t>
      </w:r>
      <w:r w:rsidR="007A0DFB">
        <w:t>)</w:t>
      </w:r>
      <w:r>
        <w:t>. Th</w:t>
      </w:r>
      <w:r w:rsidR="00095403">
        <w:t>is</w:t>
      </w:r>
      <w:r>
        <w:t xml:space="preserve"> is the same as the business’s </w:t>
      </w:r>
      <w:r w:rsidRPr="00320FE6">
        <w:t>self</w:t>
      </w:r>
      <w:r w:rsidR="000D6B4B" w:rsidRPr="00320FE6">
        <w:noBreakHyphen/>
      </w:r>
      <w:r w:rsidRPr="00320FE6">
        <w:t>rating of its price submission</w:t>
      </w:r>
      <w:r>
        <w:t xml:space="preserve">. </w:t>
      </w:r>
    </w:p>
    <w:p w14:paraId="738A1DC2" w14:textId="3868304A" w:rsidR="005D230D" w:rsidRPr="00CD6883" w:rsidRDefault="005D230D" w:rsidP="003A2968">
      <w:r w:rsidRPr="00CD6883">
        <w:t>Key factors supporting this PREMO rating include:</w:t>
      </w:r>
    </w:p>
    <w:p w14:paraId="0983D5B0" w14:textId="4B4E9CFB" w:rsidR="008C68A6" w:rsidRPr="00CD6883" w:rsidRDefault="008C68A6" w:rsidP="00821A3A">
      <w:pPr>
        <w:pStyle w:val="ListBullet"/>
      </w:pPr>
      <w:r w:rsidRPr="00CD6883">
        <w:t xml:space="preserve">it provided a price submission and supporting </w:t>
      </w:r>
      <w:r w:rsidR="009E5714">
        <w:t xml:space="preserve">pricing </w:t>
      </w:r>
      <w:r w:rsidRPr="00CD6883">
        <w:t>model that were of a high quality</w:t>
      </w:r>
    </w:p>
    <w:p w14:paraId="47922087" w14:textId="2999C2A7" w:rsidR="008C68A6" w:rsidRPr="00CD6883" w:rsidRDefault="00D329B2" w:rsidP="00821A3A">
      <w:pPr>
        <w:pStyle w:val="ListBullet"/>
      </w:pPr>
      <w:r w:rsidRPr="00CD6883">
        <w:t xml:space="preserve">we have accepted the business’s proposed operating and capital expenditure benchmarks, </w:t>
      </w:r>
      <w:r w:rsidR="002E6EE0" w:rsidRPr="00CD6883">
        <w:t xml:space="preserve">demonstrating the </w:t>
      </w:r>
      <w:r w:rsidR="00C45D88" w:rsidRPr="00CD6883">
        <w:t>prudency and efficiency of</w:t>
      </w:r>
      <w:r w:rsidR="00FA07BB" w:rsidRPr="00CD6883">
        <w:t xml:space="preserve"> </w:t>
      </w:r>
      <w:r w:rsidR="00B94108">
        <w:t xml:space="preserve">the </w:t>
      </w:r>
      <w:r w:rsidR="00C45D88" w:rsidRPr="00CD6883">
        <w:t>forecasts</w:t>
      </w:r>
      <w:r w:rsidR="00CD6883" w:rsidRPr="00CD6883">
        <w:t xml:space="preserve"> in its price submission</w:t>
      </w:r>
    </w:p>
    <w:p w14:paraId="25436A9C" w14:textId="2912AAEC" w:rsidR="003A05F5" w:rsidRPr="00CD6883" w:rsidRDefault="003A05F5" w:rsidP="00821A3A">
      <w:pPr>
        <w:pStyle w:val="ListBullet"/>
      </w:pPr>
      <w:r>
        <w:t xml:space="preserve">its </w:t>
      </w:r>
      <w:r w:rsidRPr="00CD6883">
        <w:t>propos</w:t>
      </w:r>
      <w:r>
        <w:t xml:space="preserve">al </w:t>
      </w:r>
      <w:r w:rsidRPr="00CD6883">
        <w:t xml:space="preserve">to absorb any operating cost increases above inflation through operational efficiencies   </w:t>
      </w:r>
    </w:p>
    <w:p w14:paraId="22BEFEC8" w14:textId="5A885B5F" w:rsidR="00723915" w:rsidRPr="00CD6883" w:rsidRDefault="003A05F5" w:rsidP="00821A3A">
      <w:pPr>
        <w:pStyle w:val="ListBullet"/>
      </w:pPr>
      <w:r>
        <w:t xml:space="preserve">the </w:t>
      </w:r>
      <w:r w:rsidR="0013751F" w:rsidRPr="00CD6883">
        <w:t xml:space="preserve">exclusion of </w:t>
      </w:r>
      <w:r>
        <w:t>some</w:t>
      </w:r>
      <w:r w:rsidR="0013751F" w:rsidRPr="00CD6883">
        <w:t xml:space="preserve"> capital investment from customer prices due to uncertainty related to associated projects, thereby ensuring customers do not pay for projects that do not ultimately proceed or change in scope </w:t>
      </w:r>
    </w:p>
    <w:p w14:paraId="5B0B964B" w14:textId="13A36A87" w:rsidR="00EE2B12" w:rsidRPr="00CD6883" w:rsidRDefault="00EE2B12" w:rsidP="00821A3A">
      <w:pPr>
        <w:pStyle w:val="ListBullet"/>
      </w:pPr>
      <w:r w:rsidRPr="00CD6883">
        <w:t>the overall quality of its engagement program and the level of influence it afforded many of its stakeholder groups</w:t>
      </w:r>
      <w:r w:rsidR="009224D4">
        <w:t>.</w:t>
      </w:r>
    </w:p>
    <w:p w14:paraId="3F5246BE" w14:textId="44DB0581" w:rsidR="00593117" w:rsidRPr="009224D4" w:rsidRDefault="007D7B44" w:rsidP="009E5714">
      <w:r w:rsidRPr="009224D4">
        <w:lastRenderedPageBreak/>
        <w:t xml:space="preserve">Most outcome targets indicate that Goulburn-Murray Water will maintain its current level of services over 2024–28, which along with </w:t>
      </w:r>
      <w:r w:rsidR="009E5714">
        <w:t xml:space="preserve">its proposed </w:t>
      </w:r>
      <w:r w:rsidRPr="009224D4">
        <w:t>reduction in bills for most of its customers, indicates a general improvement in customer value.</w:t>
      </w:r>
    </w:p>
    <w:p w14:paraId="081AEBEF" w14:textId="3960E816" w:rsidR="003A2968" w:rsidRDefault="0033460C" w:rsidP="003A2968">
      <w:bookmarkStart w:id="46" w:name="_Hlk117170073"/>
      <w:r>
        <w:t>See Section</w:t>
      </w:r>
      <w:r w:rsidR="00C81B89">
        <w:t> 1.4 and Chapter </w:t>
      </w:r>
      <w:r w:rsidR="00D7274D">
        <w:t>16</w:t>
      </w:r>
      <w:r w:rsidR="00C81B89">
        <w:t xml:space="preserve"> for an explanation of the PREMO framework</w:t>
      </w:r>
      <w:r w:rsidR="001B1EC4">
        <w:t>.</w:t>
      </w:r>
    </w:p>
    <w:p w14:paraId="0892ABA3" w14:textId="2F00B39B" w:rsidR="00E25F73" w:rsidRDefault="00E25F73" w:rsidP="00E25F73">
      <w:pPr>
        <w:sectPr w:rsidR="00E25F73" w:rsidSect="00DB48F2">
          <w:footerReference w:type="default" r:id="rId26"/>
          <w:type w:val="continuous"/>
          <w:pgSz w:w="11906" w:h="16838" w:code="9"/>
          <w:pgMar w:top="1134" w:right="1134" w:bottom="1134" w:left="1134" w:header="709" w:footer="692" w:gutter="0"/>
          <w:pgNumType w:fmt="lowerRoman"/>
          <w:cols w:space="708"/>
          <w:docGrid w:linePitch="360"/>
        </w:sectPr>
      </w:pPr>
    </w:p>
    <w:p w14:paraId="7DCF31E6" w14:textId="1ABDC1A1" w:rsidR="00E25F73" w:rsidRDefault="0078738D" w:rsidP="00DE0750">
      <w:pPr>
        <w:spacing w:before="360"/>
        <w:ind w:left="1276" w:right="284"/>
      </w:pPr>
      <w:r>
        <w:rPr>
          <w:noProof/>
        </w:rPr>
        <mc:AlternateContent>
          <mc:Choice Requires="wpc">
            <w:drawing>
              <wp:anchor distT="0" distB="0" distL="114300" distR="114300" simplePos="0" relativeHeight="251658241" behindDoc="1" locked="0" layoutInCell="1" allowOverlap="1" wp14:anchorId="5706201D" wp14:editId="7CB9FB60">
                <wp:simplePos x="0" y="0"/>
                <wp:positionH relativeFrom="margin">
                  <wp:align>left</wp:align>
                </wp:positionH>
                <wp:positionV relativeFrom="paragraph">
                  <wp:posOffset>-3810</wp:posOffset>
                </wp:positionV>
                <wp:extent cx="6113780" cy="685800"/>
                <wp:effectExtent l="0" t="0" r="20320" b="19050"/>
                <wp:wrapNone/>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2">
                            <a:lumMod val="40000"/>
                            <a:lumOff val="60000"/>
                          </a:schemeClr>
                        </a:solidFill>
                      </wpc:bg>
                      <wpc:whole>
                        <a:ln w="6350">
                          <a:solidFill>
                            <a:schemeClr val="tx1">
                              <a:lumMod val="65000"/>
                              <a:lumOff val="35000"/>
                            </a:schemeClr>
                          </a:solidFill>
                        </a:ln>
                      </wpc:whole>
                    </wpc:wpc>
                  </a:graphicData>
                </a:graphic>
                <wp14:sizeRelH relativeFrom="margin">
                  <wp14:pctWidth>0</wp14:pctWidth>
                </wp14:sizeRelH>
                <wp14:sizeRelV relativeFrom="margin">
                  <wp14:pctHeight>0</wp14:pctHeight>
                </wp14:sizeRelV>
              </wp:anchor>
            </w:drawing>
          </mc:Choice>
          <mc:Fallback>
            <w:pict>
              <v:group w14:anchorId="1BBEF6C4" id="Canvas 12" o:spid="_x0000_s1026" editas="canvas" style="position:absolute;margin-left:0;margin-top:-.3pt;width:481.4pt;height:54pt;z-index:-251658239;mso-position-horizontal:left;mso-position-horizontal-relative:margin;mso-width-relative:margin;mso-height-relative:margin" coordsize="6113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">
                <v:shape id="_x0000_s1027" type="#_x0000_t75" style="position:absolute;width:61137;height:6858;visibility:visible;mso-wrap-style:square" filled="t" fillcolor="#c7c8ca [1310]" stroked="t" strokecolor="#5a5a5a [2109]" strokeweight=".5pt">
                  <v:fill o:detectmouseclick="t"/>
                  <v:path o:connecttype="none"/>
                </v:shape>
                <w10:wrap anchorx="margin"/>
              </v:group>
            </w:pict>
          </mc:Fallback>
        </mc:AlternateContent>
      </w:r>
      <w:r w:rsidR="00E25F73">
        <w:rPr>
          <w:noProof/>
        </w:rPr>
        <w:drawing>
          <wp:anchor distT="0" distB="0" distL="114300" distR="114300" simplePos="0" relativeHeight="251658242" behindDoc="0" locked="0" layoutInCell="1" allowOverlap="1" wp14:anchorId="38B98D17" wp14:editId="7B529C7D">
            <wp:simplePos x="0" y="0"/>
            <wp:positionH relativeFrom="column">
              <wp:posOffset>60325</wp:posOffset>
            </wp:positionH>
            <wp:positionV relativeFrom="paragraph">
              <wp:posOffset>30480</wp:posOffset>
            </wp:positionV>
            <wp:extent cx="638175" cy="638175"/>
            <wp:effectExtent l="0" t="0" r="0" b="0"/>
            <wp:wrapSquare wrapText="bothSides"/>
            <wp:docPr id="19" name="Graphic 19"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omment Important outlin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r w:rsidR="00D205DA" w:rsidRPr="00D205DA">
        <w:t>Our PREMO rating is an assessment of the water business’s price submission. It is not an assessment of the water business itself</w:t>
      </w:r>
      <w:r w:rsidR="00E25F73" w:rsidRPr="006B7693">
        <w:t>.</w:t>
      </w:r>
    </w:p>
    <w:p w14:paraId="77FB8E65" w14:textId="5F7BD744" w:rsidR="00E25F73" w:rsidRDefault="005A74FC" w:rsidP="0001506F">
      <w:pPr>
        <w:pStyle w:val="Figure-Table-BoxHeading"/>
        <w:keepNext/>
        <w:keepLines/>
        <w:spacing w:before="360" w:line="288" w:lineRule="auto"/>
        <w:ind w:left="0" w:firstLine="0"/>
      </w:pPr>
      <w:r>
        <w:t xml:space="preserve">Table </w:t>
      </w:r>
      <w:r w:rsidR="00FE1750">
        <w:t>A</w:t>
      </w:r>
      <w:r w:rsidR="00BE0F73">
        <w:t xml:space="preserve"> </w:t>
      </w:r>
      <w:r w:rsidR="001C7AB5">
        <w:t>PREMO rating</w:t>
      </w:r>
    </w:p>
    <w:bookmarkEnd w:id="46"/>
    <w:tbl>
      <w:tblPr>
        <w:tblStyle w:val="TableGrid"/>
        <w:tblW w:w="9639" w:type="dxa"/>
        <w:tblLook w:val="04A0" w:firstRow="1" w:lastRow="0" w:firstColumn="1" w:lastColumn="0" w:noHBand="0" w:noVBand="1"/>
      </w:tblPr>
      <w:tblGrid>
        <w:gridCol w:w="1524"/>
        <w:gridCol w:w="1595"/>
        <w:gridCol w:w="1276"/>
        <w:gridCol w:w="1701"/>
        <w:gridCol w:w="1842"/>
        <w:gridCol w:w="1701"/>
      </w:tblGrid>
      <w:tr w:rsidR="00A018A1" w14:paraId="6F1C10A7" w14:textId="77777777" w:rsidTr="00A018A1">
        <w:trPr>
          <w:cnfStyle w:val="100000000000" w:firstRow="1" w:lastRow="0" w:firstColumn="0" w:lastColumn="0" w:oddVBand="0" w:evenVBand="0" w:oddHBand="0" w:evenHBand="0" w:firstRowFirstColumn="0" w:firstRowLastColumn="0" w:lastRowFirstColumn="0" w:lastRowLastColumn="0"/>
        </w:trPr>
        <w:tc>
          <w:tcPr>
            <w:tcW w:w="1524" w:type="dxa"/>
          </w:tcPr>
          <w:p w14:paraId="599C4DF8" w14:textId="77777777" w:rsidR="00A018A1" w:rsidRDefault="00A018A1" w:rsidP="0001506F">
            <w:pPr>
              <w:pStyle w:val="TableHeading"/>
              <w:keepNext/>
              <w:keepLines/>
              <w:rPr>
                <w:highlight w:val="cyan"/>
              </w:rPr>
            </w:pPr>
          </w:p>
        </w:tc>
        <w:tc>
          <w:tcPr>
            <w:tcW w:w="1595" w:type="dxa"/>
          </w:tcPr>
          <w:p w14:paraId="5C680EEA" w14:textId="4889830B" w:rsidR="00A018A1" w:rsidRDefault="00A018A1" w:rsidP="0001506F">
            <w:pPr>
              <w:pStyle w:val="TableHeading"/>
              <w:keepNext/>
              <w:keepLines/>
              <w:rPr>
                <w:highlight w:val="cyan"/>
              </w:rPr>
            </w:pPr>
            <w:r w:rsidRPr="00B542CE">
              <w:t>Overall PREMO rating</w:t>
            </w:r>
          </w:p>
        </w:tc>
        <w:tc>
          <w:tcPr>
            <w:tcW w:w="1276" w:type="dxa"/>
          </w:tcPr>
          <w:p w14:paraId="6C8ADD48" w14:textId="4FBA21BB" w:rsidR="00A018A1" w:rsidRDefault="00A018A1" w:rsidP="0001506F">
            <w:pPr>
              <w:pStyle w:val="TableHeading"/>
              <w:keepNext/>
              <w:keepLines/>
              <w:rPr>
                <w:highlight w:val="cyan"/>
              </w:rPr>
            </w:pPr>
            <w:r w:rsidRPr="00B542CE">
              <w:t>Risk</w:t>
            </w:r>
          </w:p>
        </w:tc>
        <w:tc>
          <w:tcPr>
            <w:tcW w:w="1701" w:type="dxa"/>
          </w:tcPr>
          <w:p w14:paraId="265814EF" w14:textId="32ACD01C" w:rsidR="00A018A1" w:rsidRDefault="00A018A1" w:rsidP="0001506F">
            <w:pPr>
              <w:pStyle w:val="TableHeading"/>
              <w:keepNext/>
              <w:keepLines/>
              <w:rPr>
                <w:highlight w:val="cyan"/>
              </w:rPr>
            </w:pPr>
            <w:r w:rsidRPr="00B542CE">
              <w:t>Engagement</w:t>
            </w:r>
          </w:p>
        </w:tc>
        <w:tc>
          <w:tcPr>
            <w:tcW w:w="1842" w:type="dxa"/>
          </w:tcPr>
          <w:p w14:paraId="1C27DF61" w14:textId="2AB89F76" w:rsidR="00A018A1" w:rsidRDefault="00A018A1" w:rsidP="0001506F">
            <w:pPr>
              <w:pStyle w:val="TableHeading"/>
              <w:keepNext/>
              <w:keepLines/>
              <w:rPr>
                <w:highlight w:val="cyan"/>
              </w:rPr>
            </w:pPr>
            <w:r w:rsidRPr="00B542CE">
              <w:t>Management</w:t>
            </w:r>
          </w:p>
        </w:tc>
        <w:tc>
          <w:tcPr>
            <w:tcW w:w="1701" w:type="dxa"/>
          </w:tcPr>
          <w:p w14:paraId="40B15BD0" w14:textId="07CA2AD1" w:rsidR="00A018A1" w:rsidRDefault="00A018A1" w:rsidP="0001506F">
            <w:pPr>
              <w:pStyle w:val="TableHeading"/>
              <w:keepNext/>
              <w:keepLines/>
              <w:rPr>
                <w:highlight w:val="cyan"/>
              </w:rPr>
            </w:pPr>
            <w:r w:rsidRPr="00B542CE">
              <w:t>Outcomes</w:t>
            </w:r>
          </w:p>
        </w:tc>
      </w:tr>
      <w:tr w:rsidR="00A018A1" w14:paraId="2A21F47E" w14:textId="77777777" w:rsidTr="00A018A1">
        <w:trPr>
          <w:cnfStyle w:val="000000100000" w:firstRow="0" w:lastRow="0" w:firstColumn="0" w:lastColumn="0" w:oddVBand="0" w:evenVBand="0" w:oddHBand="1" w:evenHBand="0" w:firstRowFirstColumn="0" w:firstRowLastColumn="0" w:lastRowFirstColumn="0" w:lastRowLastColumn="0"/>
        </w:trPr>
        <w:tc>
          <w:tcPr>
            <w:tcW w:w="1524" w:type="dxa"/>
          </w:tcPr>
          <w:p w14:paraId="22B7CB8F" w14:textId="798C7DB9" w:rsidR="00A018A1" w:rsidRPr="00F47FB0" w:rsidRDefault="00A018A1" w:rsidP="00A018A1">
            <w:pPr>
              <w:pStyle w:val="TableBody"/>
              <w:keepNext/>
              <w:keepLines/>
            </w:pPr>
            <w:r>
              <w:t>Goulburn-Murray Water</w:t>
            </w:r>
            <w:r w:rsidRPr="0041664E">
              <w:t>’s self</w:t>
            </w:r>
            <w:r>
              <w:noBreakHyphen/>
            </w:r>
            <w:r w:rsidRPr="0041664E">
              <w:t>rating</w:t>
            </w:r>
          </w:p>
        </w:tc>
        <w:tc>
          <w:tcPr>
            <w:tcW w:w="1595" w:type="dxa"/>
          </w:tcPr>
          <w:p w14:paraId="0008EE37" w14:textId="238F44DE" w:rsidR="00A018A1" w:rsidRPr="00F47FB0" w:rsidRDefault="00A018A1" w:rsidP="00A018A1">
            <w:pPr>
              <w:pStyle w:val="TableBody"/>
              <w:keepNext/>
              <w:keepLines/>
            </w:pPr>
            <w:r w:rsidRPr="00F47FB0">
              <w:t>Standard</w:t>
            </w:r>
          </w:p>
        </w:tc>
        <w:tc>
          <w:tcPr>
            <w:tcW w:w="1276" w:type="dxa"/>
          </w:tcPr>
          <w:p w14:paraId="3F6C5757" w14:textId="07032FF7" w:rsidR="00A018A1" w:rsidRPr="00F47FB0" w:rsidRDefault="00A018A1" w:rsidP="00A018A1">
            <w:pPr>
              <w:pStyle w:val="TableBody"/>
              <w:keepNext/>
              <w:keepLines/>
            </w:pPr>
            <w:r w:rsidRPr="00F47FB0">
              <w:t>Standard</w:t>
            </w:r>
          </w:p>
        </w:tc>
        <w:tc>
          <w:tcPr>
            <w:tcW w:w="1701" w:type="dxa"/>
          </w:tcPr>
          <w:p w14:paraId="3A5F78C0" w14:textId="2053D154" w:rsidR="00A018A1" w:rsidRPr="00F47FB0" w:rsidRDefault="00A018A1" w:rsidP="00A018A1">
            <w:pPr>
              <w:pStyle w:val="TableBody"/>
              <w:keepNext/>
              <w:keepLines/>
            </w:pPr>
            <w:r w:rsidRPr="00F47FB0">
              <w:t>Standard</w:t>
            </w:r>
          </w:p>
        </w:tc>
        <w:tc>
          <w:tcPr>
            <w:tcW w:w="1842" w:type="dxa"/>
          </w:tcPr>
          <w:p w14:paraId="7BA836E9" w14:textId="4A9238A4" w:rsidR="00A018A1" w:rsidRPr="00F47FB0" w:rsidRDefault="00A018A1" w:rsidP="00A018A1">
            <w:pPr>
              <w:pStyle w:val="TableBody"/>
              <w:keepNext/>
              <w:keepLines/>
            </w:pPr>
            <w:r w:rsidRPr="00F47FB0">
              <w:t>Standard</w:t>
            </w:r>
          </w:p>
        </w:tc>
        <w:tc>
          <w:tcPr>
            <w:tcW w:w="1701" w:type="dxa"/>
          </w:tcPr>
          <w:p w14:paraId="7F4F8EB0" w14:textId="6693BD19" w:rsidR="00A018A1" w:rsidRPr="00F47FB0" w:rsidRDefault="00A018A1" w:rsidP="00A018A1">
            <w:pPr>
              <w:pStyle w:val="TableBody"/>
              <w:keepNext/>
              <w:keepLines/>
            </w:pPr>
            <w:r w:rsidRPr="00F47FB0">
              <w:t>Standard</w:t>
            </w:r>
          </w:p>
        </w:tc>
      </w:tr>
      <w:tr w:rsidR="00A018A1" w14:paraId="36ACDE70" w14:textId="77777777" w:rsidTr="00A018A1">
        <w:trPr>
          <w:cnfStyle w:val="000000010000" w:firstRow="0" w:lastRow="0" w:firstColumn="0" w:lastColumn="0" w:oddVBand="0" w:evenVBand="0" w:oddHBand="0" w:evenHBand="1" w:firstRowFirstColumn="0" w:firstRowLastColumn="0" w:lastRowFirstColumn="0" w:lastRowLastColumn="0"/>
        </w:trPr>
        <w:tc>
          <w:tcPr>
            <w:tcW w:w="1524" w:type="dxa"/>
          </w:tcPr>
          <w:p w14:paraId="73AD57AB" w14:textId="2F9CB6B9" w:rsidR="00A018A1" w:rsidRPr="00F47FB0" w:rsidRDefault="00A018A1" w:rsidP="00A018A1">
            <w:pPr>
              <w:pStyle w:val="TableBody"/>
            </w:pPr>
            <w:r w:rsidRPr="0041664E">
              <w:t>Commission’s rating</w:t>
            </w:r>
          </w:p>
        </w:tc>
        <w:tc>
          <w:tcPr>
            <w:tcW w:w="1595" w:type="dxa"/>
          </w:tcPr>
          <w:p w14:paraId="5C09296A" w14:textId="5506C46A" w:rsidR="00A018A1" w:rsidRPr="00F47FB0" w:rsidRDefault="00A018A1" w:rsidP="00A018A1">
            <w:pPr>
              <w:pStyle w:val="TableBody"/>
            </w:pPr>
            <w:r w:rsidRPr="00F47FB0">
              <w:t>Standard</w:t>
            </w:r>
          </w:p>
        </w:tc>
        <w:tc>
          <w:tcPr>
            <w:tcW w:w="1276" w:type="dxa"/>
          </w:tcPr>
          <w:p w14:paraId="58108C2C" w14:textId="7FA9F956" w:rsidR="00A018A1" w:rsidRPr="00F47FB0" w:rsidRDefault="00A018A1" w:rsidP="00A018A1">
            <w:pPr>
              <w:pStyle w:val="TableBody"/>
            </w:pPr>
            <w:r w:rsidRPr="00F47FB0">
              <w:t>Standard</w:t>
            </w:r>
          </w:p>
        </w:tc>
        <w:tc>
          <w:tcPr>
            <w:tcW w:w="1701" w:type="dxa"/>
          </w:tcPr>
          <w:p w14:paraId="0DDE5BC3" w14:textId="36CF487C" w:rsidR="00A018A1" w:rsidRPr="00F47FB0" w:rsidRDefault="00A018A1" w:rsidP="00A018A1">
            <w:pPr>
              <w:pStyle w:val="TableBody"/>
            </w:pPr>
            <w:r w:rsidRPr="00F47FB0">
              <w:t>Standard</w:t>
            </w:r>
          </w:p>
        </w:tc>
        <w:tc>
          <w:tcPr>
            <w:tcW w:w="1842" w:type="dxa"/>
          </w:tcPr>
          <w:p w14:paraId="26731145" w14:textId="491C9AC8" w:rsidR="00A018A1" w:rsidRPr="00F47FB0" w:rsidRDefault="00A018A1" w:rsidP="00A018A1">
            <w:pPr>
              <w:pStyle w:val="TableBody"/>
            </w:pPr>
            <w:r w:rsidRPr="00F47FB0">
              <w:t>Standard</w:t>
            </w:r>
          </w:p>
        </w:tc>
        <w:tc>
          <w:tcPr>
            <w:tcW w:w="1701" w:type="dxa"/>
          </w:tcPr>
          <w:p w14:paraId="276A5E35" w14:textId="696ACD69" w:rsidR="00A018A1" w:rsidRPr="00F47FB0" w:rsidRDefault="00A018A1" w:rsidP="00A018A1">
            <w:pPr>
              <w:pStyle w:val="TableBody"/>
            </w:pPr>
            <w:r w:rsidRPr="00F47FB0">
              <w:t>Standard</w:t>
            </w:r>
          </w:p>
        </w:tc>
      </w:tr>
    </w:tbl>
    <w:p w14:paraId="24F2A414" w14:textId="4D753EE0" w:rsidR="008836D6" w:rsidRDefault="008836D6" w:rsidP="00B94CB5">
      <w:pPr>
        <w:pStyle w:val="Heading2"/>
      </w:pPr>
      <w:bookmarkStart w:id="47" w:name="_Toc117178656"/>
      <w:bookmarkStart w:id="48" w:name="_Toc118289111"/>
      <w:bookmarkStart w:id="49" w:name="_Toc122514842"/>
      <w:bookmarkStart w:id="50" w:name="_Toc149223912"/>
      <w:bookmarkStart w:id="51" w:name="_Toc149560238"/>
      <w:bookmarkStart w:id="52" w:name="_Toc150866052"/>
      <w:bookmarkStart w:id="53" w:name="_Toc150866156"/>
      <w:bookmarkStart w:id="54" w:name="_Toc150866222"/>
      <w:bookmarkStart w:id="55" w:name="_Toc160038292"/>
      <w:bookmarkStart w:id="56" w:name="_Toc161400010"/>
      <w:r>
        <w:t>We invite feedback on our draft decision</w:t>
      </w:r>
      <w:bookmarkEnd w:id="47"/>
      <w:bookmarkEnd w:id="48"/>
      <w:bookmarkEnd w:id="49"/>
      <w:bookmarkEnd w:id="50"/>
      <w:bookmarkEnd w:id="51"/>
      <w:bookmarkEnd w:id="52"/>
      <w:bookmarkEnd w:id="53"/>
      <w:bookmarkEnd w:id="54"/>
      <w:bookmarkEnd w:id="55"/>
      <w:bookmarkEnd w:id="56"/>
    </w:p>
    <w:p w14:paraId="0B8D4758" w14:textId="159DC454" w:rsidR="008836D6" w:rsidRDefault="008836D6" w:rsidP="008836D6">
      <w:r>
        <w:t xml:space="preserve">We invite feedback from stakeholders before we make a final decision and price determination. </w:t>
      </w:r>
      <w:r w:rsidR="008C2EB8">
        <w:t>We expect to release o</w:t>
      </w:r>
      <w:r>
        <w:t xml:space="preserve">ur final decision and price determination in </w:t>
      </w:r>
      <w:r w:rsidR="003946CE" w:rsidRPr="00274C13">
        <w:t>June</w:t>
      </w:r>
      <w:r w:rsidRPr="00274C13">
        <w:t xml:space="preserve"> 202</w:t>
      </w:r>
      <w:r w:rsidR="005D1900" w:rsidRPr="00274C13">
        <w:t>4</w:t>
      </w:r>
      <w:r>
        <w:t xml:space="preserve">. </w:t>
      </w:r>
    </w:p>
    <w:p w14:paraId="05343A4E" w14:textId="77777777" w:rsidR="008D231C" w:rsidRDefault="008836D6" w:rsidP="008836D6">
      <w:r>
        <w:t>Stakeholders may comment on any aspect of our draft decision, including</w:t>
      </w:r>
      <w:r w:rsidR="0078738D">
        <w:t>:</w:t>
      </w:r>
      <w:r>
        <w:t xml:space="preserve"> </w:t>
      </w:r>
    </w:p>
    <w:p w14:paraId="45F6B7A9" w14:textId="5DD7F872" w:rsidR="008836D6" w:rsidRDefault="008836D6" w:rsidP="00821A3A">
      <w:pPr>
        <w:pStyle w:val="ListBullet"/>
      </w:pPr>
      <w:r>
        <w:t xml:space="preserve">the information we have relied upon in our assessment (such as </w:t>
      </w:r>
      <w:r w:rsidR="00D1620B">
        <w:t>Goulburn-Murray Water</w:t>
      </w:r>
      <w:r>
        <w:t>’s price submission)</w:t>
      </w:r>
    </w:p>
    <w:p w14:paraId="24F0AD2E" w14:textId="348DE68F" w:rsidR="008836D6" w:rsidRPr="00071A66" w:rsidRDefault="008836D6" w:rsidP="00821A3A">
      <w:pPr>
        <w:pStyle w:val="ListBullet"/>
      </w:pPr>
      <w:r w:rsidRPr="00071A66">
        <w:t>additional matters or issues we should consider before making our final decision</w:t>
      </w:r>
    </w:p>
    <w:p w14:paraId="40308EEF" w14:textId="167DAA76" w:rsidR="008836D6" w:rsidRDefault="008836D6" w:rsidP="00821A3A">
      <w:pPr>
        <w:pStyle w:val="ListBullet"/>
      </w:pPr>
      <w:r w:rsidRPr="00071A66">
        <w:t xml:space="preserve">whether our draft decision on </w:t>
      </w:r>
      <w:r w:rsidR="00D1620B">
        <w:t>Goulburn-Murray Water</w:t>
      </w:r>
      <w:r w:rsidRPr="00071A66">
        <w:t xml:space="preserve">’s price submission has adequate regard to the matters in clause 11 of the </w:t>
      </w:r>
      <w:r w:rsidR="002807F2" w:rsidRPr="002807F2">
        <w:t>Water Industry Regulatory Order 2014</w:t>
      </w:r>
      <w:r w:rsidRPr="00071A66">
        <w:t xml:space="preserve"> and our guidance.</w:t>
      </w:r>
    </w:p>
    <w:p w14:paraId="55BB3DEA" w14:textId="1FDB5243" w:rsidR="00345625" w:rsidRDefault="003E355A" w:rsidP="000E3CB5">
      <w:r>
        <w:t xml:space="preserve">Table </w:t>
      </w:r>
      <w:r w:rsidR="00553864">
        <w:t>B</w:t>
      </w:r>
      <w:r>
        <w:t xml:space="preserve"> lists specific issue</w:t>
      </w:r>
      <w:r w:rsidR="007C65EE">
        <w:t>s</w:t>
      </w:r>
      <w:r>
        <w:t xml:space="preserve"> we are seeking feedback </w:t>
      </w:r>
      <w:r w:rsidR="00CC4AE9">
        <w:t xml:space="preserve">on </w:t>
      </w:r>
      <w:r>
        <w:t xml:space="preserve">to inform our final decision and price determination for </w:t>
      </w:r>
      <w:r w:rsidR="00D1620B">
        <w:t>Goulburn-Murray Water</w:t>
      </w:r>
      <w:r>
        <w:t>.</w:t>
      </w:r>
    </w:p>
    <w:p w14:paraId="6F9E3A95" w14:textId="3BEF8D36" w:rsidR="003E355A" w:rsidRDefault="003E355A" w:rsidP="003E355A">
      <w:pPr>
        <w:pStyle w:val="Figure-Table-BoxHeading"/>
      </w:pPr>
      <w:r>
        <w:t xml:space="preserve">Table </w:t>
      </w:r>
      <w:r w:rsidR="00553864">
        <w:t>B</w:t>
      </w:r>
      <w:r>
        <w:t xml:space="preserve"> </w:t>
      </w:r>
      <w:r>
        <w:tab/>
        <w:t>Specific topic we are particularly interested in stakeholder feedback</w:t>
      </w:r>
    </w:p>
    <w:tbl>
      <w:tblPr>
        <w:tblStyle w:val="TableGrid"/>
        <w:tblW w:w="0" w:type="auto"/>
        <w:tblLook w:val="04A0" w:firstRow="1" w:lastRow="0" w:firstColumn="1" w:lastColumn="0" w:noHBand="0" w:noVBand="1"/>
      </w:tblPr>
      <w:tblGrid>
        <w:gridCol w:w="3212"/>
        <w:gridCol w:w="3213"/>
        <w:gridCol w:w="3213"/>
      </w:tblGrid>
      <w:tr w:rsidR="003E355A" w14:paraId="57774FC1" w14:textId="77777777" w:rsidTr="000A4073">
        <w:trPr>
          <w:cnfStyle w:val="100000000000" w:firstRow="1" w:lastRow="0" w:firstColumn="0" w:lastColumn="0" w:oddVBand="0" w:evenVBand="0" w:oddHBand="0" w:evenHBand="0" w:firstRowFirstColumn="0" w:firstRowLastColumn="0" w:lastRowFirstColumn="0" w:lastRowLastColumn="0"/>
        </w:trPr>
        <w:tc>
          <w:tcPr>
            <w:tcW w:w="3212" w:type="dxa"/>
          </w:tcPr>
          <w:p w14:paraId="243A488D" w14:textId="77777777" w:rsidR="003E355A" w:rsidRDefault="003E355A" w:rsidP="000A4073">
            <w:r>
              <w:t>Topic</w:t>
            </w:r>
          </w:p>
        </w:tc>
        <w:tc>
          <w:tcPr>
            <w:tcW w:w="3213" w:type="dxa"/>
          </w:tcPr>
          <w:p w14:paraId="6AFDFFFE" w14:textId="77777777" w:rsidR="003E355A" w:rsidRDefault="003E355A" w:rsidP="000A4073">
            <w:r>
              <w:t>Specific issue</w:t>
            </w:r>
          </w:p>
        </w:tc>
        <w:tc>
          <w:tcPr>
            <w:tcW w:w="3213" w:type="dxa"/>
          </w:tcPr>
          <w:p w14:paraId="2D52AB03" w14:textId="77777777" w:rsidR="003E355A" w:rsidRDefault="003E355A" w:rsidP="000A4073">
            <w:r>
              <w:t>Draft report reference</w:t>
            </w:r>
          </w:p>
        </w:tc>
      </w:tr>
      <w:tr w:rsidR="003E355A" w14:paraId="1DC3DB43" w14:textId="77777777" w:rsidTr="000A4073">
        <w:trPr>
          <w:cnfStyle w:val="000000100000" w:firstRow="0" w:lastRow="0" w:firstColumn="0" w:lastColumn="0" w:oddVBand="0" w:evenVBand="0" w:oddHBand="1" w:evenHBand="0" w:firstRowFirstColumn="0" w:firstRowLastColumn="0" w:lastRowFirstColumn="0" w:lastRowLastColumn="0"/>
        </w:trPr>
        <w:tc>
          <w:tcPr>
            <w:tcW w:w="3212" w:type="dxa"/>
          </w:tcPr>
          <w:p w14:paraId="173B8BC3" w14:textId="69A1550B" w:rsidR="003E355A" w:rsidRDefault="001F51DA" w:rsidP="000A4073">
            <w:r>
              <w:t>Service point fees</w:t>
            </w:r>
          </w:p>
        </w:tc>
        <w:tc>
          <w:tcPr>
            <w:tcW w:w="3213" w:type="dxa"/>
          </w:tcPr>
          <w:p w14:paraId="626D79DA" w14:textId="737ED687" w:rsidR="003E355A" w:rsidRDefault="00244A61" w:rsidP="000A4073">
            <w:r>
              <w:t>Fee charge</w:t>
            </w:r>
            <w:r w:rsidR="006328D7">
              <w:t>d</w:t>
            </w:r>
            <w:r>
              <w:t xml:space="preserve"> to unmetered diverters</w:t>
            </w:r>
          </w:p>
        </w:tc>
        <w:tc>
          <w:tcPr>
            <w:tcW w:w="3213" w:type="dxa"/>
          </w:tcPr>
          <w:p w14:paraId="1CE87B03" w14:textId="285309EE" w:rsidR="003E355A" w:rsidRDefault="00AF4119" w:rsidP="000A4073">
            <w:r>
              <w:t>Chapter 10</w:t>
            </w:r>
          </w:p>
        </w:tc>
      </w:tr>
    </w:tbl>
    <w:p w14:paraId="104384B0" w14:textId="77777777" w:rsidR="003E355A" w:rsidRPr="00071A66" w:rsidRDefault="003E355A" w:rsidP="007C6A46"/>
    <w:p w14:paraId="4259E630" w14:textId="1C0A65D4" w:rsidR="00660B36" w:rsidRDefault="00F33B13" w:rsidP="00F33B13">
      <w:pPr>
        <w:pStyle w:val="Heading3"/>
      </w:pPr>
      <w:bookmarkStart w:id="57" w:name="_Toc118289112"/>
      <w:bookmarkStart w:id="58" w:name="_Toc122514843"/>
      <w:bookmarkStart w:id="59" w:name="_Toc149223913"/>
      <w:bookmarkStart w:id="60" w:name="_Toc149560239"/>
      <w:bookmarkStart w:id="61" w:name="_Toc150866053"/>
      <w:bookmarkStart w:id="62" w:name="_Toc150866157"/>
      <w:bookmarkStart w:id="63" w:name="_Toc150866223"/>
      <w:bookmarkStart w:id="64" w:name="_Toc160038293"/>
      <w:bookmarkStart w:id="65" w:name="_Toc161400011"/>
      <w:r>
        <w:t xml:space="preserve">How to provide </w:t>
      </w:r>
      <w:r w:rsidR="003B60ED">
        <w:t>feedback and stay up to date</w:t>
      </w:r>
      <w:bookmarkEnd w:id="57"/>
      <w:bookmarkEnd w:id="58"/>
      <w:bookmarkEnd w:id="59"/>
      <w:bookmarkEnd w:id="60"/>
      <w:bookmarkEnd w:id="61"/>
      <w:bookmarkEnd w:id="62"/>
      <w:bookmarkEnd w:id="63"/>
      <w:bookmarkEnd w:id="64"/>
      <w:bookmarkEnd w:id="65"/>
    </w:p>
    <w:p w14:paraId="23A2EC7A" w14:textId="4EAFB95B" w:rsidR="003B60ED" w:rsidRDefault="003B60ED" w:rsidP="003B60ED">
      <w:r>
        <w:t>You can stay up to date with our review via Engage Victoria</w:t>
      </w:r>
      <w:r w:rsidR="00B3061E">
        <w:t>:</w:t>
      </w:r>
    </w:p>
    <w:p w14:paraId="2E49E896" w14:textId="6DF168A5" w:rsidR="00FC18C0" w:rsidRDefault="00000000" w:rsidP="008836D6">
      <w:hyperlink r:id="rId29" w:tgtFrame="_blank" w:tooltip="https://engage.vic.gov.au/esc-water-price-review-2024" w:history="1">
        <w:r w:rsidR="00C17892">
          <w:rPr>
            <w:rStyle w:val="Hyperlink"/>
          </w:rPr>
          <w:t>https://engage.vic.gov.au/ESC-water-price-review-2024</w:t>
        </w:r>
      </w:hyperlink>
    </w:p>
    <w:p w14:paraId="21E83CC5" w14:textId="391E3713" w:rsidR="008836D6" w:rsidRDefault="002B0111" w:rsidP="008836D6">
      <w:r>
        <w:t xml:space="preserve">You can </w:t>
      </w:r>
      <w:r w:rsidR="008836D6">
        <w:t>provide feedback</w:t>
      </w:r>
      <w:r>
        <w:t xml:space="preserve"> by</w:t>
      </w:r>
      <w:r w:rsidR="008836D6">
        <w:t>:</w:t>
      </w:r>
    </w:p>
    <w:p w14:paraId="66F5F9F8" w14:textId="1FA7ECE6" w:rsidR="002A48E6" w:rsidRDefault="00A80ACB" w:rsidP="00821A3A">
      <w:pPr>
        <w:pStyle w:val="ListBullet"/>
      </w:pPr>
      <w:r>
        <w:t xml:space="preserve">taking part in </w:t>
      </w:r>
      <w:r w:rsidR="005C71CF">
        <w:t>our</w:t>
      </w:r>
      <w:r w:rsidR="002A48E6">
        <w:t xml:space="preserve"> public forum</w:t>
      </w:r>
    </w:p>
    <w:p w14:paraId="38F09AA9" w14:textId="6EE9B0EF" w:rsidR="002B0111" w:rsidRDefault="002A48E6" w:rsidP="00821A3A">
      <w:pPr>
        <w:pStyle w:val="ListBullet"/>
      </w:pPr>
      <w:r>
        <w:t>providing written comments or submissions</w:t>
      </w:r>
      <w:r w:rsidR="001446CA">
        <w:t>.</w:t>
      </w:r>
      <w:r w:rsidR="00796F14">
        <w:t xml:space="preserve"> </w:t>
      </w:r>
    </w:p>
    <w:p w14:paraId="65701227" w14:textId="22EE20A8" w:rsidR="008836D6" w:rsidRDefault="00A80ACB" w:rsidP="00012E05">
      <w:pPr>
        <w:pStyle w:val="Heading4"/>
      </w:pPr>
      <w:bookmarkStart w:id="66" w:name="_Toc117178657"/>
      <w:r>
        <w:t xml:space="preserve">Taking part in </w:t>
      </w:r>
      <w:r w:rsidR="008836D6">
        <w:t>a public forum</w:t>
      </w:r>
      <w:bookmarkEnd w:id="66"/>
    </w:p>
    <w:p w14:paraId="1775520A" w14:textId="4C502099" w:rsidR="008836D6" w:rsidRDefault="008836D6" w:rsidP="008836D6">
      <w:r>
        <w:t xml:space="preserve">We </w:t>
      </w:r>
      <w:r w:rsidR="002807F2">
        <w:t>plan</w:t>
      </w:r>
      <w:r w:rsidR="00012E05">
        <w:t xml:space="preserve"> to</w:t>
      </w:r>
      <w:r>
        <w:t xml:space="preserve"> hold a public forum </w:t>
      </w:r>
      <w:r w:rsidR="00B41B99">
        <w:t xml:space="preserve">on </w:t>
      </w:r>
      <w:r w:rsidR="008453B1" w:rsidRPr="008453B1">
        <w:t xml:space="preserve">23 </w:t>
      </w:r>
      <w:r w:rsidRPr="008453B1">
        <w:t>April</w:t>
      </w:r>
      <w:r w:rsidR="00D1338D" w:rsidRPr="008453B1">
        <w:t xml:space="preserve"> 202</w:t>
      </w:r>
      <w:r w:rsidR="00EA161F" w:rsidRPr="008453B1">
        <w:t>4</w:t>
      </w:r>
      <w:r>
        <w:t xml:space="preserve">. Forums provide an opportunity for interested parties to discuss key features of our draft decisions. </w:t>
      </w:r>
      <w:r w:rsidR="00D1338D">
        <w:t>Details of our public forums will be published on the Engage Victoria website.</w:t>
      </w:r>
    </w:p>
    <w:p w14:paraId="0AD90461" w14:textId="77777777" w:rsidR="008836D6" w:rsidRDefault="008836D6" w:rsidP="00012E05">
      <w:pPr>
        <w:pStyle w:val="Heading4"/>
      </w:pPr>
      <w:r>
        <w:t>Provide written comments or submissions</w:t>
      </w:r>
    </w:p>
    <w:p w14:paraId="4289C04D" w14:textId="442A81D2" w:rsidR="008836D6" w:rsidRDefault="008836D6" w:rsidP="008836D6">
      <w:r>
        <w:t xml:space="preserve">Written comments or submissions in response to this draft decision will be due </w:t>
      </w:r>
      <w:r w:rsidR="001B147F">
        <w:t xml:space="preserve">by </w:t>
      </w:r>
      <w:r w:rsidR="00C34ABE" w:rsidRPr="00614175">
        <w:t>7</w:t>
      </w:r>
      <w:r w:rsidR="00ED1767" w:rsidRPr="00614175">
        <w:t xml:space="preserve"> May</w:t>
      </w:r>
      <w:r w:rsidRPr="00614175">
        <w:t xml:space="preserve"> 202</w:t>
      </w:r>
      <w:r w:rsidR="00EA161F" w:rsidRPr="00614175">
        <w:t>4</w:t>
      </w:r>
      <w:r w:rsidRPr="00614175">
        <w:t>.</w:t>
      </w:r>
    </w:p>
    <w:p w14:paraId="39A31341" w14:textId="333800D3" w:rsidR="008836D6" w:rsidRDefault="008836D6" w:rsidP="008836D6">
      <w:r>
        <w:t>We require submissions by this date so that we have time to fully consider submissions for our final decision. Comments or submissions received after this date may not be afforded the same weight as submissions received by the due date.</w:t>
      </w:r>
      <w:r w:rsidR="00392C6B">
        <w:t xml:space="preserve"> </w:t>
      </w:r>
    </w:p>
    <w:p w14:paraId="402670D1" w14:textId="34094A89" w:rsidR="008836D6" w:rsidRDefault="008836D6" w:rsidP="008836D6">
      <w:r>
        <w:t xml:space="preserve">We would prefer to receive comments and submissions </w:t>
      </w:r>
      <w:r w:rsidRPr="00BB4F75">
        <w:t xml:space="preserve">via </w:t>
      </w:r>
      <w:r w:rsidR="008C4023" w:rsidRPr="00040B8E">
        <w:t xml:space="preserve">the </w:t>
      </w:r>
      <w:r w:rsidR="00F15F2A" w:rsidRPr="00040B8E">
        <w:t>dedicated</w:t>
      </w:r>
      <w:r w:rsidR="00F4746A">
        <w:t xml:space="preserve"> </w:t>
      </w:r>
      <w:hyperlink r:id="rId30" w:tgtFrame="_blank" w:tooltip="https://engage.vic.gov.au/esc-water-price-review-2024" w:history="1">
        <w:r w:rsidR="00603CDF">
          <w:rPr>
            <w:rStyle w:val="Hyperlink"/>
          </w:rPr>
          <w:t>Engage Victoria website</w:t>
        </w:r>
      </w:hyperlink>
      <w:r w:rsidRPr="00040B8E">
        <w:t>.</w:t>
      </w:r>
      <w:r>
        <w:t xml:space="preserve"> </w:t>
      </w:r>
    </w:p>
    <w:p w14:paraId="1DC2D15A" w14:textId="77777777" w:rsidR="008836D6" w:rsidRDefault="008836D6" w:rsidP="00D75627">
      <w:pPr>
        <w:keepNext/>
        <w:keepLines/>
      </w:pPr>
      <w:r>
        <w:t>Alternatively, you may send comments and submissions by mail to:</w:t>
      </w:r>
    </w:p>
    <w:p w14:paraId="7400A57F" w14:textId="56FC184D" w:rsidR="008836D6" w:rsidRDefault="008836D6" w:rsidP="00D75627">
      <w:pPr>
        <w:keepNext/>
        <w:keepLines/>
      </w:pPr>
      <w:r>
        <w:t>202</w:t>
      </w:r>
      <w:r w:rsidR="00534847">
        <w:t>4</w:t>
      </w:r>
      <w:r>
        <w:t xml:space="preserve"> Water Price Review</w:t>
      </w:r>
      <w:r w:rsidR="00D75627">
        <w:br/>
      </w:r>
      <w:r>
        <w:t>Essential Services Commission</w:t>
      </w:r>
      <w:r w:rsidR="00D75627">
        <w:br/>
      </w:r>
      <w:r>
        <w:t>Level 8, 570 Bourke Street</w:t>
      </w:r>
      <w:r w:rsidR="00D75627">
        <w:br/>
      </w:r>
      <w:r>
        <w:t>Melbourne</w:t>
      </w:r>
      <w:r w:rsidR="00392C6B">
        <w:t xml:space="preserve"> </w:t>
      </w:r>
      <w:r>
        <w:t>VIC</w:t>
      </w:r>
      <w:r w:rsidR="00392C6B">
        <w:t xml:space="preserve"> </w:t>
      </w:r>
      <w:r>
        <w:t>3000</w:t>
      </w:r>
    </w:p>
    <w:p w14:paraId="489C88AB" w14:textId="07C46233" w:rsidR="00910525" w:rsidRDefault="00910525" w:rsidP="001E11ED">
      <w:pPr>
        <w:pStyle w:val="Heading4"/>
      </w:pPr>
      <w:r>
        <w:t>Submission and privacy statement</w:t>
      </w:r>
    </w:p>
    <w:p w14:paraId="031C0068" w14:textId="503BF3A7" w:rsidR="00247009" w:rsidRDefault="00247009" w:rsidP="00247009">
      <w:r>
        <w:t>We encourage transparency in our review processes. It is our policy to publish all submissions to</w:t>
      </w:r>
      <w:r w:rsidR="00647D3B" w:rsidRPr="00647D3B">
        <w:t xml:space="preserve"> the 202</w:t>
      </w:r>
      <w:r w:rsidR="00181A5F">
        <w:t>4</w:t>
      </w:r>
      <w:r w:rsidR="00647D3B" w:rsidRPr="00647D3B">
        <w:t xml:space="preserve"> water price review on </w:t>
      </w:r>
      <w:r>
        <w:t>the Essential Services Commission website unless the submitter has requested confidentiality. When we publish a submission, we</w:t>
      </w:r>
      <w:r w:rsidR="00CA72A1">
        <w:t xml:space="preserve"> will</w:t>
      </w:r>
      <w:r>
        <w:t xml:space="preserve"> also include some details about the submitter (your name, not your address) unless the submitter has requested anonymity (does not want to be identified).</w:t>
      </w:r>
    </w:p>
    <w:p w14:paraId="181A8385" w14:textId="6448352D" w:rsidR="00247009" w:rsidRDefault="00247009" w:rsidP="00247009">
      <w:r>
        <w:t>You can request confidentiality and/or anonymity in relation to your submission. Requesting this may affect the weight we can give to your submission.</w:t>
      </w:r>
    </w:p>
    <w:p w14:paraId="74871C5F" w14:textId="77777777" w:rsidR="008836D6" w:rsidRDefault="008836D6" w:rsidP="00760E03">
      <w:pPr>
        <w:pStyle w:val="Heading2"/>
      </w:pPr>
      <w:bookmarkStart w:id="67" w:name="_Toc117178658"/>
      <w:bookmarkStart w:id="68" w:name="_Toc118289113"/>
      <w:bookmarkStart w:id="69" w:name="_Toc122514844"/>
      <w:bookmarkStart w:id="70" w:name="_Toc149223914"/>
      <w:bookmarkStart w:id="71" w:name="_Toc149560240"/>
      <w:bookmarkStart w:id="72" w:name="_Toc150866054"/>
      <w:bookmarkStart w:id="73" w:name="_Toc150866158"/>
      <w:bookmarkStart w:id="74" w:name="_Toc150866224"/>
      <w:bookmarkStart w:id="75" w:name="_Toc160038294"/>
      <w:bookmarkStart w:id="76" w:name="_Toc161400012"/>
      <w:r>
        <w:lastRenderedPageBreak/>
        <w:t>Next steps</w:t>
      </w:r>
      <w:bookmarkEnd w:id="67"/>
      <w:bookmarkEnd w:id="68"/>
      <w:bookmarkEnd w:id="69"/>
      <w:bookmarkEnd w:id="70"/>
      <w:bookmarkEnd w:id="71"/>
      <w:bookmarkEnd w:id="72"/>
      <w:bookmarkEnd w:id="73"/>
      <w:bookmarkEnd w:id="74"/>
      <w:bookmarkEnd w:id="75"/>
      <w:bookmarkEnd w:id="76"/>
    </w:p>
    <w:tbl>
      <w:tblPr>
        <w:tblStyle w:val="TableGrid"/>
        <w:tblW w:w="0" w:type="auto"/>
        <w:tblLook w:val="04A0" w:firstRow="1" w:lastRow="0" w:firstColumn="1" w:lastColumn="0" w:noHBand="0" w:noVBand="1"/>
      </w:tblPr>
      <w:tblGrid>
        <w:gridCol w:w="6379"/>
        <w:gridCol w:w="3259"/>
      </w:tblGrid>
      <w:tr w:rsidR="00AC3625" w:rsidRPr="00C760BC" w14:paraId="62CB2F68" w14:textId="77777777">
        <w:trPr>
          <w:cnfStyle w:val="100000000000" w:firstRow="1" w:lastRow="0" w:firstColumn="0" w:lastColumn="0" w:oddVBand="0" w:evenVBand="0" w:oddHBand="0" w:evenHBand="0" w:firstRowFirstColumn="0" w:firstRowLastColumn="0" w:lastRowFirstColumn="0" w:lastRowLastColumn="0"/>
        </w:trPr>
        <w:tc>
          <w:tcPr>
            <w:tcW w:w="6379" w:type="dxa"/>
          </w:tcPr>
          <w:p w14:paraId="6EAA599B" w14:textId="77777777" w:rsidR="00AC3625" w:rsidRPr="001E397B" w:rsidRDefault="00AC3625" w:rsidP="000A4073">
            <w:pPr>
              <w:rPr>
                <w:bCs/>
              </w:rPr>
            </w:pPr>
            <w:r w:rsidRPr="001E397B">
              <w:rPr>
                <w:bCs/>
              </w:rPr>
              <w:t>Activity</w:t>
            </w:r>
          </w:p>
        </w:tc>
        <w:tc>
          <w:tcPr>
            <w:tcW w:w="3259" w:type="dxa"/>
          </w:tcPr>
          <w:p w14:paraId="183C77C3" w14:textId="77777777" w:rsidR="00AC3625" w:rsidRPr="00C760BC" w:rsidRDefault="00AC3625" w:rsidP="000A4073">
            <w:pPr>
              <w:rPr>
                <w:bCs/>
              </w:rPr>
            </w:pPr>
            <w:r w:rsidRPr="00C760BC">
              <w:rPr>
                <w:bCs/>
              </w:rPr>
              <w:t>Indicative date</w:t>
            </w:r>
          </w:p>
        </w:tc>
      </w:tr>
      <w:tr w:rsidR="00AC3625" w:rsidRPr="00545FD1" w14:paraId="12D11E16" w14:textId="77777777">
        <w:trPr>
          <w:cnfStyle w:val="000000100000" w:firstRow="0" w:lastRow="0" w:firstColumn="0" w:lastColumn="0" w:oddVBand="0" w:evenVBand="0" w:oddHBand="1" w:evenHBand="0" w:firstRowFirstColumn="0" w:firstRowLastColumn="0" w:lastRowFirstColumn="0" w:lastRowLastColumn="0"/>
        </w:trPr>
        <w:tc>
          <w:tcPr>
            <w:tcW w:w="6379" w:type="dxa"/>
          </w:tcPr>
          <w:p w14:paraId="27E69222" w14:textId="77777777" w:rsidR="00AC3625" w:rsidRPr="00171D03" w:rsidRDefault="00AC3625" w:rsidP="000A4073">
            <w:pPr>
              <w:rPr>
                <w:bCs/>
              </w:rPr>
            </w:pPr>
            <w:r w:rsidRPr="00171D03">
              <w:rPr>
                <w:bCs/>
              </w:rPr>
              <w:t>Public forum</w:t>
            </w:r>
          </w:p>
        </w:tc>
        <w:tc>
          <w:tcPr>
            <w:tcW w:w="3259" w:type="dxa"/>
          </w:tcPr>
          <w:p w14:paraId="5380E4AA" w14:textId="09D26DC3" w:rsidR="00AC3625" w:rsidRPr="000B5068" w:rsidRDefault="00B7187B" w:rsidP="000A4073">
            <w:r w:rsidRPr="000B5068">
              <w:t xml:space="preserve">23 </w:t>
            </w:r>
            <w:r w:rsidR="00AC3625" w:rsidRPr="000B5068">
              <w:t>April 202</w:t>
            </w:r>
            <w:r w:rsidR="0069255C" w:rsidRPr="000B5068">
              <w:t>4</w:t>
            </w:r>
          </w:p>
        </w:tc>
      </w:tr>
      <w:tr w:rsidR="00AC3625" w:rsidRPr="00545FD1" w14:paraId="4771BFFD" w14:textId="77777777">
        <w:trPr>
          <w:cnfStyle w:val="000000010000" w:firstRow="0" w:lastRow="0" w:firstColumn="0" w:lastColumn="0" w:oddVBand="0" w:evenVBand="0" w:oddHBand="0" w:evenHBand="1" w:firstRowFirstColumn="0" w:firstRowLastColumn="0" w:lastRowFirstColumn="0" w:lastRowLastColumn="0"/>
        </w:trPr>
        <w:tc>
          <w:tcPr>
            <w:tcW w:w="6379" w:type="dxa"/>
          </w:tcPr>
          <w:p w14:paraId="7B7BDAAD" w14:textId="77777777" w:rsidR="00AC3625" w:rsidRPr="00545FD1" w:rsidRDefault="00AC3625">
            <w:pPr>
              <w:rPr>
                <w:bCs/>
              </w:rPr>
            </w:pPr>
            <w:r w:rsidRPr="00545FD1">
              <w:rPr>
                <w:bCs/>
              </w:rPr>
              <w:t>Closing date for submissions on our draft decision</w:t>
            </w:r>
          </w:p>
        </w:tc>
        <w:tc>
          <w:tcPr>
            <w:tcW w:w="3259" w:type="dxa"/>
          </w:tcPr>
          <w:p w14:paraId="598110E3" w14:textId="7876C3B0" w:rsidR="00AC3625" w:rsidRPr="00C760BC" w:rsidRDefault="006328D7">
            <w:pPr>
              <w:rPr>
                <w:bCs/>
                <w:highlight w:val="yellow"/>
              </w:rPr>
            </w:pPr>
            <w:r w:rsidRPr="009A7060">
              <w:rPr>
                <w:bCs/>
              </w:rPr>
              <w:t>7</w:t>
            </w:r>
            <w:r w:rsidR="00AC3625" w:rsidRPr="009A7060">
              <w:rPr>
                <w:bCs/>
              </w:rPr>
              <w:t xml:space="preserve"> May 202</w:t>
            </w:r>
            <w:r w:rsidR="0069255C" w:rsidRPr="009A7060">
              <w:rPr>
                <w:bCs/>
              </w:rPr>
              <w:t>4</w:t>
            </w:r>
          </w:p>
        </w:tc>
      </w:tr>
      <w:tr w:rsidR="00AC3625" w:rsidRPr="00545FD1" w14:paraId="6836830D" w14:textId="77777777">
        <w:trPr>
          <w:cnfStyle w:val="000000100000" w:firstRow="0" w:lastRow="0" w:firstColumn="0" w:lastColumn="0" w:oddVBand="0" w:evenVBand="0" w:oddHBand="1" w:evenHBand="0" w:firstRowFirstColumn="0" w:firstRowLastColumn="0" w:lastRowFirstColumn="0" w:lastRowLastColumn="0"/>
        </w:trPr>
        <w:tc>
          <w:tcPr>
            <w:tcW w:w="6379" w:type="dxa"/>
          </w:tcPr>
          <w:p w14:paraId="71DF197C" w14:textId="77777777" w:rsidR="00AC3625" w:rsidRPr="00545FD1" w:rsidRDefault="00AC3625">
            <w:pPr>
              <w:rPr>
                <w:bCs/>
              </w:rPr>
            </w:pPr>
            <w:r w:rsidRPr="00545FD1">
              <w:rPr>
                <w:bCs/>
              </w:rPr>
              <w:t>Release date for our final decision and price determination</w:t>
            </w:r>
          </w:p>
        </w:tc>
        <w:tc>
          <w:tcPr>
            <w:tcW w:w="3259" w:type="dxa"/>
          </w:tcPr>
          <w:p w14:paraId="16E19C51" w14:textId="083B9D4C" w:rsidR="00AC3625" w:rsidRPr="00C760BC" w:rsidRDefault="00AC3625">
            <w:pPr>
              <w:rPr>
                <w:bCs/>
                <w:highlight w:val="yellow"/>
              </w:rPr>
            </w:pPr>
            <w:r w:rsidRPr="00B7187B">
              <w:t>June 202</w:t>
            </w:r>
            <w:r w:rsidR="0069255C" w:rsidRPr="00B7187B">
              <w:t>4</w:t>
            </w:r>
          </w:p>
        </w:tc>
      </w:tr>
    </w:tbl>
    <w:p w14:paraId="07FA5034" w14:textId="77777777" w:rsidR="008836D6" w:rsidRDefault="008836D6" w:rsidP="003A2968"/>
    <w:p w14:paraId="346F8346" w14:textId="77777777" w:rsidR="000D53D2" w:rsidRDefault="000D53D2" w:rsidP="003A2968">
      <w:pPr>
        <w:sectPr w:rsidR="000D53D2" w:rsidSect="00DB48F2">
          <w:type w:val="continuous"/>
          <w:pgSz w:w="11906" w:h="16838" w:code="9"/>
          <w:pgMar w:top="1134" w:right="1134" w:bottom="1134" w:left="1134" w:header="709" w:footer="692" w:gutter="0"/>
          <w:pgNumType w:fmt="lowerRoman"/>
          <w:cols w:space="708"/>
          <w:docGrid w:linePitch="360"/>
        </w:sectPr>
      </w:pPr>
    </w:p>
    <w:p w14:paraId="5D6E1E3D" w14:textId="48D55B10" w:rsidR="00C47364" w:rsidRDefault="00AA7F11" w:rsidP="00F22C01">
      <w:pPr>
        <w:pStyle w:val="Heading1"/>
        <w:ind w:left="709" w:hanging="709"/>
      </w:pPr>
      <w:bookmarkStart w:id="77" w:name="_Toc161400013"/>
      <w:r w:rsidRPr="00AA7F11">
        <w:lastRenderedPageBreak/>
        <w:t>1.</w:t>
      </w:r>
      <w:r w:rsidRPr="00AA7F11">
        <w:tab/>
        <w:t>Our role and approach to water pricing</w:t>
      </w:r>
      <w:bookmarkEnd w:id="77"/>
      <w:r w:rsidR="00687AA2">
        <w:t xml:space="preserve"> </w:t>
      </w:r>
    </w:p>
    <w:p w14:paraId="2DBE48A9" w14:textId="31D4140A" w:rsidR="00844E10" w:rsidRPr="00844E10" w:rsidRDefault="00B315D5" w:rsidP="00F22C01">
      <w:pPr>
        <w:pStyle w:val="Heading2"/>
      </w:pPr>
      <w:bookmarkStart w:id="78" w:name="_Toc161400014"/>
      <w:r>
        <w:t>1.1</w:t>
      </w:r>
      <w:r>
        <w:tab/>
      </w:r>
      <w:r w:rsidR="00844E10" w:rsidRPr="00844E10">
        <w:t>We are Victoria’s independent economic regulator</w:t>
      </w:r>
      <w:bookmarkEnd w:id="78"/>
    </w:p>
    <w:p w14:paraId="77F63948" w14:textId="2CF205EA" w:rsidR="00844E10" w:rsidRPr="00844E10" w:rsidRDefault="00844E10" w:rsidP="00145416">
      <w:r w:rsidRPr="00844E10">
        <w:t>Our role in the water industry is based on the Water Industry Regulatory Order 2014 (WIRO), which is made under the</w:t>
      </w:r>
      <w:r w:rsidRPr="00145416">
        <w:rPr>
          <w:i/>
          <w:iCs/>
        </w:rPr>
        <w:t xml:space="preserve"> Water Industry Act 1994</w:t>
      </w:r>
      <w:r w:rsidRPr="00844E10">
        <w:t xml:space="preserve"> (WI Act) and sits within the broader context of the </w:t>
      </w:r>
      <w:r w:rsidRPr="004B0461">
        <w:rPr>
          <w:i/>
          <w:iCs/>
        </w:rPr>
        <w:t>Essential Services Commission Act 2001</w:t>
      </w:r>
      <w:r w:rsidRPr="00844E10">
        <w:t xml:space="preserve"> (ESC Act). Our role under the WIRO includes regulating the prices and monitoring service standards of water corporations operating in Victoria. </w:t>
      </w:r>
    </w:p>
    <w:p w14:paraId="3C0080B5" w14:textId="61613EC6" w:rsidR="00844E10" w:rsidRPr="00844E10" w:rsidRDefault="00B315D5" w:rsidP="00F22C01">
      <w:pPr>
        <w:pStyle w:val="Heading2"/>
      </w:pPr>
      <w:bookmarkStart w:id="79" w:name="_Toc161400015"/>
      <w:r>
        <w:t>1.2</w:t>
      </w:r>
      <w:r>
        <w:tab/>
      </w:r>
      <w:r w:rsidR="00844E10" w:rsidRPr="00844E10">
        <w:t xml:space="preserve">We are reviewing the proposed prices of </w:t>
      </w:r>
      <w:r w:rsidR="00FF0DD7" w:rsidRPr="00602539">
        <w:t>Goulburn-Murray Water</w:t>
      </w:r>
      <w:bookmarkEnd w:id="79"/>
    </w:p>
    <w:p w14:paraId="7A567BD6" w14:textId="76FAE488" w:rsidR="00844E10" w:rsidRPr="00844E10" w:rsidRDefault="00F06FAD" w:rsidP="004B0461">
      <w:r w:rsidRPr="00A03CDD">
        <w:t>We are reviewing the prices that</w:t>
      </w:r>
      <w:r w:rsidR="00844E10" w:rsidRPr="00A03CDD">
        <w:t xml:space="preserve"> </w:t>
      </w:r>
      <w:r w:rsidRPr="002D56EB">
        <w:t>G</w:t>
      </w:r>
      <w:r w:rsidR="00622F15" w:rsidRPr="002D56EB">
        <w:t xml:space="preserve">oulburn-Murray Water </w:t>
      </w:r>
      <w:r w:rsidR="00844E10" w:rsidRPr="002D56EB">
        <w:t>propose</w:t>
      </w:r>
      <w:r w:rsidR="00C82807">
        <w:t>s</w:t>
      </w:r>
      <w:r w:rsidR="00844E10" w:rsidRPr="002D56EB">
        <w:t xml:space="preserve"> to charge customers for prescribed services from 1 July 202</w:t>
      </w:r>
      <w:r w:rsidR="008062E2" w:rsidRPr="002D56EB">
        <w:t>4</w:t>
      </w:r>
      <w:r w:rsidR="00844E10" w:rsidRPr="002D56EB">
        <w:t>.</w:t>
      </w:r>
      <w:r w:rsidR="00392C6B" w:rsidRPr="002D56EB">
        <w:t xml:space="preserve"> </w:t>
      </w:r>
      <w:r w:rsidR="00BD2960" w:rsidRPr="00A9257B">
        <w:t>Goulburn-Murray Water’s</w:t>
      </w:r>
      <w:r w:rsidR="00844E10" w:rsidRPr="00A9257B">
        <w:t xml:space="preserve"> prescribed services include </w:t>
      </w:r>
      <w:r w:rsidR="00562D3E" w:rsidRPr="00A9257B">
        <w:t xml:space="preserve">retail water services, </w:t>
      </w:r>
      <w:r w:rsidR="00AC5938" w:rsidRPr="00A9257B">
        <w:t>storage operator</w:t>
      </w:r>
      <w:r w:rsidR="00070F67" w:rsidRPr="00A9257B">
        <w:t xml:space="preserve"> and bulk water services, </w:t>
      </w:r>
      <w:r w:rsidR="006055FC" w:rsidRPr="00A9257B">
        <w:t>irrigation drainage services,</w:t>
      </w:r>
      <w:r w:rsidR="007B00E0" w:rsidRPr="00A9257B">
        <w:t xml:space="preserve"> diversion services, </w:t>
      </w:r>
      <w:r w:rsidR="00FA39A1" w:rsidRPr="00A9257B">
        <w:t>ground water</w:t>
      </w:r>
      <w:r w:rsidR="006478C7" w:rsidRPr="00A9257B">
        <w:t xml:space="preserve">, </w:t>
      </w:r>
      <w:r w:rsidR="0078582E" w:rsidRPr="00A9257B">
        <w:t xml:space="preserve">unregulated surface water diversions, </w:t>
      </w:r>
      <w:r w:rsidR="003944B4" w:rsidRPr="00A9257B">
        <w:t>and</w:t>
      </w:r>
      <w:r w:rsidR="00181A7B" w:rsidRPr="00A9257B">
        <w:t xml:space="preserve"> </w:t>
      </w:r>
      <w:r w:rsidR="00562D3E" w:rsidRPr="00A9257B">
        <w:t xml:space="preserve">various </w:t>
      </w:r>
      <w:r w:rsidR="00A90EA3" w:rsidRPr="00A9257B">
        <w:t>misc</w:t>
      </w:r>
      <w:r w:rsidR="000B576A" w:rsidRPr="00A9257B">
        <w:t xml:space="preserve">ellaneous services </w:t>
      </w:r>
      <w:r w:rsidR="00A73FD0" w:rsidRPr="00A9257B">
        <w:t>and</w:t>
      </w:r>
      <w:r w:rsidR="000B576A" w:rsidRPr="00A9257B">
        <w:t xml:space="preserve"> infrastructure</w:t>
      </w:r>
      <w:r w:rsidR="009E7315" w:rsidRPr="00A9257B">
        <w:t xml:space="preserve"> services</w:t>
      </w:r>
      <w:r w:rsidR="00844E10" w:rsidRPr="00A9257B">
        <w:t>.</w:t>
      </w:r>
      <w:r w:rsidR="009E7315" w:rsidRPr="00A9257B">
        <w:rPr>
          <w:rStyle w:val="FootnoteReference"/>
        </w:rPr>
        <w:footnoteReference w:id="7"/>
      </w:r>
    </w:p>
    <w:p w14:paraId="62D9CA02" w14:textId="6C7E1065" w:rsidR="00844E10" w:rsidRPr="00844E10" w:rsidRDefault="00463124" w:rsidP="004B0461">
      <w:r w:rsidRPr="00A9257B">
        <w:t>Goulburn-Murray Water</w:t>
      </w:r>
      <w:r w:rsidR="00844E10" w:rsidRPr="00A9257B">
        <w:t xml:space="preserve"> provided a submission to us proposing prices for a </w:t>
      </w:r>
      <w:r w:rsidRPr="00A9257B">
        <w:t>four</w:t>
      </w:r>
      <w:r w:rsidR="000D6B4B" w:rsidRPr="00A9257B">
        <w:noBreakHyphen/>
      </w:r>
      <w:r w:rsidR="00844E10" w:rsidRPr="00A9257B">
        <w:t>year period starting 1</w:t>
      </w:r>
      <w:r w:rsidR="00B75ECF" w:rsidRPr="00A9257B">
        <w:t> </w:t>
      </w:r>
      <w:r w:rsidR="00844E10" w:rsidRPr="00A9257B">
        <w:t>July</w:t>
      </w:r>
      <w:r w:rsidR="00230219" w:rsidRPr="00A9257B">
        <w:t> </w:t>
      </w:r>
      <w:r w:rsidR="00844E10" w:rsidRPr="00A9257B">
        <w:t>202</w:t>
      </w:r>
      <w:r w:rsidR="00CF6A72" w:rsidRPr="00A9257B">
        <w:t>4</w:t>
      </w:r>
      <w:r w:rsidR="00844E10" w:rsidRPr="00A9257B">
        <w:t>. Our task is to assess the price submission using the legal framework and make a price determination that takes effect from 1 July 202</w:t>
      </w:r>
      <w:r w:rsidR="00CF6A72" w:rsidRPr="00A9257B">
        <w:t>4</w:t>
      </w:r>
      <w:r w:rsidR="00844E10" w:rsidRPr="00EB7648">
        <w:t>.</w:t>
      </w:r>
      <w:r w:rsidR="00844E10" w:rsidRPr="00844E10">
        <w:t xml:space="preserve"> The price determination will specify the maximum prices </w:t>
      </w:r>
      <w:r w:rsidR="00D1620B">
        <w:t>Goulburn-Murray Water</w:t>
      </w:r>
      <w:r w:rsidR="00844E10" w:rsidRPr="00844E10">
        <w:t xml:space="preserve"> may charge for prescribed services, or the manner in which prices are to be calculated, determined or otherwise regulated. We will also issue a final decision that explains the reasons for our price determination.</w:t>
      </w:r>
    </w:p>
    <w:p w14:paraId="5827A5F0" w14:textId="6B7F6E18" w:rsidR="00844E10" w:rsidRPr="00844E10" w:rsidRDefault="00B315D5" w:rsidP="00F22C01">
      <w:pPr>
        <w:pStyle w:val="Heading2"/>
      </w:pPr>
      <w:bookmarkStart w:id="80" w:name="_Toc161400016"/>
      <w:r>
        <w:t>1.3</w:t>
      </w:r>
      <w:r>
        <w:tab/>
      </w:r>
      <w:r w:rsidR="00844E10" w:rsidRPr="00844E10">
        <w:t>We assess prices against the WIRO and other legal requirements</w:t>
      </w:r>
      <w:bookmarkEnd w:id="80"/>
      <w:r w:rsidR="00844E10" w:rsidRPr="00844E10">
        <w:t xml:space="preserve"> </w:t>
      </w:r>
    </w:p>
    <w:p w14:paraId="0415C1A8" w14:textId="59D5731E" w:rsidR="00844E10" w:rsidRPr="00844E10" w:rsidRDefault="00A31788" w:rsidP="004B0461">
      <w:r>
        <w:t>This is the first time</w:t>
      </w:r>
      <w:r w:rsidR="00435FC9">
        <w:t xml:space="preserve"> that</w:t>
      </w:r>
      <w:r>
        <w:t xml:space="preserve"> </w:t>
      </w:r>
      <w:r w:rsidR="00A13C53">
        <w:t xml:space="preserve">prices for </w:t>
      </w:r>
      <w:r w:rsidR="00573DD6">
        <w:t xml:space="preserve">all of </w:t>
      </w:r>
      <w:r>
        <w:t>Goulburn-Murray Water</w:t>
      </w:r>
      <w:r w:rsidR="00A13C53">
        <w:t xml:space="preserve">’s infrastructure-related services </w:t>
      </w:r>
      <w:r w:rsidR="00AE5960">
        <w:t>are</w:t>
      </w:r>
      <w:r w:rsidR="00FB4B1F">
        <w:t xml:space="preserve"> regulated</w:t>
      </w:r>
      <w:r>
        <w:t xml:space="preserve"> under the WIRO.</w:t>
      </w:r>
      <w:r w:rsidR="00703624">
        <w:rPr>
          <w:rStyle w:val="FootnoteReference"/>
        </w:rPr>
        <w:footnoteReference w:id="8"/>
      </w:r>
      <w:r>
        <w:t xml:space="preserve"> </w:t>
      </w:r>
      <w:r w:rsidR="00573DD6">
        <w:t xml:space="preserve">It is also the first time </w:t>
      </w:r>
      <w:r w:rsidR="00851297">
        <w:t>w</w:t>
      </w:r>
      <w:r w:rsidR="00E419DC">
        <w:t xml:space="preserve">e are assessing </w:t>
      </w:r>
      <w:r w:rsidR="00573DD6">
        <w:t xml:space="preserve">Goulburn-Murray Water </w:t>
      </w:r>
      <w:r w:rsidR="000B2237">
        <w:t>under the</w:t>
      </w:r>
      <w:r w:rsidR="00211DD2">
        <w:t xml:space="preserve"> PREMO framework (discussed further below). </w:t>
      </w:r>
      <w:r w:rsidR="00844E10" w:rsidRPr="00844E10">
        <w:t xml:space="preserve">Clause 11 of the WIRO specifies the mandatory factors we must have regard to when making a price determination, including matters set out in the WIRO, the WI Act and the ESC Act. In reaching this draft decision, we have had regard to each of the matters required by clause 11 of the WIRO, including: </w:t>
      </w:r>
    </w:p>
    <w:p w14:paraId="51B2F8DC" w14:textId="77777777" w:rsidR="00844E10" w:rsidRPr="00844E10" w:rsidRDefault="00844E10" w:rsidP="00821A3A">
      <w:pPr>
        <w:pStyle w:val="ListBullet"/>
      </w:pPr>
      <w:r w:rsidRPr="00844E10">
        <w:t xml:space="preserve">the objectives and matters specified in clause 8 of the WIRO, which include economic efficiency and viability matters, industry specific matters, customer matters, health, safety, environmental </w:t>
      </w:r>
      <w:r w:rsidRPr="00844E10">
        <w:lastRenderedPageBreak/>
        <w:t xml:space="preserve">and social matters, and other matters which are specified in sections 8 and 8A of the ESC Act and section 4C of the WI Act </w:t>
      </w:r>
    </w:p>
    <w:p w14:paraId="5A01FDEA" w14:textId="77777777" w:rsidR="00844E10" w:rsidRPr="00844E10" w:rsidRDefault="00844E10" w:rsidP="00821A3A">
      <w:pPr>
        <w:pStyle w:val="ListBullet"/>
      </w:pPr>
      <w:r w:rsidRPr="00844E10">
        <w:t>the matters set out in section 33(3) of the ESC Act, which include the return on assets, relevant benchmarking and any other matters that the ESC considers relevant</w:t>
      </w:r>
    </w:p>
    <w:p w14:paraId="1976ECBA" w14:textId="420C47F3" w:rsidR="00844E10" w:rsidRPr="00844E10" w:rsidRDefault="00844E10" w:rsidP="00821A3A">
      <w:pPr>
        <w:pStyle w:val="ListBullet"/>
      </w:pPr>
      <w:r w:rsidRPr="00844E10">
        <w:t>the matters specified in our guidance</w:t>
      </w:r>
      <w:r w:rsidR="00543557">
        <w:rPr>
          <w:rStyle w:val="FootnoteReference"/>
        </w:rPr>
        <w:footnoteReference w:id="9"/>
      </w:r>
      <w:r w:rsidRPr="00844E10">
        <w:t xml:space="preserve"> </w:t>
      </w:r>
    </w:p>
    <w:p w14:paraId="02645292" w14:textId="77777777" w:rsidR="00844E10" w:rsidRPr="00844E10" w:rsidRDefault="00844E10" w:rsidP="00821A3A">
      <w:pPr>
        <w:pStyle w:val="ListBullet"/>
      </w:pPr>
      <w:r w:rsidRPr="00844E10">
        <w:t>the principle that prices should be easily understood by customers and provide signals about the efficient costs of providing services, while avoiding price shocks where possible</w:t>
      </w:r>
    </w:p>
    <w:p w14:paraId="5DC06AF4" w14:textId="70F25AEF" w:rsidR="00844E10" w:rsidRPr="00844E10" w:rsidRDefault="00844E10" w:rsidP="00821A3A">
      <w:pPr>
        <w:pStyle w:val="ListBullet"/>
      </w:pPr>
      <w:r w:rsidRPr="00844E10">
        <w:t xml:space="preserve">the principle that prices should take into account the interests of customers of the regulated entity, including </w:t>
      </w:r>
      <w:r w:rsidR="00A730BB">
        <w:t xml:space="preserve">customers who are on a </w:t>
      </w:r>
      <w:r w:rsidRPr="00844E10">
        <w:t xml:space="preserve">low income </w:t>
      </w:r>
      <w:r w:rsidR="00A730BB">
        <w:t xml:space="preserve">or who are experiencing </w:t>
      </w:r>
      <w:r w:rsidRPr="00844E10">
        <w:t>vulnerab</w:t>
      </w:r>
      <w:r w:rsidR="00A730BB">
        <w:t>ility.</w:t>
      </w:r>
    </w:p>
    <w:p w14:paraId="39D3EA29" w14:textId="5C9A52C1" w:rsidR="00844E10" w:rsidRPr="00844E10" w:rsidRDefault="00844E10" w:rsidP="004B0461">
      <w:r w:rsidRPr="00844E10">
        <w:t>A</w:t>
      </w:r>
      <w:r w:rsidR="00C45CC4">
        <w:t>ppendix</w:t>
      </w:r>
      <w:r w:rsidR="00357B85">
        <w:t xml:space="preserve"> B</w:t>
      </w:r>
      <w:r w:rsidR="00B4376F">
        <w:t xml:space="preserve"> </w:t>
      </w:r>
      <w:r w:rsidRPr="00844E10">
        <w:t>lists the specific objectives and the various matters we must have regard to when making a price determination and provides a guide to where we have done so in this draft decision.</w:t>
      </w:r>
      <w:r w:rsidR="00392C6B">
        <w:t xml:space="preserve"> </w:t>
      </w:r>
      <w:r w:rsidR="00B4376F">
        <w:t>Table 1.1 summarises the matters we must have regard to and groups them into themes.</w:t>
      </w:r>
    </w:p>
    <w:p w14:paraId="3280AE23" w14:textId="6C642F67" w:rsidR="00844E10" w:rsidRPr="00844E10" w:rsidRDefault="00844E10" w:rsidP="004B0461">
      <w:r w:rsidRPr="00844E10">
        <w:t xml:space="preserve">In </w:t>
      </w:r>
      <w:r w:rsidR="006C48CC" w:rsidRPr="00665793">
        <w:t>September</w:t>
      </w:r>
      <w:r w:rsidRPr="00665793">
        <w:t xml:space="preserve"> 202</w:t>
      </w:r>
      <w:r w:rsidR="006C48CC" w:rsidRPr="00665793">
        <w:t>2</w:t>
      </w:r>
      <w:r w:rsidRPr="00665793">
        <w:t>,</w:t>
      </w:r>
      <w:r w:rsidRPr="00844E10">
        <w:t xml:space="preserve"> we issued guidance to </w:t>
      </w:r>
      <w:r w:rsidR="00D1620B">
        <w:t>Goulburn-Murray Water</w:t>
      </w:r>
      <w:r w:rsidRPr="00844E10">
        <w:t xml:space="preserve"> to inform its price submission.</w:t>
      </w:r>
      <w:r w:rsidR="006A4483">
        <w:rPr>
          <w:rStyle w:val="FootnoteReference"/>
        </w:rPr>
        <w:footnoteReference w:id="10"/>
      </w:r>
      <w:r w:rsidRPr="00844E10">
        <w:t xml:space="preserve"> </w:t>
      </w:r>
      <w:r w:rsidR="007D6F2B">
        <w:t xml:space="preserve"> </w:t>
      </w:r>
      <w:r w:rsidR="006C5729">
        <w:t>Th</w:t>
      </w:r>
      <w:r w:rsidR="00EB0B93">
        <w:t>e</w:t>
      </w:r>
      <w:r w:rsidR="006C5729">
        <w:t xml:space="preserve"> </w:t>
      </w:r>
      <w:r w:rsidR="007D6F2B">
        <w:t xml:space="preserve">guidance </w:t>
      </w:r>
      <w:r w:rsidR="00121703">
        <w:t xml:space="preserve">was </w:t>
      </w:r>
      <w:r w:rsidR="007D6F2B">
        <w:t xml:space="preserve">in relation to </w:t>
      </w:r>
      <w:r w:rsidR="006C5729">
        <w:t xml:space="preserve">a number of matters </w:t>
      </w:r>
      <w:r w:rsidR="006A4483">
        <w:t xml:space="preserve">relevant </w:t>
      </w:r>
      <w:r w:rsidR="00320239">
        <w:t>to</w:t>
      </w:r>
      <w:r w:rsidR="006A4483">
        <w:t xml:space="preserve"> </w:t>
      </w:r>
      <w:r w:rsidR="006C5729">
        <w:t>Goulburn-Murray Water</w:t>
      </w:r>
      <w:r w:rsidR="00AF6CCC">
        <w:t>’s</w:t>
      </w:r>
      <w:r w:rsidR="006A4483">
        <w:t xml:space="preserve"> price submission. </w:t>
      </w:r>
      <w:r w:rsidR="006C5729">
        <w:t>Th</w:t>
      </w:r>
      <w:r w:rsidR="00AF6CCC">
        <w:t xml:space="preserve">ese matters include </w:t>
      </w:r>
      <w:r w:rsidR="00B74808">
        <w:t>the manner</w:t>
      </w:r>
      <w:r w:rsidR="00700303">
        <w:t xml:space="preserve"> in which </w:t>
      </w:r>
      <w:r w:rsidR="006016E0">
        <w:t xml:space="preserve">we </w:t>
      </w:r>
      <w:r w:rsidR="00700303">
        <w:t>propose to regulate pric</w:t>
      </w:r>
      <w:r w:rsidR="00A900B5">
        <w:t xml:space="preserve">es which Goulburn-Murray Water </w:t>
      </w:r>
      <w:r w:rsidR="002D55F2">
        <w:t xml:space="preserve">may charge for prescribed services </w:t>
      </w:r>
      <w:r w:rsidR="008F32C4">
        <w:t>for th</w:t>
      </w:r>
      <w:r w:rsidR="0099157C">
        <w:t>e</w:t>
      </w:r>
      <w:r w:rsidR="00EA38AB">
        <w:t xml:space="preserve"> next regulatory period</w:t>
      </w:r>
      <w:r w:rsidR="009A2B04">
        <w:t xml:space="preserve">, </w:t>
      </w:r>
      <w:r w:rsidR="006016E0">
        <w:t>the approach and methodology we propose to adopt to assess</w:t>
      </w:r>
      <w:r w:rsidR="00C23819">
        <w:t xml:space="preserve"> the price submission</w:t>
      </w:r>
      <w:r w:rsidR="009A2B04">
        <w:t xml:space="preserve">, our </w:t>
      </w:r>
      <w:r w:rsidR="00DB33AB">
        <w:t xml:space="preserve">expectations regarding </w:t>
      </w:r>
      <w:r w:rsidR="009A2B04">
        <w:t>customer consultation</w:t>
      </w:r>
      <w:r w:rsidR="00B36C6D">
        <w:t>, information required to be provided to us</w:t>
      </w:r>
      <w:r w:rsidR="00B72880">
        <w:t>,</w:t>
      </w:r>
      <w:r w:rsidR="000F40E9">
        <w:t xml:space="preserve"> and the timing and processes</w:t>
      </w:r>
      <w:r w:rsidR="00436DD9">
        <w:t xml:space="preserve"> we </w:t>
      </w:r>
      <w:r w:rsidR="000E7B45">
        <w:t xml:space="preserve">will </w:t>
      </w:r>
      <w:r w:rsidR="00E82A91">
        <w:t>follow</w:t>
      </w:r>
      <w:r w:rsidR="00B72880">
        <w:t xml:space="preserve"> to make a price determination</w:t>
      </w:r>
      <w:r w:rsidR="000E7B45">
        <w:t>.</w:t>
      </w:r>
      <w:r w:rsidR="00B72880">
        <w:rPr>
          <w:rStyle w:val="FootnoteReference"/>
        </w:rPr>
        <w:footnoteReference w:id="11"/>
      </w:r>
      <w:r w:rsidR="000E7B45">
        <w:t xml:space="preserve"> </w:t>
      </w:r>
      <w:r w:rsidRPr="00844E10">
        <w:t xml:space="preserve">If we consider the price submission has adequate regard for the matters in clause 11 of the WIRO and complies with our guidance, we must approve </w:t>
      </w:r>
      <w:r w:rsidR="00D1620B">
        <w:t>Goulburn-Murray Water</w:t>
      </w:r>
      <w:r w:rsidRPr="00844E10">
        <w:t>’s proposed prices.</w:t>
      </w:r>
      <w:r w:rsidR="00262546">
        <w:rPr>
          <w:rStyle w:val="FootnoteReference"/>
        </w:rPr>
        <w:footnoteReference w:id="12"/>
      </w:r>
      <w:r w:rsidR="00392C6B">
        <w:t xml:space="preserve"> </w:t>
      </w:r>
    </w:p>
    <w:p w14:paraId="0DA53827" w14:textId="43433E50" w:rsidR="00844E10" w:rsidRPr="00844E10" w:rsidRDefault="00844E10" w:rsidP="004B0461">
      <w:r w:rsidRPr="00844E10">
        <w:t>If we consider the submission does not have adequate regard for the matters specified in clause 11 of the WIRO or does not comply with our guidance, we may specify maximum prices, or the manner in which prices are to be calculated, determined or otherwise regulated.</w:t>
      </w:r>
      <w:r w:rsidR="003A3C18">
        <w:rPr>
          <w:rStyle w:val="FootnoteReference"/>
        </w:rPr>
        <w:footnoteReference w:id="13"/>
      </w:r>
      <w:r w:rsidR="00392C6B">
        <w:t xml:space="preserve"> </w:t>
      </w:r>
    </w:p>
    <w:p w14:paraId="7FC991D1" w14:textId="77777777" w:rsidR="00E02D43" w:rsidRDefault="00E02D43" w:rsidP="00F22C01">
      <w:pPr>
        <w:pStyle w:val="Heading2"/>
        <w:sectPr w:rsidR="00E02D43" w:rsidSect="00DB48F2">
          <w:footerReference w:type="default" r:id="rId31"/>
          <w:type w:val="continuous"/>
          <w:pgSz w:w="11906" w:h="16838" w:code="9"/>
          <w:pgMar w:top="1134" w:right="1134" w:bottom="1134" w:left="1134" w:header="709" w:footer="692" w:gutter="0"/>
          <w:pgNumType w:start="1"/>
          <w:cols w:space="708"/>
          <w:docGrid w:linePitch="360"/>
        </w:sectPr>
      </w:pPr>
    </w:p>
    <w:p w14:paraId="6234DFAA" w14:textId="7FC62001" w:rsidR="00B13D78" w:rsidRDefault="00B13D78" w:rsidP="00B13D78">
      <w:pPr>
        <w:pStyle w:val="Figure-Table-BoxHeading"/>
      </w:pPr>
      <w:r>
        <w:lastRenderedPageBreak/>
        <w:t>Table 1.1</w:t>
      </w:r>
      <w:r>
        <w:tab/>
      </w:r>
      <w:r w:rsidRPr="00322E17">
        <w:t>Matters businesses and the commission must have regard to</w:t>
      </w:r>
    </w:p>
    <w:tbl>
      <w:tblPr>
        <w:tblStyle w:val="TableGrid2"/>
        <w:tblW w:w="14601" w:type="dxa"/>
        <w:tblLook w:val="04A0" w:firstRow="1" w:lastRow="0" w:firstColumn="1" w:lastColumn="0" w:noHBand="0" w:noVBand="1"/>
      </w:tblPr>
      <w:tblGrid>
        <w:gridCol w:w="4906"/>
        <w:gridCol w:w="4450"/>
        <w:gridCol w:w="5245"/>
      </w:tblGrid>
      <w:tr w:rsidR="00B13D78" w:rsidRPr="007B5833" w14:paraId="0B9AD1C6" w14:textId="77777777" w:rsidTr="00745285">
        <w:trPr>
          <w:cnfStyle w:val="100000000000" w:firstRow="1" w:lastRow="0" w:firstColumn="0" w:lastColumn="0" w:oddVBand="0" w:evenVBand="0" w:oddHBand="0" w:evenHBand="0" w:firstRowFirstColumn="0" w:firstRowLastColumn="0" w:lastRowFirstColumn="0" w:lastRowLastColumn="0"/>
          <w:trHeight w:val="209"/>
        </w:trPr>
        <w:tc>
          <w:tcPr>
            <w:tcW w:w="4906" w:type="dxa"/>
          </w:tcPr>
          <w:p w14:paraId="21755B78" w14:textId="77777777" w:rsidR="00B13D78" w:rsidRPr="007B5833" w:rsidRDefault="00B13D78" w:rsidP="00321534">
            <w:pPr>
              <w:pStyle w:val="TableHeading"/>
            </w:pPr>
            <w:r w:rsidRPr="007B5833">
              <w:t>Economic efficiency and viability matters</w:t>
            </w:r>
          </w:p>
        </w:tc>
        <w:tc>
          <w:tcPr>
            <w:tcW w:w="4450" w:type="dxa"/>
          </w:tcPr>
          <w:p w14:paraId="2E42D4D9" w14:textId="77777777" w:rsidR="00B13D78" w:rsidRPr="007B5833" w:rsidRDefault="00B13D78" w:rsidP="00321534">
            <w:pPr>
              <w:pStyle w:val="TableHeading"/>
            </w:pPr>
            <w:r w:rsidRPr="007B5833">
              <w:t>Industry/business specific matters</w:t>
            </w:r>
          </w:p>
        </w:tc>
        <w:tc>
          <w:tcPr>
            <w:tcW w:w="5245" w:type="dxa"/>
          </w:tcPr>
          <w:p w14:paraId="54EC62E5" w14:textId="77777777" w:rsidR="00B13D78" w:rsidRPr="007B5833" w:rsidRDefault="00B13D78" w:rsidP="00321534">
            <w:pPr>
              <w:pStyle w:val="TableHeading"/>
            </w:pPr>
            <w:r w:rsidRPr="007B5833">
              <w:t>Customer matters</w:t>
            </w:r>
          </w:p>
        </w:tc>
      </w:tr>
      <w:tr w:rsidR="00B13D78" w:rsidRPr="007B5833" w14:paraId="3490C456" w14:textId="77777777" w:rsidTr="00745285">
        <w:trPr>
          <w:cnfStyle w:val="000000100000" w:firstRow="0" w:lastRow="0" w:firstColumn="0" w:lastColumn="0" w:oddVBand="0" w:evenVBand="0" w:oddHBand="1" w:evenHBand="0" w:firstRowFirstColumn="0" w:firstRowLastColumn="0" w:lastRowFirstColumn="0" w:lastRowLastColumn="0"/>
          <w:trHeight w:val="5695"/>
        </w:trPr>
        <w:tc>
          <w:tcPr>
            <w:tcW w:w="4906" w:type="dxa"/>
          </w:tcPr>
          <w:p w14:paraId="6F2B473C" w14:textId="77777777" w:rsidR="001141A7" w:rsidRPr="00FC327F" w:rsidRDefault="001141A7" w:rsidP="00821A3A">
            <w:pPr>
              <w:pStyle w:val="ListBullet"/>
            </w:pPr>
            <w:r w:rsidRPr="00FC327F">
              <w:t>promotion of efficient use of prescribed services by customers [cl 8(b)(i), WIRO]</w:t>
            </w:r>
          </w:p>
          <w:p w14:paraId="6A58CE3E" w14:textId="77777777" w:rsidR="001141A7" w:rsidRPr="00FC327F" w:rsidRDefault="001141A7" w:rsidP="00821A3A">
            <w:pPr>
              <w:pStyle w:val="ListBullet"/>
            </w:pPr>
            <w:r w:rsidRPr="00FC327F">
              <w:t>promotion of efficiency in regulated entities as well as efficiency in, and the financial viability of, the regulated water industry [cl 8(b)(ii), WIRO]</w:t>
            </w:r>
          </w:p>
          <w:p w14:paraId="6BED0DB1" w14:textId="77777777" w:rsidR="001141A7" w:rsidRPr="00FC327F" w:rsidRDefault="001141A7" w:rsidP="00821A3A">
            <w:pPr>
              <w:pStyle w:val="ListBullet"/>
            </w:pPr>
            <w:r w:rsidRPr="00FC327F">
              <w:t>provision to regulated entities of incentives to pursue efficiency improvements [cl 8(b)(iii), WIRO]</w:t>
            </w:r>
          </w:p>
          <w:p w14:paraId="00333218" w14:textId="77777777" w:rsidR="001141A7" w:rsidRPr="00FC327F" w:rsidRDefault="001141A7" w:rsidP="00821A3A">
            <w:pPr>
              <w:pStyle w:val="ListBullet"/>
            </w:pPr>
            <w:r w:rsidRPr="00FC327F">
              <w:t>efficiency in the industry and incentives for long term investment [s. 8A(1)(a), ESC Act]</w:t>
            </w:r>
          </w:p>
          <w:p w14:paraId="471580AF" w14:textId="77777777" w:rsidR="001141A7" w:rsidRPr="00FC327F" w:rsidRDefault="001141A7" w:rsidP="00821A3A">
            <w:pPr>
              <w:pStyle w:val="ListBullet"/>
            </w:pPr>
            <w:r w:rsidRPr="00FC327F">
              <w:t>efficient costs of producing or supplying regulated goods or services and of complying with relevant legislation and relevant health, safety, environmental and social legislation applying to the regulated industry [s. 33(3)(b), ESC Act]</w:t>
            </w:r>
          </w:p>
          <w:p w14:paraId="06F94029" w14:textId="1EF69BBC" w:rsidR="00B13D78" w:rsidRPr="001C290D" w:rsidRDefault="001141A7" w:rsidP="00821A3A">
            <w:pPr>
              <w:pStyle w:val="ListBullet"/>
            </w:pPr>
            <w:r w:rsidRPr="00FC327F">
              <w:t>financial viability of the industry [s. 8A(b)(1), ESC Act]</w:t>
            </w:r>
          </w:p>
        </w:tc>
        <w:tc>
          <w:tcPr>
            <w:tcW w:w="4450" w:type="dxa"/>
          </w:tcPr>
          <w:p w14:paraId="231F0DE2" w14:textId="77777777" w:rsidR="00B13D78" w:rsidRPr="001C290D" w:rsidRDefault="00B13D78" w:rsidP="00821A3A">
            <w:pPr>
              <w:pStyle w:val="ListBullet"/>
            </w:pPr>
            <w:r w:rsidRPr="001C290D">
              <w:t>particular circumstances of the regulated industry and the prescribed goods and services for which the determination is being made [s</w:t>
            </w:r>
            <w:r>
              <w:t>. </w:t>
            </w:r>
            <w:r w:rsidRPr="001C290D">
              <w:t>33(3)(a), ESC Act]</w:t>
            </w:r>
          </w:p>
          <w:p w14:paraId="79645849" w14:textId="74081A22" w:rsidR="00B13D78" w:rsidRPr="001C290D" w:rsidRDefault="00B13D78" w:rsidP="00821A3A">
            <w:pPr>
              <w:pStyle w:val="ListBullet"/>
            </w:pPr>
            <w:r w:rsidRPr="001C290D">
              <w:t>return on assets in the regulated industry [s</w:t>
            </w:r>
            <w:r>
              <w:t>. </w:t>
            </w:r>
            <w:r w:rsidRPr="001C290D">
              <w:t>33(3)</w:t>
            </w:r>
            <w:r w:rsidR="008E33D7">
              <w:t>(c</w:t>
            </w:r>
            <w:r w:rsidRPr="001C290D">
              <w:t>), ESC Act]</w:t>
            </w:r>
          </w:p>
          <w:p w14:paraId="199BE9C6" w14:textId="5DE8787D" w:rsidR="00B13D78" w:rsidRPr="001C290D" w:rsidRDefault="00B13D78" w:rsidP="00821A3A">
            <w:pPr>
              <w:pStyle w:val="ListBullet"/>
            </w:pPr>
            <w:r w:rsidRPr="001C290D">
              <w:t>ensure that regulatory decision making and regulatory processes have regard to any differences between the operating environments of regulated entities [s</w:t>
            </w:r>
            <w:r>
              <w:t>.</w:t>
            </w:r>
            <w:r w:rsidR="008E1E7B">
              <w:t> </w:t>
            </w:r>
            <w:r w:rsidRPr="001C290D">
              <w:t>4C(b), WI Act]</w:t>
            </w:r>
          </w:p>
        </w:tc>
        <w:tc>
          <w:tcPr>
            <w:tcW w:w="5245" w:type="dxa"/>
          </w:tcPr>
          <w:p w14:paraId="0D641126" w14:textId="4F7891D4" w:rsidR="00B13D78" w:rsidRPr="001C290D" w:rsidRDefault="00B13D78" w:rsidP="00821A3A">
            <w:pPr>
              <w:pStyle w:val="ListBullet"/>
            </w:pPr>
            <w:r w:rsidRPr="001C290D">
              <w:t xml:space="preserve">in performing its functions and exercising its powers, the objective of the </w:t>
            </w:r>
            <w:r w:rsidR="0014530A">
              <w:t>c</w:t>
            </w:r>
            <w:r w:rsidRPr="001C290D">
              <w:t>ommission is to promote the long</w:t>
            </w:r>
            <w:r w:rsidR="00EA3E4C">
              <w:t>-</w:t>
            </w:r>
            <w:r w:rsidRPr="001C290D">
              <w:t>term interests of Victorian consumers [s</w:t>
            </w:r>
            <w:r>
              <w:t>.</w:t>
            </w:r>
            <w:r w:rsidRPr="001C290D">
              <w:t xml:space="preserve"> 8(1), ESC Act] without derogating from that objective. The </w:t>
            </w:r>
            <w:r w:rsidR="00AA414D">
              <w:t>c</w:t>
            </w:r>
            <w:r w:rsidRPr="001C290D">
              <w:t>ommission must in seeking to achieve the objective have regard to the price, quality and reliability of essential services [s</w:t>
            </w:r>
            <w:r>
              <w:t>.</w:t>
            </w:r>
            <w:r w:rsidRPr="001C290D">
              <w:t xml:space="preserve"> 8(2), ESC Act]</w:t>
            </w:r>
          </w:p>
          <w:p w14:paraId="52F28578" w14:textId="77777777" w:rsidR="00B13D78" w:rsidRPr="001C290D" w:rsidRDefault="00B13D78" w:rsidP="00821A3A">
            <w:pPr>
              <w:pStyle w:val="ListBullet"/>
            </w:pPr>
            <w:r w:rsidRPr="001C290D">
              <w:t>enable customers or potential customers of the regulated entity to easily understand the prices charged by the regulated entity for prescribed services or the manner in which such prices are calculated, determined or otherwise regulated [cl</w:t>
            </w:r>
            <w:r>
              <w:t> </w:t>
            </w:r>
            <w:r w:rsidRPr="001C290D">
              <w:t>11(d)(i), WIRO]</w:t>
            </w:r>
          </w:p>
          <w:p w14:paraId="3CF71BF1" w14:textId="77777777" w:rsidR="00B13D78" w:rsidRPr="001C290D" w:rsidRDefault="00B13D78" w:rsidP="00821A3A">
            <w:pPr>
              <w:pStyle w:val="ListBullet"/>
            </w:pPr>
            <w:r w:rsidRPr="001C290D">
              <w:t>provide signals about the efficient costs of providing prescribed services to customers (either collectively or to an individual customer or class of customers) while avoiding price shocks where possible [cl</w:t>
            </w:r>
            <w:r>
              <w:t> </w:t>
            </w:r>
            <w:r w:rsidRPr="001C290D">
              <w:t>11(d)(ii), WIRO]</w:t>
            </w:r>
          </w:p>
          <w:p w14:paraId="6EF7D419" w14:textId="77777777" w:rsidR="00B13D78" w:rsidRPr="001C290D" w:rsidRDefault="00B13D78" w:rsidP="00821A3A">
            <w:pPr>
              <w:pStyle w:val="ListBullet"/>
            </w:pPr>
            <w:r w:rsidRPr="001C290D">
              <w:t>take into account the interests of customers of the regulated entity, including low income and vulnerable customers [cl 11(d)(iii), WIRO]</w:t>
            </w:r>
          </w:p>
        </w:tc>
      </w:tr>
    </w:tbl>
    <w:p w14:paraId="30C8D775" w14:textId="77777777" w:rsidR="00B13D78" w:rsidRDefault="00B13D78" w:rsidP="00B13D78">
      <w:pPr>
        <w:pStyle w:val="Source"/>
      </w:pPr>
      <w:r>
        <w:t>Continued next page</w:t>
      </w:r>
    </w:p>
    <w:p w14:paraId="23FE7088" w14:textId="77777777" w:rsidR="00B13D78" w:rsidRDefault="00B13D78" w:rsidP="00711BE0">
      <w:pPr>
        <w:pStyle w:val="Figure-Table-BoxHeading"/>
        <w:keepNext/>
      </w:pPr>
      <w:r w:rsidRPr="001919AD">
        <w:lastRenderedPageBreak/>
        <w:t>Table 1.1</w:t>
      </w:r>
      <w:r>
        <w:t xml:space="preserve"> (continued)</w:t>
      </w:r>
    </w:p>
    <w:tbl>
      <w:tblPr>
        <w:tblStyle w:val="TableGrid"/>
        <w:tblW w:w="0" w:type="auto"/>
        <w:tblLook w:val="04A0" w:firstRow="1" w:lastRow="0" w:firstColumn="1" w:lastColumn="0" w:noHBand="0" w:noVBand="1"/>
      </w:tblPr>
      <w:tblGrid>
        <w:gridCol w:w="4856"/>
        <w:gridCol w:w="4857"/>
        <w:gridCol w:w="4857"/>
      </w:tblGrid>
      <w:tr w:rsidR="00B13D78" w14:paraId="111CEF30" w14:textId="77777777" w:rsidTr="000A4073">
        <w:trPr>
          <w:cnfStyle w:val="100000000000" w:firstRow="1" w:lastRow="0" w:firstColumn="0" w:lastColumn="0" w:oddVBand="0" w:evenVBand="0" w:oddHBand="0" w:evenHBand="0" w:firstRowFirstColumn="0" w:firstRowLastColumn="0" w:lastRowFirstColumn="0" w:lastRowLastColumn="0"/>
        </w:trPr>
        <w:tc>
          <w:tcPr>
            <w:tcW w:w="4856" w:type="dxa"/>
          </w:tcPr>
          <w:p w14:paraId="732FE0C1" w14:textId="77777777" w:rsidR="00B13D78" w:rsidRDefault="00B13D78" w:rsidP="0090279F">
            <w:pPr>
              <w:pStyle w:val="TableHeading"/>
            </w:pPr>
            <w:r w:rsidRPr="0099305F">
              <w:t>Benchmarking</w:t>
            </w:r>
          </w:p>
        </w:tc>
        <w:tc>
          <w:tcPr>
            <w:tcW w:w="4857" w:type="dxa"/>
          </w:tcPr>
          <w:p w14:paraId="0ECE33AB" w14:textId="15E33E51" w:rsidR="00B13D78" w:rsidRDefault="00B13D78" w:rsidP="000A4073">
            <w:pPr>
              <w:pStyle w:val="TableHeading"/>
            </w:pPr>
            <w:r w:rsidRPr="0099305F">
              <w:t>Health, safety</w:t>
            </w:r>
            <w:r w:rsidR="00F76D5A">
              <w:t>,</w:t>
            </w:r>
            <w:r w:rsidR="004D5609">
              <w:t xml:space="preserve"> environmental</w:t>
            </w:r>
            <w:r w:rsidRPr="0099305F">
              <w:t xml:space="preserve"> and social obligations</w:t>
            </w:r>
          </w:p>
        </w:tc>
        <w:tc>
          <w:tcPr>
            <w:tcW w:w="4857" w:type="dxa"/>
          </w:tcPr>
          <w:p w14:paraId="17A0DBCC" w14:textId="77777777" w:rsidR="00B13D78" w:rsidRDefault="00B13D78" w:rsidP="000A4073">
            <w:pPr>
              <w:pStyle w:val="TableHeading"/>
            </w:pPr>
            <w:r w:rsidRPr="0099305F">
              <w:t>Other</w:t>
            </w:r>
          </w:p>
        </w:tc>
      </w:tr>
      <w:tr w:rsidR="00B13D78" w14:paraId="5F83B110" w14:textId="77777777" w:rsidTr="000A4073">
        <w:trPr>
          <w:cnfStyle w:val="000000100000" w:firstRow="0" w:lastRow="0" w:firstColumn="0" w:lastColumn="0" w:oddVBand="0" w:evenVBand="0" w:oddHBand="1" w:evenHBand="0" w:firstRowFirstColumn="0" w:firstRowLastColumn="0" w:lastRowFirstColumn="0" w:lastRowLastColumn="0"/>
        </w:trPr>
        <w:tc>
          <w:tcPr>
            <w:tcW w:w="4856" w:type="dxa"/>
          </w:tcPr>
          <w:p w14:paraId="1E10C241" w14:textId="77777777" w:rsidR="00B13D78" w:rsidRPr="001C290D" w:rsidRDefault="00B13D78" w:rsidP="00821A3A">
            <w:pPr>
              <w:pStyle w:val="ListBullet"/>
            </w:pPr>
            <w:r w:rsidRPr="001C290D">
              <w:t>any relevant interstate and international benchmarks for prices, costs and return on assets in comparable industries [s</w:t>
            </w:r>
            <w:r>
              <w:t>.</w:t>
            </w:r>
            <w:r w:rsidRPr="001C290D">
              <w:t xml:space="preserve"> 33(3)(d), ESC Act]</w:t>
            </w:r>
          </w:p>
        </w:tc>
        <w:tc>
          <w:tcPr>
            <w:tcW w:w="4857" w:type="dxa"/>
          </w:tcPr>
          <w:p w14:paraId="03F90BD6" w14:textId="77777777" w:rsidR="00B13D78" w:rsidRPr="001C290D" w:rsidRDefault="00B13D78" w:rsidP="00821A3A">
            <w:pPr>
              <w:pStyle w:val="ListBullet"/>
            </w:pPr>
            <w:r w:rsidRPr="001C290D">
              <w:t>the relevant health, safety, environmental and social legislation applying to the industry [s</w:t>
            </w:r>
            <w:r>
              <w:t> </w:t>
            </w:r>
            <w:r w:rsidRPr="001C290D">
              <w:t xml:space="preserve">8A(1)(d), ESC Act] </w:t>
            </w:r>
          </w:p>
          <w:p w14:paraId="0447CA84" w14:textId="2B395A16" w:rsidR="00B13D78" w:rsidRPr="001C290D" w:rsidRDefault="00B13D78" w:rsidP="00821A3A">
            <w:pPr>
              <w:pStyle w:val="ListBullet"/>
            </w:pPr>
            <w:r w:rsidRPr="001C290D">
              <w:t>to ensure that regulatory decision making has regard to the health, safety, environmental sustainability (including water conservation) and social obligations of regulated entities [s</w:t>
            </w:r>
            <w:r>
              <w:t>.</w:t>
            </w:r>
            <w:r w:rsidR="009A7D76">
              <w:t>4C</w:t>
            </w:r>
            <w:r w:rsidRPr="001C290D">
              <w:t>(c), WI Act]</w:t>
            </w:r>
          </w:p>
        </w:tc>
        <w:tc>
          <w:tcPr>
            <w:tcW w:w="4857" w:type="dxa"/>
          </w:tcPr>
          <w:p w14:paraId="5130DF27" w14:textId="5241CB2B" w:rsidR="00B13D78" w:rsidRPr="001C290D" w:rsidRDefault="00B13D78" w:rsidP="00821A3A">
            <w:pPr>
              <w:pStyle w:val="ListBullet"/>
            </w:pPr>
            <w:r w:rsidRPr="001C290D">
              <w:t>the degree of, and scope for, competition within the industry, including countervailing market power and information asymmetries [s</w:t>
            </w:r>
            <w:r>
              <w:t>.</w:t>
            </w:r>
            <w:r w:rsidR="00D76DBB">
              <w:t>8A</w:t>
            </w:r>
            <w:r w:rsidRPr="001C290D">
              <w:t>(1)(c), ESC Act]</w:t>
            </w:r>
          </w:p>
          <w:p w14:paraId="5AEDB3A8" w14:textId="77777777" w:rsidR="00B13D78" w:rsidRPr="001C290D" w:rsidRDefault="00B13D78" w:rsidP="00821A3A">
            <w:pPr>
              <w:pStyle w:val="ListBullet"/>
            </w:pPr>
            <w:r w:rsidRPr="001C290D">
              <w:t>consistency in regulation between States and on a national basis [s</w:t>
            </w:r>
            <w:r>
              <w:t>.</w:t>
            </w:r>
            <w:r w:rsidRPr="001C290D">
              <w:t xml:space="preserve"> 8A(1)(f), ESC Act]</w:t>
            </w:r>
          </w:p>
          <w:p w14:paraId="6C1221B9" w14:textId="5E062651" w:rsidR="00B13D78" w:rsidRPr="001C290D" w:rsidRDefault="00B13D78" w:rsidP="00821A3A">
            <w:pPr>
              <w:pStyle w:val="ListBullet"/>
            </w:pPr>
            <w:r w:rsidRPr="001C290D">
              <w:t xml:space="preserve">the benefits and costs of regulation (including externalities and the gains from competition and efficiency) for—(i) consumers and users of products or services (including low income and vulnerable consumers) (ii) regulated entities </w:t>
            </w:r>
            <w:r w:rsidR="006A40DF">
              <w:t>the</w:t>
            </w:r>
            <w:r>
              <w:t> </w:t>
            </w:r>
            <w:r w:rsidRPr="001C290D">
              <w:t>8A(1)(e), ESC Act]</w:t>
            </w:r>
          </w:p>
          <w:p w14:paraId="0EA4B36A" w14:textId="18A8EF42" w:rsidR="00B13D78" w:rsidRPr="001C290D" w:rsidRDefault="00B13D78" w:rsidP="00821A3A">
            <w:pPr>
              <w:pStyle w:val="ListBullet"/>
            </w:pPr>
            <w:r w:rsidRPr="001C290D">
              <w:t>wherever possible, to ensure that the costs of regulation do not exceed the benefits [s</w:t>
            </w:r>
            <w:r>
              <w:t>.</w:t>
            </w:r>
            <w:r w:rsidR="00A61A5B">
              <w:t> </w:t>
            </w:r>
            <w:r w:rsidRPr="001C290D">
              <w:t>4C(a), WI Act]</w:t>
            </w:r>
          </w:p>
        </w:tc>
      </w:tr>
    </w:tbl>
    <w:p w14:paraId="5A2C9E8F" w14:textId="77777777" w:rsidR="00B13D78" w:rsidRDefault="00B13D78" w:rsidP="00B13D78">
      <w:pPr>
        <w:pStyle w:val="Source"/>
        <w:jc w:val="left"/>
      </w:pPr>
      <w:r w:rsidRPr="006470E0">
        <w:rPr>
          <w:b/>
          <w:bCs/>
        </w:rPr>
        <w:t>Note:</w:t>
      </w:r>
      <w:r>
        <w:t xml:space="preserve"> References in the table are to the </w:t>
      </w:r>
      <w:r w:rsidRPr="00AD5C7C">
        <w:t>Water Industry Regulatory Order 2014</w:t>
      </w:r>
      <w:r>
        <w:t xml:space="preserve"> (WIRO)</w:t>
      </w:r>
      <w:r w:rsidRPr="00AD5C7C">
        <w:t>, the Essential Services Commission Act 2001 (</w:t>
      </w:r>
      <w:r>
        <w:t>ESC Act</w:t>
      </w:r>
      <w:r w:rsidRPr="00AD5C7C">
        <w:t>), and the Water Industry Act 1995 (</w:t>
      </w:r>
      <w:r>
        <w:t>WI Act</w:t>
      </w:r>
      <w:r w:rsidRPr="00AD5C7C">
        <w:t>).</w:t>
      </w:r>
    </w:p>
    <w:p w14:paraId="12BAEA6A" w14:textId="77777777" w:rsidR="00E02D43" w:rsidRDefault="00E02D43" w:rsidP="00F22C01">
      <w:pPr>
        <w:pStyle w:val="Heading2"/>
        <w:sectPr w:rsidR="00E02D43" w:rsidSect="00DB48F2">
          <w:footerReference w:type="default" r:id="rId32"/>
          <w:pgSz w:w="16838" w:h="11906" w:orient="landscape" w:code="9"/>
          <w:pgMar w:top="1134" w:right="1134" w:bottom="1134" w:left="1134" w:header="709" w:footer="692" w:gutter="0"/>
          <w:cols w:space="708"/>
          <w:docGrid w:linePitch="360"/>
        </w:sectPr>
      </w:pPr>
    </w:p>
    <w:p w14:paraId="1667F5EE" w14:textId="6E9CB48F" w:rsidR="00844E10" w:rsidRPr="00844E10" w:rsidRDefault="00B315D5" w:rsidP="00F22C01">
      <w:pPr>
        <w:pStyle w:val="Heading2"/>
      </w:pPr>
      <w:bookmarkStart w:id="81" w:name="_Toc161400017"/>
      <w:r>
        <w:lastRenderedPageBreak/>
        <w:t>1.4</w:t>
      </w:r>
      <w:r>
        <w:tab/>
      </w:r>
      <w:r w:rsidR="00844E10" w:rsidRPr="00844E10">
        <w:t>PREMO</w:t>
      </w:r>
      <w:bookmarkEnd w:id="81"/>
    </w:p>
    <w:p w14:paraId="7C198F52" w14:textId="60705297" w:rsidR="00B8084F" w:rsidRDefault="00844E10" w:rsidP="00B8084F">
      <w:r w:rsidRPr="00844E10">
        <w:t xml:space="preserve">PREMO stands for </w:t>
      </w:r>
      <w:r w:rsidRPr="00220499">
        <w:rPr>
          <w:b/>
          <w:bCs/>
        </w:rPr>
        <w:t>P</w:t>
      </w:r>
      <w:r w:rsidRPr="00844E10">
        <w:t xml:space="preserve">erformance, </w:t>
      </w:r>
      <w:r w:rsidRPr="00220499">
        <w:rPr>
          <w:b/>
          <w:bCs/>
        </w:rPr>
        <w:t>R</w:t>
      </w:r>
      <w:r w:rsidRPr="00844E10">
        <w:t xml:space="preserve">isk, </w:t>
      </w:r>
      <w:r w:rsidRPr="00220499">
        <w:rPr>
          <w:b/>
          <w:bCs/>
        </w:rPr>
        <w:t>E</w:t>
      </w:r>
      <w:r w:rsidRPr="00844E10">
        <w:t xml:space="preserve">ngagement, </w:t>
      </w:r>
      <w:r w:rsidRPr="00220499">
        <w:rPr>
          <w:b/>
          <w:bCs/>
        </w:rPr>
        <w:t>M</w:t>
      </w:r>
      <w:r w:rsidRPr="00844E10">
        <w:t xml:space="preserve">anagement, and </w:t>
      </w:r>
      <w:r w:rsidRPr="00220499">
        <w:rPr>
          <w:b/>
          <w:bCs/>
        </w:rPr>
        <w:t>O</w:t>
      </w:r>
      <w:r w:rsidRPr="00844E10">
        <w:t xml:space="preserve">utcomes. </w:t>
      </w:r>
      <w:r w:rsidR="0048438E">
        <w:t>Each element of PREMO is summarised in Box 1.1.</w:t>
      </w:r>
    </w:p>
    <w:p w14:paraId="7A7F18D8" w14:textId="4B599B1D" w:rsidR="00276FC0" w:rsidRDefault="00B8084F" w:rsidP="00276FC0">
      <w:r>
        <w:rPr>
          <w:noProof/>
        </w:rPr>
        <mc:AlternateContent>
          <mc:Choice Requires="wpc">
            <w:drawing>
              <wp:inline distT="0" distB="0" distL="0" distR="0" wp14:anchorId="33A8F059" wp14:editId="681CE9B7">
                <wp:extent cx="6115050" cy="3882541"/>
                <wp:effectExtent l="0" t="0" r="19050" b="22860"/>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 name="Text Box 6"/>
                        <wps:cNvSpPr txBox="1"/>
                        <wps:spPr>
                          <a:xfrm>
                            <a:off x="0" y="35703"/>
                            <a:ext cx="6115050" cy="3520440"/>
                          </a:xfrm>
                          <a:prstGeom prst="rect">
                            <a:avLst/>
                          </a:prstGeom>
                          <a:solidFill>
                            <a:schemeClr val="bg2">
                              <a:lumMod val="40000"/>
                              <a:lumOff val="60000"/>
                            </a:schemeClr>
                          </a:solidFill>
                          <a:ln w="6350">
                            <a:solidFill>
                              <a:prstClr val="black"/>
                            </a:solidFill>
                          </a:ln>
                        </wps:spPr>
                        <wps:txbx>
                          <w:txbxContent>
                            <w:p w14:paraId="7CAFC186" w14:textId="77777777" w:rsidR="00B8084F" w:rsidRDefault="00B8084F" w:rsidP="00B8084F">
                              <w:pPr>
                                <w:pStyle w:val="Figure-Table-BoxHeading"/>
                                <w:ind w:left="0" w:firstLine="0"/>
                              </w:pPr>
                              <w:r>
                                <w:t>Box 1.1</w:t>
                              </w:r>
                              <w:r>
                                <w:tab/>
                                <w:t>PREMO</w:t>
                              </w:r>
                            </w:p>
                            <w:p w14:paraId="7DA01B66" w14:textId="77777777" w:rsidR="00B8084F" w:rsidRDefault="00B8084F" w:rsidP="00B8084F">
                              <w:pPr>
                                <w:spacing w:before="120"/>
                              </w:pPr>
                              <w:r>
                                <w:t>Water businesses must demonstrate their level of ambition in delivering value for money for customers in their price submissions across the five PREMO elements:</w:t>
                              </w:r>
                            </w:p>
                            <w:p w14:paraId="024823A6" w14:textId="77777777" w:rsidR="00B8084F" w:rsidRPr="008E6C1D" w:rsidRDefault="00B8084F" w:rsidP="00821A3A">
                              <w:pPr>
                                <w:pStyle w:val="ListBullet"/>
                              </w:pPr>
                              <w:r w:rsidRPr="008E6C1D">
                                <w:t>Performance — have the performance outcomes to which the business committed in the previous regulatory period been met or exceeded?</w:t>
                              </w:r>
                            </w:p>
                            <w:p w14:paraId="248C5A11" w14:textId="77777777" w:rsidR="00B8084F" w:rsidRPr="008E6C1D" w:rsidRDefault="00B8084F" w:rsidP="00821A3A">
                              <w:pPr>
                                <w:pStyle w:val="ListBullet"/>
                              </w:pPr>
                              <w:r w:rsidRPr="008E6C1D">
                                <w:t>Risk — has the business sought to allocate risk to the party best positioned to manage that risk? To what extent has the business accepted risk on behalf of its customers?</w:t>
                              </w:r>
                            </w:p>
                            <w:p w14:paraId="376811F3" w14:textId="77777777" w:rsidR="00B8084F" w:rsidRPr="008E6C1D" w:rsidRDefault="00B8084F" w:rsidP="00821A3A">
                              <w:pPr>
                                <w:pStyle w:val="ListBullet"/>
                              </w:pPr>
                              <w:r w:rsidRPr="008E6C1D">
                                <w:t>Engagement — how effective was the business’s customer engagement to inform its price submission?</w:t>
                              </w:r>
                            </w:p>
                            <w:p w14:paraId="2E85649B" w14:textId="77777777" w:rsidR="00B8084F" w:rsidRPr="008E6C1D" w:rsidRDefault="00B8084F" w:rsidP="00821A3A">
                              <w:pPr>
                                <w:pStyle w:val="ListBullet"/>
                              </w:pPr>
                              <w:r w:rsidRPr="008E6C1D">
                                <w:t>Management — is there a strong focus on efficiency? Are controllable costs increasing, staying the same, or decreasing? Is the price submission succinct and free of material errors?</w:t>
                              </w:r>
                            </w:p>
                            <w:p w14:paraId="4E71532B" w14:textId="77777777" w:rsidR="00B8084F" w:rsidRPr="008E6C1D" w:rsidRDefault="00B8084F" w:rsidP="00821A3A">
                              <w:pPr>
                                <w:pStyle w:val="ListBullet"/>
                              </w:pPr>
                              <w:r w:rsidRPr="008E6C1D">
                                <w:t>Outcomes — do proposed service outcomes represent an improvement, the status quo, or a reduction of service standards?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wpc:wpc>
                  </a:graphicData>
                </a:graphic>
              </wp:inline>
            </w:drawing>
          </mc:Choice>
          <mc:Fallback>
            <w:pict>
              <v:group w14:anchorId="33A8F059" id="Canvas 22" o:spid="_x0000_s1026" editas="canvas" style="width:481.5pt;height:305.7pt;mso-position-horizontal-relative:char;mso-position-vertical-relative:line" coordsize="61150,3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">
                <v:shape id="_x0000_s1027" type="#_x0000_t75" style="position:absolute;width:61150;height:38823;visibility:visible;mso-wrap-style:square" filled="t">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top:357;width:61150;height:35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" fillcolor="#c7c8ca [1310]" strokeweight=".5pt">
                  <v:textbox style="mso-fit-shape-to-text:t" inset=",0,,0">
                    <w:txbxContent>
                      <w:p w14:paraId="7CAFC186" w14:textId="77777777" w:rsidR="00B8084F" w:rsidRDefault="00B8084F" w:rsidP="00B8084F">
                        <w:pPr>
                          <w:pStyle w:val="Figure-Table-BoxHeading"/>
                          <w:ind w:left="0" w:firstLine="0"/>
                        </w:pPr>
                        <w:r>
                          <w:t>Box 1.1</w:t>
                        </w:r>
                        <w:r>
                          <w:tab/>
                          <w:t>PREMO</w:t>
                        </w:r>
                      </w:p>
                      <w:p w14:paraId="7DA01B66" w14:textId="77777777" w:rsidR="00B8084F" w:rsidRDefault="00B8084F" w:rsidP="00B8084F">
                        <w:pPr>
                          <w:spacing w:before="120"/>
                        </w:pPr>
                        <w:r>
                          <w:t>Water businesses must demonstrate their level of ambition in delivering value for money for customers in their price submissions across the five PREMO elements:</w:t>
                        </w:r>
                      </w:p>
                      <w:p w14:paraId="024823A6" w14:textId="77777777" w:rsidR="00B8084F" w:rsidRPr="008E6C1D" w:rsidRDefault="00B8084F" w:rsidP="00821A3A">
                        <w:pPr>
                          <w:pStyle w:val="ListBullet"/>
                        </w:pPr>
                        <w:r w:rsidRPr="008E6C1D">
                          <w:t>Performance — have the performance outcomes to which the business committed in the previous regulatory period been met or exceeded?</w:t>
                        </w:r>
                      </w:p>
                      <w:p w14:paraId="248C5A11" w14:textId="77777777" w:rsidR="00B8084F" w:rsidRPr="008E6C1D" w:rsidRDefault="00B8084F" w:rsidP="00821A3A">
                        <w:pPr>
                          <w:pStyle w:val="ListBullet"/>
                        </w:pPr>
                        <w:r w:rsidRPr="008E6C1D">
                          <w:t>Risk — has the business sought to allocate risk to the party best positioned to manage that risk? To what extent has the business accepted risk on behalf of its customers?</w:t>
                        </w:r>
                      </w:p>
                      <w:p w14:paraId="376811F3" w14:textId="77777777" w:rsidR="00B8084F" w:rsidRPr="008E6C1D" w:rsidRDefault="00B8084F" w:rsidP="00821A3A">
                        <w:pPr>
                          <w:pStyle w:val="ListBullet"/>
                        </w:pPr>
                        <w:r w:rsidRPr="008E6C1D">
                          <w:t>Engagement — how effective was the business’s customer engagement to inform its price submission?</w:t>
                        </w:r>
                      </w:p>
                      <w:p w14:paraId="2E85649B" w14:textId="77777777" w:rsidR="00B8084F" w:rsidRPr="008E6C1D" w:rsidRDefault="00B8084F" w:rsidP="00821A3A">
                        <w:pPr>
                          <w:pStyle w:val="ListBullet"/>
                        </w:pPr>
                        <w:r w:rsidRPr="008E6C1D">
                          <w:t>Management — is there a strong focus on efficiency? Are controllable costs increasing, staying the same, or decreasing? Is the price submission succinct and free of material errors?</w:t>
                        </w:r>
                      </w:p>
                      <w:p w14:paraId="4E71532B" w14:textId="77777777" w:rsidR="00B8084F" w:rsidRPr="008E6C1D" w:rsidRDefault="00B8084F" w:rsidP="00821A3A">
                        <w:pPr>
                          <w:pStyle w:val="ListBullet"/>
                        </w:pPr>
                        <w:r w:rsidRPr="008E6C1D">
                          <w:t>Outcomes — do proposed service outcomes represent an improvement, the status quo, or a reduction of service standards?</w:t>
                        </w:r>
                      </w:p>
                    </w:txbxContent>
                  </v:textbox>
                </v:shape>
                <w10:anchorlock/>
              </v:group>
            </w:pict>
          </mc:Fallback>
        </mc:AlternateContent>
      </w:r>
      <w:r w:rsidR="00844E10" w:rsidRPr="00844E10">
        <w:t xml:space="preserve">First introduced at our 2018 water price review, the purpose of PREMO is to provide incentives for water </w:t>
      </w:r>
      <w:r w:rsidR="00123566">
        <w:t>businesses</w:t>
      </w:r>
      <w:r w:rsidR="00844E10" w:rsidRPr="00844E10">
        <w:t xml:space="preserve"> to deliver outcomes most valued by customers. </w:t>
      </w:r>
      <w:r w:rsidR="00276FC0">
        <w:t>PREMO includes reputation incentives, via the rating of price submissions as Leading (the highest available rating), Advanced, Standard or Basic, depending on the level of ambition expressed by a water business in its price submission. Financial incentives are provided by linking the return on equity to the PREMO rating.</w:t>
      </w:r>
    </w:p>
    <w:p w14:paraId="05E91663" w14:textId="745582F0" w:rsidR="00FD58BA" w:rsidRDefault="00276FC0" w:rsidP="004B0461">
      <w:r>
        <w:t>A key priority under PREMO is to provide</w:t>
      </w:r>
      <w:r w:rsidR="002165DE">
        <w:t xml:space="preserve"> </w:t>
      </w:r>
      <w:r w:rsidR="00844E10" w:rsidRPr="00844E10">
        <w:t xml:space="preserve">incentives for a water business to engage with customers to understand their priorities and concerns and take these into account in forming its proposals, as outlined in its price submission. </w:t>
      </w:r>
      <w:r w:rsidR="00FE76D8">
        <w:t>These should be evidenced in price submissions by linking the outcomes proposed with findings from a business’s engagement.</w:t>
      </w:r>
    </w:p>
    <w:p w14:paraId="40BFAD4F" w14:textId="474D5131" w:rsidR="004C02D5" w:rsidRDefault="00A560F7" w:rsidP="004C02D5">
      <w:r w:rsidRPr="00B66BFF">
        <w:t xml:space="preserve">The 2024 water price review will be the first time we assess Goulburn-Murray </w:t>
      </w:r>
      <w:r w:rsidR="00A517CD" w:rsidRPr="00B66BFF">
        <w:t>Water’s prices under PREMO.</w:t>
      </w:r>
      <w:r w:rsidR="001D134B">
        <w:rPr>
          <w:rStyle w:val="FootnoteReference"/>
        </w:rPr>
        <w:footnoteReference w:id="14"/>
      </w:r>
      <w:r w:rsidR="00D2267A" w:rsidRPr="00B66BFF">
        <w:t xml:space="preserve"> </w:t>
      </w:r>
      <w:r w:rsidR="0074476D" w:rsidRPr="00B66BFF">
        <w:t xml:space="preserve">Our guidance required Goulburn-Murray Water to </w:t>
      </w:r>
      <w:r w:rsidR="00AF04D4" w:rsidRPr="00B66BFF">
        <w:t xml:space="preserve">demonstrate its level of ambition to </w:t>
      </w:r>
      <w:r w:rsidR="00AF04D4" w:rsidRPr="00B66BFF">
        <w:lastRenderedPageBreak/>
        <w:t>deliver value for money to its customers</w:t>
      </w:r>
      <w:r w:rsidR="0060424E" w:rsidRPr="00B66BFF">
        <w:t xml:space="preserve"> in its price submission across four of the five elements of </w:t>
      </w:r>
      <w:r w:rsidR="0060424E" w:rsidRPr="00812659">
        <w:t xml:space="preserve">PREMO: Risk, Engagement, Management and </w:t>
      </w:r>
      <w:r w:rsidR="00C300CF" w:rsidRPr="00812659">
        <w:t>Outcomes.</w:t>
      </w:r>
      <w:r w:rsidR="004C02D5" w:rsidRPr="00812659">
        <w:t xml:space="preserve"> It will not be assessed against the Performance element during this review, because this is the first water price review where we have assessed Goulburn-Murray Water and so we do not have a set of Outcomes</w:t>
      </w:r>
      <w:r w:rsidR="00E3378C" w:rsidRPr="00812659">
        <w:t xml:space="preserve"> established under the PREMO framework</w:t>
      </w:r>
      <w:r w:rsidR="004C02D5" w:rsidRPr="00812659">
        <w:t xml:space="preserve"> from a previous review against which to measure performance. </w:t>
      </w:r>
    </w:p>
    <w:p w14:paraId="038916C7" w14:textId="77777777" w:rsidR="00844E10" w:rsidRPr="00844E10" w:rsidRDefault="00615C57" w:rsidP="00220499">
      <w:r w:rsidRPr="00F24D27">
        <w:t>Goulburn</w:t>
      </w:r>
      <w:r w:rsidR="00F32934">
        <w:t>-</w:t>
      </w:r>
      <w:r w:rsidRPr="00F24D27">
        <w:t>Murray Water</w:t>
      </w:r>
      <w:r w:rsidR="00844E10" w:rsidRPr="00F24D27">
        <w:t xml:space="preserve"> </w:t>
      </w:r>
      <w:r w:rsidR="00007186" w:rsidRPr="00F24D27">
        <w:t>was required to</w:t>
      </w:r>
      <w:r w:rsidR="00844E10" w:rsidRPr="00F24D27">
        <w:t xml:space="preserve"> self</w:t>
      </w:r>
      <w:r w:rsidR="000D6B4B" w:rsidRPr="00F24D27">
        <w:noBreakHyphen/>
      </w:r>
      <w:r w:rsidR="00844E10" w:rsidRPr="00F24D27">
        <w:t xml:space="preserve">assess </w:t>
      </w:r>
      <w:r w:rsidR="00690A13" w:rsidRPr="00F24D27">
        <w:t xml:space="preserve">against </w:t>
      </w:r>
      <w:r w:rsidR="000A3C35" w:rsidRPr="00F24D27">
        <w:t>these four elements</w:t>
      </w:r>
      <w:r w:rsidR="00690A13" w:rsidRPr="00F24D27">
        <w:t xml:space="preserve"> </w:t>
      </w:r>
      <w:r w:rsidR="00844E10" w:rsidRPr="00F24D27">
        <w:t>and propose a rating for its price submission as ‘Leading’, ‘Advanced’, ‘Standard’ or ‘Basic’. Its proposed return on equity will then reflect its proposed PREMO rating. A ‘Leading’ submission has the highest return on equity, and a ‘Basic’ submission the lowest. We assess the self</w:t>
      </w:r>
      <w:r w:rsidR="000D6B4B" w:rsidRPr="00F24D27">
        <w:noBreakHyphen/>
      </w:r>
      <w:r w:rsidR="00844E10" w:rsidRPr="00F24D27">
        <w:t xml:space="preserve">rating and also assess the price submission more broadly, including the </w:t>
      </w:r>
      <w:r w:rsidR="0016023D" w:rsidRPr="00F24D27">
        <w:t xml:space="preserve">Goulburn-Murray Water’s </w:t>
      </w:r>
      <w:r w:rsidR="00844E10" w:rsidRPr="00F24D27">
        <w:t>justification for the proposed PREMO rating, and form our own view of the appropriate rating. This process determines the PREMO rating adopted and the return on equity reflected in the revenue requiremen</w:t>
      </w:r>
      <w:r w:rsidR="00844E10" w:rsidRPr="00812659">
        <w:t>t.</w:t>
      </w:r>
      <w:r w:rsidR="009E4A99" w:rsidRPr="00812659">
        <w:rPr>
          <w:rStyle w:val="FootnoteReference"/>
        </w:rPr>
        <w:footnoteReference w:id="15"/>
      </w:r>
      <w:r w:rsidR="00844E10" w:rsidRPr="00844E10">
        <w:t xml:space="preserve"> </w:t>
      </w:r>
    </w:p>
    <w:p w14:paraId="5533B8F3" w14:textId="77777777" w:rsidR="00FD1F75" w:rsidRDefault="00FD1F75" w:rsidP="00220499"/>
    <w:p w14:paraId="31A324DA" w14:textId="77777777" w:rsidR="00FD1F75" w:rsidRDefault="00FD1F75" w:rsidP="00220499">
      <w:pPr>
        <w:sectPr w:rsidR="00FD1F75" w:rsidSect="00DB48F2">
          <w:footerReference w:type="default" r:id="rId33"/>
          <w:pgSz w:w="11906" w:h="16838" w:code="9"/>
          <w:pgMar w:top="1134" w:right="1134" w:bottom="1134" w:left="1134" w:header="709" w:footer="692" w:gutter="0"/>
          <w:cols w:space="708"/>
          <w:docGrid w:linePitch="360"/>
        </w:sectPr>
      </w:pPr>
      <w:bookmarkStart w:id="82" w:name="_Toc161400018"/>
    </w:p>
    <w:p w14:paraId="5AC728B1" w14:textId="3F6A733F" w:rsidR="002A7B2A" w:rsidRDefault="00B315D5" w:rsidP="00F22C01">
      <w:pPr>
        <w:pStyle w:val="Heading1"/>
        <w:ind w:left="709" w:hanging="709"/>
      </w:pPr>
      <w:r w:rsidRPr="00CF5E41">
        <w:lastRenderedPageBreak/>
        <w:t>2.</w:t>
      </w:r>
      <w:r w:rsidRPr="00CF5E41">
        <w:tab/>
      </w:r>
      <w:r w:rsidR="002A7B2A" w:rsidRPr="00CF5E41">
        <w:t xml:space="preserve">Our assessment of </w:t>
      </w:r>
      <w:r w:rsidR="00D1620B" w:rsidRPr="00CF5E41">
        <w:t>Goulburn-Murray Water</w:t>
      </w:r>
      <w:r w:rsidR="002A7B2A" w:rsidRPr="00CF5E41">
        <w:t>’s price submission</w:t>
      </w:r>
      <w:bookmarkEnd w:id="82"/>
      <w:r w:rsidR="002A7B2A">
        <w:t xml:space="preserve"> </w:t>
      </w:r>
    </w:p>
    <w:p w14:paraId="33260CC1" w14:textId="5E1B6C37" w:rsidR="00620D2E" w:rsidRDefault="002A7B2A" w:rsidP="001447BF">
      <w:r>
        <w:t xml:space="preserve">We have made our draft decision on </w:t>
      </w:r>
      <w:r w:rsidR="00D1620B">
        <w:t>Goulburn-Murray Water</w:t>
      </w:r>
      <w:r>
        <w:t>’s price submission after considering:</w:t>
      </w:r>
    </w:p>
    <w:p w14:paraId="79D6A41B" w14:textId="0C20C5D0" w:rsidR="002A7B2A" w:rsidRDefault="00D1620B" w:rsidP="00821A3A">
      <w:pPr>
        <w:pStyle w:val="ListBullet"/>
      </w:pPr>
      <w:r>
        <w:t>Goulburn-Murray Water</w:t>
      </w:r>
      <w:r w:rsidR="002A7B2A">
        <w:t>’s price submission</w:t>
      </w:r>
    </w:p>
    <w:p w14:paraId="3A629A9E" w14:textId="2E6C6B01" w:rsidR="002A7B2A" w:rsidRDefault="00D1620B" w:rsidP="00821A3A">
      <w:pPr>
        <w:pStyle w:val="ListBullet"/>
      </w:pPr>
      <w:r>
        <w:t>Goulburn-Murray Water</w:t>
      </w:r>
      <w:r w:rsidR="002A7B2A">
        <w:t>’s responses to our queries</w:t>
      </w:r>
    </w:p>
    <w:p w14:paraId="73D26E25" w14:textId="033B7173" w:rsidR="002A7B2A" w:rsidRDefault="002A7B2A" w:rsidP="00821A3A">
      <w:pPr>
        <w:pStyle w:val="ListBullet"/>
      </w:pPr>
      <w:r>
        <w:t>our consultants’ reports</w:t>
      </w:r>
    </w:p>
    <w:p w14:paraId="6AD87DF8" w14:textId="1FB4A75E" w:rsidR="002A7B2A" w:rsidRDefault="002A7B2A" w:rsidP="00821A3A">
      <w:pPr>
        <w:pStyle w:val="ListBullet"/>
      </w:pPr>
      <w:r>
        <w:t xml:space="preserve">written submissions from interested parties (a list of submissions is provided in </w:t>
      </w:r>
      <w:r w:rsidRPr="002B1DA7">
        <w:t>Appendix A</w:t>
      </w:r>
      <w:r>
        <w:t>).</w:t>
      </w:r>
    </w:p>
    <w:p w14:paraId="0E658F1A" w14:textId="302EBC97" w:rsidR="002A7B2A" w:rsidRDefault="002A7B2A" w:rsidP="002A7B2A">
      <w:r>
        <w:t xml:space="preserve">Any reports, submissions or correspondence provided to us that are material to our consideration of </w:t>
      </w:r>
      <w:r w:rsidR="00D1620B">
        <w:t>Goulburn-Murray Water</w:t>
      </w:r>
      <w:r>
        <w:t>’s price submission are available on our website (to the extent the material is not confidential).</w:t>
      </w:r>
    </w:p>
    <w:p w14:paraId="692FA399" w14:textId="347EE80F" w:rsidR="002A7B2A" w:rsidRDefault="002A7B2A" w:rsidP="002A7B2A">
      <w:r>
        <w:t xml:space="preserve">Our guidance included matters </w:t>
      </w:r>
      <w:r w:rsidR="002676A5">
        <w:t>Gou</w:t>
      </w:r>
      <w:r w:rsidR="00E52676">
        <w:t>lburn-Murray Water</w:t>
      </w:r>
      <w:r>
        <w:t xml:space="preserve"> must address in </w:t>
      </w:r>
      <w:r w:rsidR="00E52676">
        <w:t xml:space="preserve">its </w:t>
      </w:r>
      <w:r>
        <w:t xml:space="preserve">price submission. </w:t>
      </w:r>
      <w:r w:rsidR="00D1620B">
        <w:t>Goulburn-Murray Water</w:t>
      </w:r>
      <w:r>
        <w:t xml:space="preserve">’s </w:t>
      </w:r>
      <w:r w:rsidRPr="002A1753">
        <w:t xml:space="preserve">price submission addressed </w:t>
      </w:r>
      <w:r w:rsidR="001C7024" w:rsidRPr="002A1753">
        <w:t>most</w:t>
      </w:r>
      <w:r w:rsidRPr="002A1753">
        <w:t xml:space="preserve"> of these matters</w:t>
      </w:r>
      <w:r>
        <w:t xml:space="preserve">. Our preliminary assessment of these matters is provided in this draft decision. </w:t>
      </w:r>
    </w:p>
    <w:p w14:paraId="63A4058A" w14:textId="2EF5F18A" w:rsidR="002A7B2A" w:rsidRDefault="002A7B2A" w:rsidP="002A7B2A">
      <w:r>
        <w:t xml:space="preserve">We found </w:t>
      </w:r>
      <w:r w:rsidR="00D1620B">
        <w:t>Goulburn-Murray Water</w:t>
      </w:r>
      <w:r>
        <w:t xml:space="preserve">’s price submission </w:t>
      </w:r>
      <w:r w:rsidR="0055414A" w:rsidRPr="002A1753">
        <w:t>generall</w:t>
      </w:r>
      <w:r w:rsidR="003071CA" w:rsidRPr="002A1753">
        <w:t xml:space="preserve">y </w:t>
      </w:r>
      <w:r w:rsidRPr="002A1753">
        <w:t xml:space="preserve">presented clear and comprehensive information to support its proposals. </w:t>
      </w:r>
      <w:r w:rsidR="00D1620B" w:rsidRPr="002A1753">
        <w:t>Goulburn-Murray Water</w:t>
      </w:r>
      <w:r w:rsidRPr="002A1753">
        <w:t xml:space="preserve"> also provided evidence that its engagement sought to capture the main priorities and concerns of customers, and that it has taken this feedback into account (see </w:t>
      </w:r>
      <w:r w:rsidR="00A04D37" w:rsidRPr="002A1753">
        <w:t>S</w:t>
      </w:r>
      <w:r w:rsidRPr="002A1753">
        <w:t xml:space="preserve">ection </w:t>
      </w:r>
      <w:r w:rsidR="00A04D37" w:rsidRPr="002A1753">
        <w:t>3.1</w:t>
      </w:r>
      <w:r w:rsidRPr="002A1753">
        <w:t xml:space="preserve"> on customer engagement)</w:t>
      </w:r>
      <w:r>
        <w:t xml:space="preserve">. </w:t>
      </w:r>
    </w:p>
    <w:p w14:paraId="0BD8EBDD" w14:textId="0D07C820" w:rsidR="00A97818" w:rsidRDefault="00607966" w:rsidP="006974B4">
      <w:r>
        <w:t>Unless otherwise note</w:t>
      </w:r>
      <w:r w:rsidR="00E63C3F">
        <w:t>d</w:t>
      </w:r>
      <w:r>
        <w:t>, a</w:t>
      </w:r>
      <w:r w:rsidR="002A7B2A">
        <w:t xml:space="preserve">ll financial values referred to in this </w:t>
      </w:r>
      <w:r w:rsidR="00AA6D26">
        <w:t xml:space="preserve">draft decision </w:t>
      </w:r>
      <w:r w:rsidR="00CB5A29">
        <w:t>paper</w:t>
      </w:r>
      <w:r w:rsidR="002A7B2A">
        <w:t xml:space="preserve"> are in $202</w:t>
      </w:r>
      <w:r w:rsidR="00F615F6">
        <w:t>3</w:t>
      </w:r>
      <w:r w:rsidR="000D6B4B">
        <w:noBreakHyphen/>
      </w:r>
      <w:r w:rsidR="002A7B2A">
        <w:t>2</w:t>
      </w:r>
      <w:r w:rsidR="00F615F6">
        <w:t>4</w:t>
      </w:r>
      <w:r w:rsidR="00E47D6C">
        <w:t xml:space="preserve">, </w:t>
      </w:r>
      <w:r w:rsidR="009F3637">
        <w:t>which means inflation is excluded</w:t>
      </w:r>
      <w:r w:rsidR="002A7B2A">
        <w:t>.</w:t>
      </w:r>
    </w:p>
    <w:p w14:paraId="13B2644B" w14:textId="7E15EDE2" w:rsidR="00AD03BE" w:rsidRDefault="00AD03BE">
      <w:pPr>
        <w:spacing w:before="0" w:line="259" w:lineRule="auto"/>
      </w:pPr>
      <w:r>
        <w:br w:type="page"/>
      </w:r>
    </w:p>
    <w:p w14:paraId="2D59F4AE" w14:textId="4C32014A" w:rsidR="0016543A" w:rsidRDefault="0016543A" w:rsidP="00AD03BE">
      <w:r>
        <w:rPr>
          <w:noProof/>
        </w:rPr>
        <w:lastRenderedPageBreak/>
        <mc:AlternateContent>
          <mc:Choice Requires="wpc">
            <w:drawing>
              <wp:anchor distT="0" distB="0" distL="114300" distR="114300" simplePos="0" relativeHeight="251658244" behindDoc="1" locked="0" layoutInCell="1" allowOverlap="1" wp14:anchorId="15331359" wp14:editId="244F774E">
                <wp:simplePos x="0" y="0"/>
                <wp:positionH relativeFrom="column">
                  <wp:posOffset>-6173</wp:posOffset>
                </wp:positionH>
                <wp:positionV relativeFrom="page">
                  <wp:posOffset>958409</wp:posOffset>
                </wp:positionV>
                <wp:extent cx="6124575" cy="1681480"/>
                <wp:effectExtent l="0" t="0" r="28575" b="13970"/>
                <wp:wrapNone/>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2">
                            <a:lumMod val="40000"/>
                            <a:lumOff val="60000"/>
                          </a:schemeClr>
                        </a:solidFill>
                      </wpc:bg>
                      <wpc:whole>
                        <a:ln w="12700">
                          <a:solidFill>
                            <a:schemeClr val="tx1">
                              <a:lumMod val="50000"/>
                              <a:lumOff val="50000"/>
                            </a:schemeClr>
                          </a:solidFill>
                        </a:ln>
                      </wpc:whole>
                    </wpc:wpc>
                  </a:graphicData>
                </a:graphic>
              </wp:anchor>
            </w:drawing>
          </mc:Choice>
          <mc:Fallback>
            <w:pict>
              <v:group w14:anchorId="2C0C03BD" id="Canvas 21" o:spid="_x0000_s1026" editas="canvas" style="position:absolute;margin-left:-.5pt;margin-top:75.45pt;width:482.25pt;height:132.4pt;z-index:-251658236;mso-position-vertical-relative:page" coordsize="61245,1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">
                <v:shape id="_x0000_s1027" type="#_x0000_t75" style="position:absolute;width:61245;height:16814;visibility:visible;mso-wrap-style:square" filled="t" fillcolor="#c7c8ca [1310]" stroked="t" strokecolor="gray [1629]" strokeweight="1pt">
                  <v:fill o:detectmouseclick="t"/>
                  <v:path o:connecttype="none"/>
                </v:shape>
                <w10:wrap anchory="page"/>
              </v:group>
            </w:pict>
          </mc:Fallback>
        </mc:AlternateContent>
      </w:r>
    </w:p>
    <w:p w14:paraId="2E23E800" w14:textId="6591C1BF" w:rsidR="00EC5E6E" w:rsidRDefault="00A85963" w:rsidP="00AD03BE">
      <w:bookmarkStart w:id="83" w:name="_Hlk118294126"/>
      <w:r>
        <w:rPr>
          <w:noProof/>
        </w:rPr>
        <w:drawing>
          <wp:anchor distT="0" distB="0" distL="114300" distR="114300" simplePos="0" relativeHeight="251658243" behindDoc="0" locked="0" layoutInCell="1" allowOverlap="1" wp14:anchorId="20C1CBC8" wp14:editId="13513843">
            <wp:simplePos x="0" y="0"/>
            <wp:positionH relativeFrom="column">
              <wp:posOffset>51435</wp:posOffset>
            </wp:positionH>
            <wp:positionV relativeFrom="paragraph">
              <wp:posOffset>26670</wp:posOffset>
            </wp:positionV>
            <wp:extent cx="1257300" cy="1257300"/>
            <wp:effectExtent l="0" t="0" r="0" b="0"/>
            <wp:wrapSquare wrapText="bothSides"/>
            <wp:docPr id="20" name="Graphic 20"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omment Important outlin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rsidR="00D1620B">
        <w:t>Goulburn-Murray Water</w:t>
      </w:r>
      <w:r w:rsidR="00EC5E6E">
        <w:t xml:space="preserve"> must submit a response to our draft decision and provide an updated financial model </w:t>
      </w:r>
      <w:r w:rsidR="00EC5E6E" w:rsidRPr="00270E2F">
        <w:t xml:space="preserve">by </w:t>
      </w:r>
      <w:r w:rsidR="009036EF" w:rsidRPr="00270E2F">
        <w:t>7</w:t>
      </w:r>
      <w:r w:rsidR="00EC5E6E" w:rsidRPr="00270E2F">
        <w:t xml:space="preserve"> </w:t>
      </w:r>
      <w:r w:rsidR="008836BE" w:rsidRPr="00270E2F">
        <w:t>May</w:t>
      </w:r>
      <w:r w:rsidR="00D05CD6" w:rsidRPr="00270E2F">
        <w:t xml:space="preserve"> </w:t>
      </w:r>
      <w:r w:rsidR="00EC5E6E" w:rsidRPr="00270E2F">
        <w:t>202</w:t>
      </w:r>
      <w:r w:rsidR="007A6658" w:rsidRPr="00270E2F">
        <w:t>4</w:t>
      </w:r>
      <w:r w:rsidR="00EC5E6E" w:rsidRPr="00270E2F">
        <w:t xml:space="preserve"> (</w:t>
      </w:r>
      <w:r w:rsidR="00EC5E6E">
        <w:t>via email to water@esc.vic.gov.au). The response will be published on our website. We also invite other interested parties to make a submission.</w:t>
      </w:r>
    </w:p>
    <w:p w14:paraId="28950AF2" w14:textId="11A2448C" w:rsidR="00A85963" w:rsidRDefault="00EC5E6E" w:rsidP="00A10DF9">
      <w:pPr>
        <w:ind w:left="2268" w:right="282"/>
      </w:pPr>
      <w:r>
        <w:t xml:space="preserve">We intend to make a price determination for </w:t>
      </w:r>
      <w:r w:rsidR="00D1620B">
        <w:t>Goulburn-Murray Water</w:t>
      </w:r>
      <w:r>
        <w:t xml:space="preserve"> in </w:t>
      </w:r>
      <w:r w:rsidRPr="00270E2F">
        <w:t>June 202</w:t>
      </w:r>
      <w:r w:rsidR="007A6658" w:rsidRPr="00270E2F">
        <w:t>4</w:t>
      </w:r>
      <w:r w:rsidRPr="00270E2F">
        <w:t>.</w:t>
      </w:r>
    </w:p>
    <w:p w14:paraId="4B7823D5" w14:textId="2D0B2EF2" w:rsidR="001248EB" w:rsidRDefault="00977A37" w:rsidP="00F22C01">
      <w:pPr>
        <w:pStyle w:val="Heading2"/>
      </w:pPr>
      <w:bookmarkStart w:id="84" w:name="_Toc161400019"/>
      <w:bookmarkEnd w:id="83"/>
      <w:r>
        <w:t>2.1</w:t>
      </w:r>
      <w:r>
        <w:tab/>
      </w:r>
      <w:r w:rsidR="001248EB">
        <w:t>Draft decision paper outline</w:t>
      </w:r>
      <w:bookmarkEnd w:id="84"/>
    </w:p>
    <w:p w14:paraId="5B038728" w14:textId="77777777" w:rsidR="001248EB" w:rsidRPr="00350E84" w:rsidRDefault="001248EB" w:rsidP="001248EB">
      <w:r w:rsidRPr="00350E84">
        <w:t>This decision paper is structured around the steps we take to arrive at our price determination. In summary, these steps are:</w:t>
      </w:r>
    </w:p>
    <w:p w14:paraId="3164EF23" w14:textId="49DF2604" w:rsidR="001248EB" w:rsidRPr="00350E84" w:rsidRDefault="001248EB" w:rsidP="00821A3A">
      <w:pPr>
        <w:pStyle w:val="ListBullet"/>
      </w:pPr>
      <w:r w:rsidRPr="00350E84">
        <w:t>Determine the regulatory period (Section 2.2).</w:t>
      </w:r>
    </w:p>
    <w:p w14:paraId="0836D0E2" w14:textId="30E56DAE" w:rsidR="001248EB" w:rsidRPr="00350E84" w:rsidRDefault="001248EB" w:rsidP="00821A3A">
      <w:pPr>
        <w:pStyle w:val="ListBullet"/>
      </w:pPr>
      <w:r w:rsidRPr="00350E84">
        <w:t xml:space="preserve">Confirm the customer outcomes and service levels that </w:t>
      </w:r>
      <w:r w:rsidR="00D1620B">
        <w:t>Goulburn-Murray Water</w:t>
      </w:r>
      <w:r w:rsidRPr="00350E84">
        <w:t xml:space="preserve"> has committed to over the regulatory period (Chapter 3).</w:t>
      </w:r>
    </w:p>
    <w:p w14:paraId="39F8264C" w14:textId="55BD8C42" w:rsidR="001248EB" w:rsidRPr="00350E84" w:rsidRDefault="001248EB" w:rsidP="00821A3A">
      <w:pPr>
        <w:pStyle w:val="ListBullet"/>
      </w:pPr>
      <w:r w:rsidRPr="00350E84">
        <w:t xml:space="preserve">Establish </w:t>
      </w:r>
      <w:r w:rsidR="00D1620B">
        <w:t>Goulburn-Murray Water</w:t>
      </w:r>
      <w:r w:rsidRPr="00350E84">
        <w:t>’s revenue requirement using a building block methodology (Chapter 4).</w:t>
      </w:r>
    </w:p>
    <w:p w14:paraId="7FE21449" w14:textId="30D02AC4" w:rsidR="001248EB" w:rsidRDefault="001248EB" w:rsidP="00821A3A">
      <w:pPr>
        <w:pStyle w:val="ListBullet"/>
      </w:pPr>
      <w:r w:rsidRPr="00350E84">
        <w:t>Use demand forecasts and the form of price control to convert the revenue requirement to tariffs and prices (</w:t>
      </w:r>
      <w:r w:rsidR="00784889">
        <w:t>c</w:t>
      </w:r>
      <w:r w:rsidRPr="00350E84">
        <w:t>hapter</w:t>
      </w:r>
      <w:r w:rsidR="0026209D">
        <w:t>s</w:t>
      </w:r>
      <w:r w:rsidRPr="00350E84">
        <w:t xml:space="preserve"> 5</w:t>
      </w:r>
      <w:r w:rsidR="0026209D">
        <w:t xml:space="preserve">, 6, 7, </w:t>
      </w:r>
      <w:r w:rsidR="00851D00">
        <w:t>8, 9, 10</w:t>
      </w:r>
      <w:r w:rsidR="00016BE9">
        <w:t xml:space="preserve">, </w:t>
      </w:r>
      <w:r w:rsidR="00851D00">
        <w:t>11</w:t>
      </w:r>
      <w:r w:rsidR="00016BE9">
        <w:t>, 12, 13</w:t>
      </w:r>
      <w:r w:rsidR="00FA44B2">
        <w:t xml:space="preserve"> and 14</w:t>
      </w:r>
      <w:r w:rsidRPr="00350E84">
        <w:t>).</w:t>
      </w:r>
    </w:p>
    <w:p w14:paraId="3F054044" w14:textId="1F126E5E" w:rsidR="001248EB" w:rsidRDefault="001248EB" w:rsidP="001248EB">
      <w:r>
        <w:t xml:space="preserve">Chapter </w:t>
      </w:r>
      <w:r w:rsidR="00635F9D">
        <w:t>15</w:t>
      </w:r>
      <w:r>
        <w:t xml:space="preserve"> outlines our consideration of </w:t>
      </w:r>
      <w:r w:rsidR="00D1620B">
        <w:t>Goulburn-Murray Water</w:t>
      </w:r>
      <w:r>
        <w:t>’s financial position, which we have also had regard to.</w:t>
      </w:r>
    </w:p>
    <w:p w14:paraId="477F44C6" w14:textId="79FEFCE7" w:rsidR="001248EB" w:rsidRDefault="001248EB" w:rsidP="001248EB">
      <w:r>
        <w:t xml:space="preserve">Chapter </w:t>
      </w:r>
      <w:r w:rsidR="00635F9D">
        <w:t>16</w:t>
      </w:r>
      <w:r>
        <w:t xml:space="preserve"> outlines our assessment of </w:t>
      </w:r>
      <w:r w:rsidR="00D1620B">
        <w:t>Goulburn-Murray Water</w:t>
      </w:r>
      <w:r>
        <w:t xml:space="preserve">’s price submission under the PREMO framework. </w:t>
      </w:r>
    </w:p>
    <w:p w14:paraId="787E321F" w14:textId="708D97BA" w:rsidR="001248EB" w:rsidRDefault="00977A37" w:rsidP="00F22C01">
      <w:pPr>
        <w:pStyle w:val="Heading2"/>
      </w:pPr>
      <w:bookmarkStart w:id="85" w:name="_Toc161400020"/>
      <w:r>
        <w:t>2.2</w:t>
      </w:r>
      <w:r>
        <w:tab/>
      </w:r>
      <w:r w:rsidR="001248EB">
        <w:t>Regulatory period</w:t>
      </w:r>
      <w:bookmarkEnd w:id="85"/>
    </w:p>
    <w:p w14:paraId="6ABEB5A4" w14:textId="77777777" w:rsidR="00F82F14" w:rsidRDefault="00F82F14" w:rsidP="00F82F14">
      <w:pPr>
        <w:pStyle w:val="Pull-out"/>
      </w:pPr>
      <w:r w:rsidRPr="007061AD">
        <w:t>Our draft decision is to approve a regulatory period of four years from 1 July 2024.</w:t>
      </w:r>
    </w:p>
    <w:p w14:paraId="314B35C3" w14:textId="3131F9B4" w:rsidR="00F82F14" w:rsidRDefault="00F82F14" w:rsidP="00F82F14">
      <w:r w:rsidRPr="007061AD">
        <w:t>We are required to set the term of the regulatory period over which a water business’s price determination will apply.</w:t>
      </w:r>
      <w:r w:rsidRPr="007061AD">
        <w:rPr>
          <w:rStyle w:val="FootnoteReference"/>
        </w:rPr>
        <w:footnoteReference w:id="16"/>
      </w:r>
      <w:r w:rsidRPr="007061AD">
        <w:t xml:space="preserve">  Our guidance proposed that we set a four</w:t>
      </w:r>
      <w:r w:rsidRPr="007061AD">
        <w:noBreakHyphen/>
        <w:t>year regulatory period, but also noted we were open to justified alternatives proposed in a price submission.</w:t>
      </w:r>
      <w:r w:rsidRPr="007061AD">
        <w:rPr>
          <w:rStyle w:val="FootnoteReference"/>
        </w:rPr>
        <w:footnoteReference w:id="17"/>
      </w:r>
      <w:r>
        <w:t xml:space="preserve"> </w:t>
      </w:r>
    </w:p>
    <w:p w14:paraId="2D5A43DF" w14:textId="77777777" w:rsidR="00F82F14" w:rsidRDefault="00F82F14" w:rsidP="00F82F14">
      <w:r w:rsidRPr="007061AD">
        <w:lastRenderedPageBreak/>
        <w:t>Goulburn-Murray Water proposed a regulatory period of four years. Accordingly, consistent with the reasons outlined in our guidance, our draft decision proposes to set a regulatory period of four years.</w:t>
      </w:r>
    </w:p>
    <w:p w14:paraId="75F5F206" w14:textId="77777777" w:rsidR="00A511B6" w:rsidRDefault="00A511B6" w:rsidP="00C96AC6">
      <w:pPr>
        <w:rPr>
          <w:highlight w:val="cyan"/>
        </w:rPr>
        <w:sectPr w:rsidR="00A511B6" w:rsidSect="00DB48F2">
          <w:footerReference w:type="default" r:id="rId34"/>
          <w:pgSz w:w="11906" w:h="16838" w:code="9"/>
          <w:pgMar w:top="1134" w:right="1134" w:bottom="1134" w:left="1134" w:header="709" w:footer="692" w:gutter="0"/>
          <w:cols w:space="708"/>
          <w:docGrid w:linePitch="360"/>
        </w:sectPr>
      </w:pPr>
    </w:p>
    <w:p w14:paraId="1B98BE6F" w14:textId="42257606" w:rsidR="009C2ECF" w:rsidRDefault="00977A37" w:rsidP="00F22C01">
      <w:pPr>
        <w:pStyle w:val="Heading1"/>
        <w:ind w:left="709" w:hanging="709"/>
      </w:pPr>
      <w:bookmarkStart w:id="86" w:name="_Toc161400021"/>
      <w:r>
        <w:lastRenderedPageBreak/>
        <w:t>3.</w:t>
      </w:r>
      <w:r>
        <w:tab/>
      </w:r>
      <w:r w:rsidR="009C2ECF">
        <w:t xml:space="preserve">Customer </w:t>
      </w:r>
      <w:r w:rsidR="0044516A">
        <w:t>outcomes</w:t>
      </w:r>
      <w:bookmarkEnd w:id="86"/>
    </w:p>
    <w:p w14:paraId="4DCE60F8" w14:textId="063BEB23" w:rsidR="009C2ECF" w:rsidRDefault="009C2ECF" w:rsidP="009C2ECF">
      <w:r>
        <w:t xml:space="preserve">The customer </w:t>
      </w:r>
      <w:r w:rsidR="0097691F">
        <w:t>outcomes</w:t>
      </w:r>
      <w:r>
        <w:t xml:space="preserve"> </w:t>
      </w:r>
      <w:r w:rsidR="00D1620B">
        <w:t>Goulburn-Murray Water</w:t>
      </w:r>
      <w:r>
        <w:t xml:space="preserve"> plans to deliver over the regulatory period are a key component of its price submission </w:t>
      </w:r>
      <w:r w:rsidR="00E342D7">
        <w:t>–</w:t>
      </w:r>
      <w:r>
        <w:t xml:space="preserve"> confirming its commitments to customers, underpinning its revenue requirement, and feeding into its PREMO assessment.</w:t>
      </w:r>
    </w:p>
    <w:p w14:paraId="016AF03A" w14:textId="6CF079E2" w:rsidR="009C2ECF" w:rsidRDefault="009C2ECF" w:rsidP="009C2ECF">
      <w:r>
        <w:t>This chapter</w:t>
      </w:r>
      <w:r w:rsidR="00821A3A">
        <w:t xml:space="preserve"> examines</w:t>
      </w:r>
      <w:r>
        <w:t>:</w:t>
      </w:r>
    </w:p>
    <w:p w14:paraId="7E8E8448" w14:textId="3D057E0A" w:rsidR="009C2ECF" w:rsidRDefault="00D1620B" w:rsidP="00821A3A">
      <w:pPr>
        <w:pStyle w:val="ListBullet"/>
      </w:pPr>
      <w:r>
        <w:t>Goulburn-Murray Water</w:t>
      </w:r>
      <w:r w:rsidR="009C2ECF">
        <w:t>’s engagement with its customers in preparing its price submission</w:t>
      </w:r>
    </w:p>
    <w:p w14:paraId="3C75CC99" w14:textId="16C1217F" w:rsidR="009C2ECF" w:rsidRDefault="009C2ECF" w:rsidP="00821A3A">
      <w:pPr>
        <w:pStyle w:val="ListBullet"/>
      </w:pPr>
      <w:r>
        <w:t xml:space="preserve">the customer outcomes </w:t>
      </w:r>
      <w:r w:rsidR="00D1620B">
        <w:t>Goulburn-Murray Water</w:t>
      </w:r>
      <w:r>
        <w:t xml:space="preserve"> is committing to for the next regulatory period</w:t>
      </w:r>
      <w:r w:rsidR="006C03F9">
        <w:t>.</w:t>
      </w:r>
    </w:p>
    <w:p w14:paraId="68751249" w14:textId="05E62CBB" w:rsidR="009C2ECF" w:rsidRDefault="00977A37" w:rsidP="00F22C01">
      <w:pPr>
        <w:pStyle w:val="Heading2"/>
      </w:pPr>
      <w:bookmarkStart w:id="87" w:name="_Toc161400022"/>
      <w:r>
        <w:t>3.1</w:t>
      </w:r>
      <w:r>
        <w:tab/>
      </w:r>
      <w:r w:rsidR="009C2ECF">
        <w:t>Customer engagement</w:t>
      </w:r>
      <w:bookmarkEnd w:id="87"/>
      <w:r w:rsidR="00C64A6F">
        <w:t xml:space="preserve"> </w:t>
      </w:r>
    </w:p>
    <w:p w14:paraId="53AAA367" w14:textId="2C8A1C47" w:rsidR="00496A64" w:rsidRPr="00B15DA8" w:rsidRDefault="00496A64" w:rsidP="00496A64">
      <w:r w:rsidRPr="00B15DA8">
        <w:t xml:space="preserve">Our guidance required Goulburn-Murray Water to engage with customers to inform its price submission. Our guidance also </w:t>
      </w:r>
      <w:r w:rsidR="003C6358" w:rsidRPr="00B15DA8">
        <w:t>spec</w:t>
      </w:r>
      <w:r w:rsidR="006047F9" w:rsidRPr="00B15DA8">
        <w:t>ified</w:t>
      </w:r>
      <w:r w:rsidRPr="00B15DA8">
        <w:t xml:space="preserve"> </w:t>
      </w:r>
      <w:r w:rsidR="001A54F2" w:rsidRPr="00B15DA8">
        <w:t>key</w:t>
      </w:r>
      <w:r w:rsidRPr="00B15DA8">
        <w:t xml:space="preserve"> principles to guide Goulburn-Murray Water’s engagement.</w:t>
      </w:r>
      <w:r w:rsidR="007327FA" w:rsidRPr="00B15DA8">
        <w:rPr>
          <w:rStyle w:val="FootnoteReference"/>
        </w:rPr>
        <w:footnoteReference w:id="18"/>
      </w:r>
      <w:r w:rsidRPr="00B15DA8">
        <w:t xml:space="preserve">  </w:t>
      </w:r>
    </w:p>
    <w:p w14:paraId="544B84AD" w14:textId="5DFC2A68" w:rsidR="00496A64" w:rsidRPr="00B15DA8" w:rsidRDefault="00496A64" w:rsidP="00496A64">
      <w:r w:rsidRPr="00B15DA8">
        <w:t xml:space="preserve">We consider Goulburn-Murray Water’s engagement aligned with these principles in </w:t>
      </w:r>
      <w:r w:rsidR="00D83DD4" w:rsidRPr="00B15DA8">
        <w:t>several</w:t>
      </w:r>
      <w:r w:rsidRPr="00B15DA8">
        <w:t xml:space="preserve"> ways. Goulburn-Murray Water:</w:t>
      </w:r>
    </w:p>
    <w:p w14:paraId="702DCE04" w14:textId="70112E0D" w:rsidR="00496A64" w:rsidRPr="00B15DA8" w:rsidRDefault="0083285C" w:rsidP="00821A3A">
      <w:pPr>
        <w:pStyle w:val="ListBullet"/>
      </w:pPr>
      <w:r w:rsidRPr="00B15DA8">
        <w:t>started engage</w:t>
      </w:r>
      <w:r w:rsidR="00110F6A" w:rsidRPr="00B15DA8">
        <w:t>ment</w:t>
      </w:r>
      <w:r w:rsidRPr="00B15DA8">
        <w:t xml:space="preserve"> </w:t>
      </w:r>
      <w:r w:rsidR="00496A64" w:rsidRPr="00B15DA8">
        <w:t xml:space="preserve">early </w:t>
      </w:r>
      <w:r w:rsidR="00344F2E">
        <w:t xml:space="preserve">with its program </w:t>
      </w:r>
      <w:r w:rsidR="004A19BB" w:rsidRPr="00B15DA8">
        <w:t xml:space="preserve">running </w:t>
      </w:r>
      <w:r w:rsidR="00B9461F" w:rsidRPr="00B15DA8">
        <w:t xml:space="preserve">from </w:t>
      </w:r>
      <w:r w:rsidR="00496A64" w:rsidRPr="00B15DA8">
        <w:t xml:space="preserve">September 2021 </w:t>
      </w:r>
      <w:r w:rsidR="007F5B57" w:rsidRPr="00B15DA8">
        <w:t>t</w:t>
      </w:r>
      <w:r w:rsidR="005845F9" w:rsidRPr="00B15DA8">
        <w:t>o</w:t>
      </w:r>
      <w:r w:rsidR="00496A64" w:rsidRPr="00B15DA8">
        <w:t xml:space="preserve"> September 2023</w:t>
      </w:r>
      <w:r w:rsidR="00551A6D" w:rsidRPr="00B15DA8">
        <w:t>,</w:t>
      </w:r>
      <w:r w:rsidR="00496A64" w:rsidRPr="00B15DA8">
        <w:t xml:space="preserve"> </w:t>
      </w:r>
      <w:r w:rsidR="0074196D">
        <w:t>which</w:t>
      </w:r>
      <w:r w:rsidR="00502803">
        <w:t xml:space="preserve"> enabl</w:t>
      </w:r>
      <w:r w:rsidR="0074196D">
        <w:t>ed</w:t>
      </w:r>
      <w:r w:rsidR="00502803">
        <w:t xml:space="preserve"> the business to </w:t>
      </w:r>
      <w:r w:rsidR="0074196D">
        <w:t>receive</w:t>
      </w:r>
      <w:r w:rsidR="00496A64" w:rsidRPr="00B15DA8">
        <w:t xml:space="preserve"> more than 1,400 pieces of feedback </w:t>
      </w:r>
      <w:r w:rsidR="00607996" w:rsidRPr="00B15DA8">
        <w:t xml:space="preserve">from </w:t>
      </w:r>
      <w:r w:rsidR="00496A64" w:rsidRPr="00B15DA8">
        <w:t>large-scale gravity irrigators, diverters, urban water authorities and environmental water holders</w:t>
      </w:r>
    </w:p>
    <w:p w14:paraId="2845623F" w14:textId="57C69AAD" w:rsidR="00496A64" w:rsidRPr="00B15DA8" w:rsidRDefault="00496A64" w:rsidP="00821A3A">
      <w:pPr>
        <w:pStyle w:val="ListBullet"/>
      </w:pPr>
      <w:r w:rsidRPr="00B15DA8">
        <w:t>used a range of methods to support effective participation, including surveys, focus groups, workshops, drop-in sessions, a dedicated online feedback platform and online pricing simulators to engage with its stakeholders across the region</w:t>
      </w:r>
    </w:p>
    <w:p w14:paraId="08D6C8DB" w14:textId="7E3352DC" w:rsidR="00496A64" w:rsidRPr="00B15DA8" w:rsidRDefault="00496A64" w:rsidP="00821A3A">
      <w:pPr>
        <w:pStyle w:val="ListBullet"/>
      </w:pPr>
      <w:r w:rsidRPr="00B15DA8">
        <w:t>tailored its engagement to suit its customer circumstances by using methods and timing that would work well for remote and rural areas affected by the pandemic and the October 2022 floods</w:t>
      </w:r>
    </w:p>
    <w:p w14:paraId="5DF01040" w14:textId="3413FEE1" w:rsidR="00EB14C9" w:rsidRPr="00B15DA8" w:rsidRDefault="00496A64" w:rsidP="00821A3A">
      <w:pPr>
        <w:pStyle w:val="ListBullet"/>
      </w:pPr>
      <w:r w:rsidRPr="00B15DA8">
        <w:t xml:space="preserve">engaged on local service issues of importance to the customers and on matters that </w:t>
      </w:r>
      <w:r w:rsidR="00D467E5" w:rsidRPr="00B15DA8">
        <w:t xml:space="preserve">have a significant </w:t>
      </w:r>
      <w:r w:rsidRPr="00B15DA8">
        <w:t xml:space="preserve">influence </w:t>
      </w:r>
      <w:r w:rsidR="004F221F" w:rsidRPr="00B15DA8">
        <w:t xml:space="preserve">on the services provided and </w:t>
      </w:r>
      <w:r w:rsidRPr="00B15DA8">
        <w:t xml:space="preserve">prices </w:t>
      </w:r>
      <w:r w:rsidR="004F221F" w:rsidRPr="00B15DA8">
        <w:t>charged</w:t>
      </w:r>
    </w:p>
    <w:p w14:paraId="577A77CE" w14:textId="5AF401A5" w:rsidR="00496A64" w:rsidRPr="00C43A54" w:rsidRDefault="00496A64" w:rsidP="00821A3A">
      <w:pPr>
        <w:pStyle w:val="ListBullet"/>
      </w:pPr>
      <w:r w:rsidRPr="00C43A54">
        <w:t xml:space="preserve">engaged in a way that was inclusive of the experience of First Nations people and Traditional Owners, including meeting with Dja Dja Wurrung leaders to discuss ongoing engagement and partnership opportunities. </w:t>
      </w:r>
    </w:p>
    <w:p w14:paraId="1052EB49" w14:textId="190B546A" w:rsidR="00496A64" w:rsidRDefault="00496A64" w:rsidP="00496A64">
      <w:r>
        <w:t>More detail on Goulburn-Murray Water’s engagement is available in its price submission.</w:t>
      </w:r>
      <w:r w:rsidR="002A5D6D">
        <w:rPr>
          <w:rStyle w:val="FootnoteReference"/>
        </w:rPr>
        <w:footnoteReference w:id="19"/>
      </w:r>
      <w:r>
        <w:t xml:space="preserve"> </w:t>
      </w:r>
      <w:r w:rsidRPr="00F224B5">
        <w:t xml:space="preserve"> </w:t>
      </w:r>
    </w:p>
    <w:p w14:paraId="58191401" w14:textId="62FA8E52" w:rsidR="00496A64" w:rsidRDefault="00496A64" w:rsidP="00496A64">
      <w:r>
        <w:lastRenderedPageBreak/>
        <w:t>Goulburn-Murray Water</w:t>
      </w:r>
      <w:r w:rsidRPr="004200F0">
        <w:t xml:space="preserve"> </w:t>
      </w:r>
      <w:r w:rsidRPr="00F224B5">
        <w:t>provide</w:t>
      </w:r>
      <w:r w:rsidR="00DD59A7">
        <w:t>d</w:t>
      </w:r>
      <w:r w:rsidRPr="00F224B5">
        <w:t xml:space="preserve"> evidence that its engagement influenced its proposals</w:t>
      </w:r>
      <w:r w:rsidR="0040171E">
        <w:t>,</w:t>
      </w:r>
      <w:r w:rsidR="00156D26">
        <w:t xml:space="preserve"> which </w:t>
      </w:r>
      <w:r w:rsidR="00DB3261">
        <w:t xml:space="preserve">aligns with our objective to </w:t>
      </w:r>
      <w:r w:rsidR="00992DB6">
        <w:t>support</w:t>
      </w:r>
      <w:r w:rsidR="00F94FA2" w:rsidRPr="00DB3261">
        <w:t xml:space="preserve"> the interests of </w:t>
      </w:r>
      <w:r w:rsidR="00424385" w:rsidRPr="00DB3261">
        <w:t>consumers.</w:t>
      </w:r>
      <w:r w:rsidR="00F94FA2">
        <w:t xml:space="preserve"> </w:t>
      </w:r>
      <w:r w:rsidRPr="00F224B5">
        <w:t>For example, in its price submission, Goulburn-Murray Water proposed:</w:t>
      </w:r>
    </w:p>
    <w:p w14:paraId="552144F3" w14:textId="2462973F" w:rsidR="00496A64" w:rsidRPr="00F224B5" w:rsidRDefault="00496A64" w:rsidP="00821A3A">
      <w:pPr>
        <w:pStyle w:val="ListBullet"/>
      </w:pPr>
      <w:r w:rsidRPr="00F224B5">
        <w:t>outcomes that reflect the key findings from its engagement, including a new outcome on social responsibility in response to customer interest on environmental sustainability</w:t>
      </w:r>
      <w:r w:rsidR="00581D8D" w:rsidRPr="00334DBE">
        <w:rPr>
          <w:rStyle w:val="FootnoteReference"/>
        </w:rPr>
        <w:footnoteReference w:id="20"/>
      </w:r>
      <w:r w:rsidRPr="00F224B5">
        <w:t xml:space="preserve"> </w:t>
      </w:r>
    </w:p>
    <w:p w14:paraId="785F0F44" w14:textId="195298F8" w:rsidR="00496A64" w:rsidRPr="00F224B5" w:rsidRDefault="00496A64" w:rsidP="00821A3A">
      <w:pPr>
        <w:pStyle w:val="ListBullet"/>
      </w:pPr>
      <w:r w:rsidRPr="00F224B5">
        <w:t>changes to simplify drainage tariffs in response to feedback from customers that existing drainage tariffs were too complex</w:t>
      </w:r>
      <w:r w:rsidR="00AD2E57" w:rsidRPr="00334DBE">
        <w:rPr>
          <w:rStyle w:val="FootnoteReference"/>
        </w:rPr>
        <w:footnoteReference w:id="21"/>
      </w:r>
      <w:r w:rsidRPr="00F224B5">
        <w:t xml:space="preserve">   </w:t>
      </w:r>
    </w:p>
    <w:p w14:paraId="44F352B8" w14:textId="7FE85DB4" w:rsidR="00496A64" w:rsidRPr="00F224B5" w:rsidRDefault="00496A64" w:rsidP="00821A3A">
      <w:pPr>
        <w:pStyle w:val="ListBullet"/>
      </w:pPr>
      <w:r w:rsidRPr="00F224B5">
        <w:t>new service standards, including one to alert urban water suppliers about potential water quality risks based on feedback of its significance to urban water corporation customers, and another to monitor the processing of groundwater applications in response to customer feedback advocating for reduced processing times</w:t>
      </w:r>
      <w:r w:rsidR="00BC78FF" w:rsidRPr="00334DBE">
        <w:rPr>
          <w:rStyle w:val="FootnoteReference"/>
        </w:rPr>
        <w:footnoteReference w:id="22"/>
      </w:r>
      <w:r w:rsidRPr="00334DBE">
        <w:rPr>
          <w:vertAlign w:val="superscript"/>
        </w:rPr>
        <w:t xml:space="preserve"> </w:t>
      </w:r>
    </w:p>
    <w:p w14:paraId="45B932C9" w14:textId="62267272" w:rsidR="00496A64" w:rsidRPr="00F224B5" w:rsidRDefault="006F30D4" w:rsidP="00821A3A">
      <w:pPr>
        <w:pStyle w:val="ListBullet"/>
      </w:pPr>
      <w:r w:rsidRPr="00F224B5">
        <w:t xml:space="preserve">to </w:t>
      </w:r>
      <w:r w:rsidR="00496A64" w:rsidRPr="00F224B5">
        <w:t>explor</w:t>
      </w:r>
      <w:r w:rsidRPr="00F224B5">
        <w:t>e</w:t>
      </w:r>
      <w:r w:rsidR="00496A64" w:rsidRPr="00F224B5">
        <w:t xml:space="preserve"> options and feasibility of </w:t>
      </w:r>
      <w:r w:rsidR="004F4F33" w:rsidRPr="00F224B5">
        <w:t>temporarily deactivating service points</w:t>
      </w:r>
      <w:r w:rsidR="00E35138" w:rsidRPr="00F224B5">
        <w:t xml:space="preserve"> </w:t>
      </w:r>
      <w:r w:rsidR="00D527F1" w:rsidRPr="00F224B5">
        <w:t>(</w:t>
      </w:r>
      <w:r w:rsidR="008E2F87" w:rsidRPr="00F224B5">
        <w:t>that are not being used over multiple years</w:t>
      </w:r>
      <w:r w:rsidR="00D527F1" w:rsidRPr="00F224B5">
        <w:t>)</w:t>
      </w:r>
      <w:r w:rsidR="00F23283" w:rsidRPr="00F224B5">
        <w:t xml:space="preserve"> as a cost cutting measure</w:t>
      </w:r>
      <w:r w:rsidR="004F4F33" w:rsidRPr="00F224B5">
        <w:t>, in response to strong support f</w:t>
      </w:r>
      <w:r w:rsidR="0074561C" w:rsidRPr="00F224B5">
        <w:t>rom</w:t>
      </w:r>
      <w:r w:rsidR="004F4F33" w:rsidRPr="00F224B5">
        <w:t xml:space="preserve"> customers </w:t>
      </w:r>
      <w:r w:rsidR="00F23283" w:rsidRPr="00F224B5">
        <w:t>that they would take up this arrangement if available</w:t>
      </w:r>
      <w:r w:rsidR="00B415B4" w:rsidRPr="00F224B5">
        <w:t>.</w:t>
      </w:r>
      <w:r w:rsidR="00EB5DDA" w:rsidRPr="00334DBE">
        <w:rPr>
          <w:rStyle w:val="FootnoteReference"/>
        </w:rPr>
        <w:footnoteReference w:id="23"/>
      </w:r>
      <w:r w:rsidR="00496A64" w:rsidRPr="00334DBE">
        <w:rPr>
          <w:vertAlign w:val="superscript"/>
        </w:rPr>
        <w:t xml:space="preserve"> </w:t>
      </w:r>
      <w:r w:rsidR="00496A64" w:rsidRPr="00F224B5">
        <w:t xml:space="preserve"> </w:t>
      </w:r>
    </w:p>
    <w:p w14:paraId="22E32CF7" w14:textId="41A93299" w:rsidR="00496A64" w:rsidRPr="00F224B5" w:rsidRDefault="00496A64" w:rsidP="00496A64">
      <w:r w:rsidRPr="00F224B5">
        <w:t xml:space="preserve">Overall, our preliminary view is that Goulburn-Murray Water designed and delivered an engagement program that was well suited to </w:t>
      </w:r>
      <w:r w:rsidR="000A133C" w:rsidRPr="00F224B5">
        <w:t>most of</w:t>
      </w:r>
      <w:r w:rsidRPr="00F224B5">
        <w:t xml:space="preserve"> its customers, its operating environment and the context of its diverse and remote communities.  </w:t>
      </w:r>
    </w:p>
    <w:p w14:paraId="4E417D40" w14:textId="4036F427" w:rsidR="00496A64" w:rsidRPr="005F293C" w:rsidRDefault="00496A64" w:rsidP="00496A64">
      <w:r w:rsidRPr="005F293C">
        <w:t xml:space="preserve">Goulburn-Murray Water’s engagement was sensitive to the experiences of its customers, particularly those affected by the 2022 floods and the coronavirus pandemic. It tailored its </w:t>
      </w:r>
      <w:r w:rsidR="00E77C45">
        <w:t>engagement</w:t>
      </w:r>
      <w:r w:rsidRPr="005F293C">
        <w:t xml:space="preserve">, including </w:t>
      </w:r>
      <w:r w:rsidR="00E77C45">
        <w:t xml:space="preserve">a </w:t>
      </w:r>
      <w:r w:rsidRPr="005F293C">
        <w:t>paus</w:t>
      </w:r>
      <w:r w:rsidR="00E77C45">
        <w:t>e</w:t>
      </w:r>
      <w:r w:rsidRPr="005F293C">
        <w:t xml:space="preserve"> for three months in flood affected areas so customers could focus on recovery. It also provided </w:t>
      </w:r>
      <w:r w:rsidR="00D2535F" w:rsidRPr="005F293C">
        <w:t>several</w:t>
      </w:r>
      <w:r w:rsidRPr="005F293C">
        <w:t xml:space="preserve"> online participation opportunities both for meetings and feedback by using a dedicated engagement website with tools not used previously.</w:t>
      </w:r>
    </w:p>
    <w:p w14:paraId="416EEBC6" w14:textId="5088590E" w:rsidR="00496A64" w:rsidRPr="005F293C" w:rsidRDefault="00496A64" w:rsidP="00496A64">
      <w:r w:rsidRPr="005F293C">
        <w:t>Goulburn-Murray Water’s engagement was representative and inclusive, including of First Nations people and people experiencing vulnerability. Leaders of the Yorta Yorta, Taungurung and Dja Dja Wurrung Aboriginal parties were contacted for input on their preferred methods</w:t>
      </w:r>
      <w:r w:rsidR="00AE02A7" w:rsidRPr="005F293C">
        <w:t xml:space="preserve"> for engagement</w:t>
      </w:r>
      <w:r w:rsidRPr="005F293C">
        <w:t xml:space="preserve">. Goulburn-Murray Water established a dedicated website to engage with people experiencing hardship and updated its business website for ease of access </w:t>
      </w:r>
      <w:r w:rsidR="00CD701F" w:rsidRPr="005F293C">
        <w:t>to</w:t>
      </w:r>
      <w:r w:rsidRPr="005F293C">
        <w:t xml:space="preserve"> information for all people</w:t>
      </w:r>
      <w:r w:rsidR="00315A7B" w:rsidRPr="005F293C">
        <w:t>,</w:t>
      </w:r>
      <w:r w:rsidRPr="005F293C">
        <w:t xml:space="preserve"> including those with a disability, which </w:t>
      </w:r>
      <w:r w:rsidR="00183002" w:rsidRPr="005F293C">
        <w:t xml:space="preserve">exemplified </w:t>
      </w:r>
      <w:r w:rsidRPr="005F293C">
        <w:t xml:space="preserve">its efforts </w:t>
      </w:r>
      <w:r w:rsidR="00701D94" w:rsidRPr="005F293C">
        <w:t xml:space="preserve">to include </w:t>
      </w:r>
      <w:r w:rsidRPr="005F293C">
        <w:t xml:space="preserve">its diverse customer base. </w:t>
      </w:r>
    </w:p>
    <w:p w14:paraId="5757E5E4" w14:textId="0E8D1781" w:rsidR="00496A64" w:rsidRPr="005F293C" w:rsidRDefault="00496A64" w:rsidP="00496A64">
      <w:r w:rsidRPr="005F293C">
        <w:lastRenderedPageBreak/>
        <w:t xml:space="preserve">Goulburn-Murray Water’s engagement with its established </w:t>
      </w:r>
      <w:r w:rsidR="003056FF" w:rsidRPr="005F293C">
        <w:t>w</w:t>
      </w:r>
      <w:r w:rsidRPr="005F293C">
        <w:t xml:space="preserve">ater </w:t>
      </w:r>
      <w:r w:rsidR="003056FF" w:rsidRPr="005F293C">
        <w:t>s</w:t>
      </w:r>
      <w:r w:rsidRPr="005F293C">
        <w:t xml:space="preserve">ervices </w:t>
      </w:r>
      <w:r w:rsidR="003056FF" w:rsidRPr="005F293C">
        <w:t>c</w:t>
      </w:r>
      <w:r w:rsidRPr="005F293C">
        <w:t>ommittees was influential on its price submission.</w:t>
      </w:r>
      <w:r w:rsidR="001C17E7">
        <w:rPr>
          <w:rStyle w:val="FootnoteReference"/>
        </w:rPr>
        <w:footnoteReference w:id="24"/>
      </w:r>
      <w:r w:rsidRPr="005F293C">
        <w:t xml:space="preserve"> Eleven committees</w:t>
      </w:r>
      <w:r w:rsidR="00FC3429">
        <w:t>,</w:t>
      </w:r>
      <w:r w:rsidRPr="005F293C">
        <w:t xml:space="preserve"> which represent the views of customers across the service area and who access the different prescribed services, were involved early in the planning of the price review process on key aspects</w:t>
      </w:r>
      <w:r w:rsidR="001B3E79" w:rsidRPr="005F293C">
        <w:t>,</w:t>
      </w:r>
      <w:r w:rsidRPr="005F293C">
        <w:t xml:space="preserve"> including the development of the service plans and several workshops on tariffs and pricing. The </w:t>
      </w:r>
      <w:r w:rsidR="00115A04" w:rsidRPr="005F293C">
        <w:t>c</w:t>
      </w:r>
      <w:r w:rsidRPr="005F293C">
        <w:t>ommittees</w:t>
      </w:r>
      <w:r w:rsidR="00125B6F" w:rsidRPr="005F293C">
        <w:t>’</w:t>
      </w:r>
      <w:r w:rsidRPr="005F293C">
        <w:t xml:space="preserve"> feedback assisted the business to gain a closer understanding of the issues and concerns of its customers and provided opportunities for these issues to inform the decision-making process. </w:t>
      </w:r>
    </w:p>
    <w:p w14:paraId="621B494C" w14:textId="0FA3E4F7" w:rsidR="00496A64" w:rsidRPr="00FC67AF" w:rsidRDefault="00496A64" w:rsidP="00496A64">
      <w:r w:rsidRPr="00FC67AF">
        <w:t xml:space="preserve">We received 13 submissions from unregulated diverters </w:t>
      </w:r>
      <w:r w:rsidR="00600036" w:rsidRPr="00FC67AF">
        <w:t xml:space="preserve">who </w:t>
      </w:r>
      <w:r w:rsidRPr="00FC67AF">
        <w:t>rais</w:t>
      </w:r>
      <w:r w:rsidR="00600036" w:rsidRPr="00FC67AF">
        <w:t>ed</w:t>
      </w:r>
      <w:r w:rsidRPr="00FC67AF">
        <w:t xml:space="preserve"> concerns</w:t>
      </w:r>
      <w:r>
        <w:t xml:space="preserve"> </w:t>
      </w:r>
      <w:r w:rsidR="004853BE" w:rsidRPr="00FC67AF">
        <w:t>regarding</w:t>
      </w:r>
      <w:r w:rsidRPr="00FC67AF">
        <w:t xml:space="preserve"> Goulburn</w:t>
      </w:r>
      <w:r w:rsidR="00D417EC" w:rsidRPr="00FC67AF">
        <w:t>-</w:t>
      </w:r>
      <w:r w:rsidRPr="00FC67AF">
        <w:t>Murray Water’s engagement with them.</w:t>
      </w:r>
      <w:r w:rsidR="00D17628" w:rsidRPr="00FC67AF">
        <w:rPr>
          <w:rStyle w:val="FootnoteReference"/>
        </w:rPr>
        <w:footnoteReference w:id="25"/>
      </w:r>
      <w:r w:rsidRPr="00FC67AF">
        <w:t xml:space="preserve"> Most submissions considered that the </w:t>
      </w:r>
      <w:r w:rsidRPr="00A4299E">
        <w:t>business</w:t>
      </w:r>
      <w:r w:rsidR="00AB4F9E" w:rsidRPr="00A4299E">
        <w:t>’</w:t>
      </w:r>
      <w:r w:rsidR="005D5C74" w:rsidRPr="00A4299E">
        <w:t>s</w:t>
      </w:r>
      <w:r w:rsidRPr="00A4299E">
        <w:t xml:space="preserve"> pricing proposals</w:t>
      </w:r>
      <w:r w:rsidRPr="00FC67AF">
        <w:t xml:space="preserve"> and engagement efforts did not address the unique needs and concerns on fees and service point costs for domestic and stock water customers. In its pric</w:t>
      </w:r>
      <w:r w:rsidR="00F55ED8">
        <w:t>e</w:t>
      </w:r>
      <w:r w:rsidRPr="00FC67AF">
        <w:t xml:space="preserve"> submission,</w:t>
      </w:r>
      <w:r>
        <w:t xml:space="preserve"> </w:t>
      </w:r>
      <w:r w:rsidRPr="00FC67AF">
        <w:t>Goulburn-Murray Water has acknowledged this lack of satisfaction and committed to improve how it communicates with diversion customers, both on the nature of charges and on value for money.</w:t>
      </w:r>
      <w:r w:rsidR="00BE6741" w:rsidRPr="00FC67AF">
        <w:rPr>
          <w:rStyle w:val="FootnoteReference"/>
        </w:rPr>
        <w:footnoteReference w:id="26"/>
      </w:r>
      <w:r w:rsidRPr="00FC67AF">
        <w:t xml:space="preserve">   </w:t>
      </w:r>
    </w:p>
    <w:p w14:paraId="2932D9FF" w14:textId="01663C72" w:rsidR="001F6041" w:rsidRPr="000A3A07" w:rsidRDefault="00012B8A" w:rsidP="00496A64">
      <w:r>
        <w:t xml:space="preserve">In response to our requests, </w:t>
      </w:r>
      <w:r w:rsidR="001F6041" w:rsidRPr="000A3A07">
        <w:t xml:space="preserve">Goulburn-Murray Water provided us with additional information supporting its engagement with diverters </w:t>
      </w:r>
      <w:r w:rsidR="00A20EE8">
        <w:t>o</w:t>
      </w:r>
      <w:r w:rsidR="00663B5C">
        <w:t>n</w:t>
      </w:r>
      <w:r w:rsidR="001F6041" w:rsidRPr="000A3A07">
        <w:t xml:space="preserve"> unregulated waterways including domestic and stock customer </w:t>
      </w:r>
      <w:r w:rsidR="00663B5C">
        <w:t>in</w:t>
      </w:r>
      <w:r w:rsidR="001F6041" w:rsidRPr="000A3A07">
        <w:t xml:space="preserve"> the Upper Ovens.</w:t>
      </w:r>
      <w:r w:rsidR="002B3244" w:rsidRPr="000A3A07">
        <w:rPr>
          <w:rStyle w:val="FootnoteReference"/>
        </w:rPr>
        <w:footnoteReference w:id="27"/>
      </w:r>
      <w:r w:rsidR="001F6041" w:rsidRPr="000A3A07">
        <w:t xml:space="preserve"> </w:t>
      </w:r>
      <w:r w:rsidR="00C006D0" w:rsidRPr="000A3A07">
        <w:t>The additional i</w:t>
      </w:r>
      <w:r w:rsidR="00903140" w:rsidRPr="000A3A07">
        <w:t xml:space="preserve">nformation </w:t>
      </w:r>
      <w:r w:rsidR="00C006D0" w:rsidRPr="000A3A07">
        <w:t xml:space="preserve">shows that Goulburn-Murray Water reached out to diverters on unregulated waterways including Upper Ovens customers </w:t>
      </w:r>
      <w:r w:rsidR="0046728A" w:rsidRPr="000A3A07">
        <w:t>on</w:t>
      </w:r>
      <w:r w:rsidR="004B673D" w:rsidRPr="000A3A07">
        <w:t xml:space="preserve"> licence renewals</w:t>
      </w:r>
      <w:r w:rsidR="001A473F">
        <w:t>,</w:t>
      </w:r>
      <w:r w:rsidR="00633F4D" w:rsidRPr="000A3A07">
        <w:t xml:space="preserve"> the development of the service plan for diverters</w:t>
      </w:r>
      <w:r w:rsidR="001A473F">
        <w:t>,</w:t>
      </w:r>
      <w:r w:rsidR="00633F4D" w:rsidRPr="000A3A07">
        <w:t xml:space="preserve"> </w:t>
      </w:r>
      <w:r w:rsidR="0002327C" w:rsidRPr="00C110F2">
        <w:t>and</w:t>
      </w:r>
      <w:r w:rsidR="0002327C">
        <w:t xml:space="preserve"> </w:t>
      </w:r>
      <w:r w:rsidR="00537E10">
        <w:t xml:space="preserve">during its engagement </w:t>
      </w:r>
      <w:r w:rsidR="00A82D9F">
        <w:t xml:space="preserve">consultation period. </w:t>
      </w:r>
      <w:r w:rsidR="00671EFF">
        <w:t xml:space="preserve"> </w:t>
      </w:r>
      <w:r w:rsidR="00633F4D" w:rsidRPr="000A3A07">
        <w:t xml:space="preserve"> </w:t>
      </w:r>
      <w:r w:rsidR="00903140" w:rsidRPr="000A3A07">
        <w:t xml:space="preserve"> </w:t>
      </w:r>
    </w:p>
    <w:p w14:paraId="3BCBBE4A" w14:textId="6E623A47" w:rsidR="00770EFC" w:rsidRDefault="00496A64" w:rsidP="00111AA8">
      <w:r w:rsidRPr="00A377B6">
        <w:t xml:space="preserve">Our guidance sets out assessment criteria which, among other things, </w:t>
      </w:r>
      <w:r w:rsidR="00EF6361" w:rsidRPr="00EF6361">
        <w:t>include</w:t>
      </w:r>
      <w:r w:rsidRPr="00EF6361">
        <w:t>s</w:t>
      </w:r>
      <w:r w:rsidRPr="00A377B6">
        <w:t xml:space="preserve"> consideration of how feedback received through engagement was considered by the business in reaching its proposals, and a justification for how it will address customer expectations that will not or cannot be met. </w:t>
      </w:r>
    </w:p>
    <w:p w14:paraId="71112977" w14:textId="7133177C" w:rsidR="00E92E7F" w:rsidRPr="00A377B6" w:rsidRDefault="00496A64" w:rsidP="00111AA8">
      <w:r w:rsidRPr="00A377B6">
        <w:t xml:space="preserve">In giving effect to this, we would expect Goulburn-Murray Water to have more fully explored options raised </w:t>
      </w:r>
      <w:r w:rsidR="00B6769F" w:rsidRPr="00A377B6">
        <w:t xml:space="preserve">by these </w:t>
      </w:r>
      <w:r w:rsidR="00076794" w:rsidRPr="00A377B6">
        <w:t>customers</w:t>
      </w:r>
      <w:r w:rsidR="0052365D" w:rsidRPr="00A377B6">
        <w:t xml:space="preserve"> before </w:t>
      </w:r>
      <w:r w:rsidR="0031295F">
        <w:t xml:space="preserve">lodging its price </w:t>
      </w:r>
      <w:r w:rsidRPr="00A377B6">
        <w:t>submission to us</w:t>
      </w:r>
      <w:r w:rsidR="00C34CDB" w:rsidRPr="00A377B6">
        <w:t xml:space="preserve">. </w:t>
      </w:r>
      <w:r w:rsidR="00EF411B" w:rsidRPr="00D21F81">
        <w:t xml:space="preserve">Our draft decision on </w:t>
      </w:r>
      <w:r w:rsidR="00EF411B" w:rsidRPr="00D21F81">
        <w:lastRenderedPageBreak/>
        <w:t>service point fees</w:t>
      </w:r>
      <w:r w:rsidR="00524570" w:rsidRPr="00D21F81">
        <w:t xml:space="preserve"> for unregulated diverters</w:t>
      </w:r>
      <w:r w:rsidR="00EF411B" w:rsidRPr="00D21F81">
        <w:t xml:space="preserve"> </w:t>
      </w:r>
      <w:r w:rsidR="009C0B1C" w:rsidRPr="00D21F81">
        <w:t xml:space="preserve">also identifies </w:t>
      </w:r>
      <w:r w:rsidR="00524570" w:rsidRPr="00D21F81">
        <w:t xml:space="preserve">issues Goulburn-Murray Water is required to address </w:t>
      </w:r>
      <w:r w:rsidR="000C4158" w:rsidRPr="00D21F81">
        <w:t>on this charge</w:t>
      </w:r>
      <w:r w:rsidR="00021C27" w:rsidRPr="00D21F81">
        <w:t>, in response to our draft decision</w:t>
      </w:r>
      <w:r w:rsidR="000C4158" w:rsidRPr="00D21F81">
        <w:t xml:space="preserve"> – refer to chapter 10.</w:t>
      </w:r>
      <w:r w:rsidR="000C4158">
        <w:t xml:space="preserve"> </w:t>
      </w:r>
    </w:p>
    <w:p w14:paraId="713D53AE" w14:textId="77777777" w:rsidR="00EA4406" w:rsidRDefault="00EA4406" w:rsidP="00EA4406">
      <w:r>
        <w:t>We recognise the perspectives raised by unregulated diverters on Goulburn-Murray Water’s engagement and have weighed these against factors in favour of a ‘Standard’ rating.</w:t>
      </w:r>
      <w:r w:rsidRPr="009B49B2">
        <w:t xml:space="preserve"> </w:t>
      </w:r>
    </w:p>
    <w:p w14:paraId="3DEA7B0C" w14:textId="77777777" w:rsidR="00BB0B12" w:rsidRDefault="00EA4406" w:rsidP="00EA4406">
      <w:r w:rsidRPr="009B49B2">
        <w:t xml:space="preserve">After considering the entirety of </w:t>
      </w:r>
      <w:r>
        <w:t xml:space="preserve">Goulburn-Murray Water’s </w:t>
      </w:r>
      <w:r w:rsidRPr="009B49B2">
        <w:t xml:space="preserve">engagement across its </w:t>
      </w:r>
      <w:r>
        <w:t xml:space="preserve">diverse </w:t>
      </w:r>
      <w:r w:rsidRPr="009B49B2">
        <w:t>customer base, our preliminary view is we agree with its self-rating of ‘Standard’ for its price submission engagemen</w:t>
      </w:r>
      <w:r w:rsidRPr="00DB7BB4">
        <w:t>t</w:t>
      </w:r>
      <w:r>
        <w:t>. This is</w:t>
      </w:r>
      <w:r w:rsidRPr="00DB7BB4">
        <w:t xml:space="preserve"> based on the overall suitability of its engagement program </w:t>
      </w:r>
      <w:r w:rsidR="00DF5CCA">
        <w:t xml:space="preserve">for the majority of its services, </w:t>
      </w:r>
      <w:r w:rsidRPr="00DB7BB4">
        <w:t xml:space="preserve">and the level of influence afforded to customers particularly at the early planning stages through its engagement with its water services committees. </w:t>
      </w:r>
    </w:p>
    <w:p w14:paraId="0683F094" w14:textId="78E680DC" w:rsidR="00636F5F" w:rsidRDefault="00EA4406" w:rsidP="00EA4406">
      <w:r w:rsidRPr="005B6F3D">
        <w:t xml:space="preserve">See Chapter </w:t>
      </w:r>
      <w:r w:rsidRPr="005B6F3D" w:rsidDel="0026203F">
        <w:t>16</w:t>
      </w:r>
      <w:r w:rsidRPr="005B6F3D">
        <w:t xml:space="preserve"> for more detail on our PREMO assessment of Goulburn-Murray Water’s price submission.</w:t>
      </w:r>
      <w:r w:rsidRPr="00EA4406">
        <w:t xml:space="preserve"> </w:t>
      </w:r>
    </w:p>
    <w:p w14:paraId="31764E7E" w14:textId="58FB8B0A" w:rsidR="00496A64" w:rsidRPr="00A377B6" w:rsidRDefault="00673E66" w:rsidP="00496A64">
      <w:r>
        <w:t>T</w:t>
      </w:r>
      <w:r w:rsidR="00496A64" w:rsidRPr="00A377B6">
        <w:t xml:space="preserve">he assessment of Goulburn-Murray Water’s </w:t>
      </w:r>
      <w:r w:rsidR="006E5B77">
        <w:t xml:space="preserve">service point fees </w:t>
      </w:r>
      <w:r w:rsidR="00496A64" w:rsidRPr="00A377B6">
        <w:t>(</w:t>
      </w:r>
      <w:r w:rsidR="00935B1A" w:rsidRPr="00A377B6">
        <w:t>S</w:t>
      </w:r>
      <w:r w:rsidR="00496A64" w:rsidRPr="00A377B6">
        <w:t>ection</w:t>
      </w:r>
      <w:r w:rsidR="006E5B77">
        <w:t xml:space="preserve"> 10</w:t>
      </w:r>
      <w:r w:rsidR="00496A64" w:rsidRPr="00A377B6">
        <w:t xml:space="preserve">) provides detail </w:t>
      </w:r>
      <w:r w:rsidR="002518A6" w:rsidRPr="00A377B6">
        <w:t>on matters</w:t>
      </w:r>
      <w:r w:rsidR="00496A64" w:rsidRPr="00A377B6">
        <w:t xml:space="preserve"> unregulated diverters </w:t>
      </w:r>
      <w:r w:rsidR="002518A6" w:rsidRPr="00A377B6">
        <w:t xml:space="preserve">raised in </w:t>
      </w:r>
      <w:r w:rsidR="00891475">
        <w:t>relation to Goulburn-Murray Water’s price submission</w:t>
      </w:r>
      <w:r w:rsidR="00496A64" w:rsidRPr="00A377B6">
        <w:t xml:space="preserve">. We welcome feedback from diverters on our draft decision on </w:t>
      </w:r>
      <w:r w:rsidR="00B32992">
        <w:t>service point fees</w:t>
      </w:r>
      <w:r w:rsidR="00496A64" w:rsidRPr="00A377B6">
        <w:t>.</w:t>
      </w:r>
    </w:p>
    <w:p w14:paraId="6832E157" w14:textId="747EE56F" w:rsidR="009C2ECF" w:rsidRDefault="00977A37" w:rsidP="00F22C01">
      <w:pPr>
        <w:pStyle w:val="Heading2"/>
      </w:pPr>
      <w:bookmarkStart w:id="88" w:name="_Toc161400023"/>
      <w:r>
        <w:t>3.2</w:t>
      </w:r>
      <w:r>
        <w:tab/>
      </w:r>
      <w:r w:rsidR="009C2ECF">
        <w:t>Outcomes</w:t>
      </w:r>
      <w:bookmarkEnd w:id="88"/>
      <w:r w:rsidR="003A48B2">
        <w:t xml:space="preserve"> </w:t>
      </w:r>
    </w:p>
    <w:p w14:paraId="783179AE" w14:textId="4166C2ED" w:rsidR="00777276" w:rsidRPr="00777276" w:rsidRDefault="00F679C1" w:rsidP="00777276">
      <w:r w:rsidRPr="00833C9D">
        <w:t>Goulburn-Murray Water was not assessed under our PREMO framework at its last price review</w:t>
      </w:r>
      <w:r w:rsidR="00526BEA">
        <w:t>.</w:t>
      </w:r>
      <w:r w:rsidRPr="00833C9D">
        <w:t xml:space="preserve"> </w:t>
      </w:r>
      <w:r w:rsidR="00BB361F">
        <w:t>H</w:t>
      </w:r>
      <w:r w:rsidRPr="00833C9D">
        <w:t>owever</w:t>
      </w:r>
      <w:r w:rsidR="000D58E4">
        <w:t>,</w:t>
      </w:r>
      <w:r w:rsidRPr="00833C9D">
        <w:t xml:space="preserve"> it engaged with its customers to develop and commit to a set of outcomes as part of its service standards, and reported annual performance to its customers via its website throughout the 2020–24 regulatory period.</w:t>
      </w:r>
    </w:p>
    <w:p w14:paraId="1D16001A" w14:textId="77777777" w:rsidR="005E30A8" w:rsidRPr="007A6E8C" w:rsidRDefault="005E30A8" w:rsidP="00170C41">
      <w:pPr>
        <w:pStyle w:val="Heading3numbered"/>
        <w:rPr>
          <w:b w:val="0"/>
        </w:rPr>
      </w:pPr>
      <w:bookmarkStart w:id="89" w:name="_Toc149223926"/>
      <w:bookmarkStart w:id="90" w:name="_Toc149560252"/>
      <w:bookmarkStart w:id="91" w:name="_Toc150866066"/>
      <w:bookmarkStart w:id="92" w:name="_Toc150866236"/>
      <w:bookmarkStart w:id="93" w:name="_Toc160038306"/>
      <w:bookmarkStart w:id="94" w:name="_Toc161400024"/>
      <w:r w:rsidRPr="007A6E8C">
        <w:t>3.2.</w:t>
      </w:r>
      <w:r w:rsidR="00974AFD">
        <w:t>1</w:t>
      </w:r>
      <w:r w:rsidRPr="007A6E8C">
        <w:t xml:space="preserve"> Outcome commitments for </w:t>
      </w:r>
      <w:r w:rsidR="003D2374" w:rsidRPr="0029324B">
        <w:t>202</w:t>
      </w:r>
      <w:r w:rsidR="006D42A6" w:rsidRPr="0029324B">
        <w:t>4</w:t>
      </w:r>
      <w:r w:rsidRPr="0029324B">
        <w:t>–28</w:t>
      </w:r>
      <w:bookmarkEnd w:id="89"/>
      <w:bookmarkEnd w:id="90"/>
      <w:bookmarkEnd w:id="91"/>
      <w:bookmarkEnd w:id="92"/>
      <w:bookmarkEnd w:id="93"/>
      <w:bookmarkEnd w:id="94"/>
    </w:p>
    <w:p w14:paraId="700E9612" w14:textId="4EB2D8FB" w:rsidR="00A278AD" w:rsidRPr="00577450" w:rsidRDefault="00A278AD" w:rsidP="00A278AD">
      <w:r w:rsidRPr="00577450">
        <w:t xml:space="preserve">Goulburn-Murray Water engaged with its customers to establish and refine its outcomes for the period from 1 July 2024 to 30 June 2028. It </w:t>
      </w:r>
      <w:r w:rsidRPr="009F0833">
        <w:t>propose</w:t>
      </w:r>
      <w:r w:rsidR="001479BE" w:rsidRPr="009F0833">
        <w:t>d</w:t>
      </w:r>
      <w:r w:rsidRPr="00577450">
        <w:t xml:space="preserve"> to deliver six customer outcomes: </w:t>
      </w:r>
    </w:p>
    <w:p w14:paraId="7AA02C51" w14:textId="77777777" w:rsidR="00A278AD" w:rsidRPr="00577450" w:rsidRDefault="00A278AD" w:rsidP="00821A3A">
      <w:pPr>
        <w:pStyle w:val="ListBullet"/>
      </w:pPr>
      <w:r w:rsidRPr="00577450">
        <w:t>reliable supply</w:t>
      </w:r>
    </w:p>
    <w:p w14:paraId="6DD12253" w14:textId="77777777" w:rsidR="00A278AD" w:rsidRPr="00577450" w:rsidRDefault="00A278AD" w:rsidP="00821A3A">
      <w:pPr>
        <w:pStyle w:val="ListBullet"/>
      </w:pPr>
      <w:r w:rsidRPr="00577450">
        <w:t>credible business</w:t>
      </w:r>
    </w:p>
    <w:p w14:paraId="0B1EB095" w14:textId="77777777" w:rsidR="00A278AD" w:rsidRPr="00577450" w:rsidRDefault="00A278AD" w:rsidP="00821A3A">
      <w:pPr>
        <w:pStyle w:val="ListBullet"/>
      </w:pPr>
      <w:r w:rsidRPr="00577450">
        <w:t>fair pricing</w:t>
      </w:r>
    </w:p>
    <w:p w14:paraId="3369034B" w14:textId="77777777" w:rsidR="00A278AD" w:rsidRPr="00577450" w:rsidRDefault="00A278AD" w:rsidP="00821A3A">
      <w:pPr>
        <w:pStyle w:val="ListBullet"/>
      </w:pPr>
      <w:r w:rsidRPr="00577450">
        <w:t>efficient operations</w:t>
      </w:r>
    </w:p>
    <w:p w14:paraId="5EB032CE" w14:textId="77777777" w:rsidR="00A278AD" w:rsidRPr="00577450" w:rsidRDefault="00A278AD" w:rsidP="00821A3A">
      <w:pPr>
        <w:pStyle w:val="ListBullet"/>
      </w:pPr>
      <w:r w:rsidRPr="00577450">
        <w:t>responsible services</w:t>
      </w:r>
    </w:p>
    <w:p w14:paraId="2899EB85" w14:textId="77777777" w:rsidR="0091266F" w:rsidRPr="00577450" w:rsidRDefault="0091266F" w:rsidP="00821A3A">
      <w:pPr>
        <w:pStyle w:val="ListBullet"/>
      </w:pPr>
      <w:r w:rsidRPr="00577450">
        <w:t>socially responsible.</w:t>
      </w:r>
      <w:r w:rsidRPr="009326CA">
        <w:rPr>
          <w:rStyle w:val="FootnoteReference"/>
        </w:rPr>
        <w:footnoteReference w:id="28"/>
      </w:r>
    </w:p>
    <w:p w14:paraId="33ED0943" w14:textId="41B50E39" w:rsidR="0091266F" w:rsidRPr="00332080" w:rsidRDefault="0091266F" w:rsidP="0091266F">
      <w:r w:rsidRPr="00577450">
        <w:t xml:space="preserve">Among the key initiatives to deliver on its commitments, </w:t>
      </w:r>
      <w:r w:rsidR="00E4780A">
        <w:t>Goulburn-Murray Water</w:t>
      </w:r>
      <w:r w:rsidR="00E4780A" w:rsidRPr="00577450">
        <w:t xml:space="preserve"> </w:t>
      </w:r>
      <w:r w:rsidRPr="00577450">
        <w:t xml:space="preserve">will continue with projects to modernise its </w:t>
      </w:r>
      <w:r w:rsidR="00305409" w:rsidRPr="00577450">
        <w:t>assets and</w:t>
      </w:r>
      <w:r w:rsidRPr="00577450">
        <w:t xml:space="preserve"> increase investment in IT cyber security to ensure its systems </w:t>
      </w:r>
      <w:r w:rsidRPr="00577450">
        <w:lastRenderedPageBreak/>
        <w:t xml:space="preserve">and data remain </w:t>
      </w:r>
      <w:r w:rsidRPr="00332080">
        <w:t xml:space="preserve">secure. </w:t>
      </w:r>
      <w:r w:rsidR="00D4099D" w:rsidRPr="00332080">
        <w:t>It will decrease costs in other areas to pass savings on to customers, resulting in reduced typical bills (on average) for gravity irrigation customers, excluding inflation.</w:t>
      </w:r>
      <w:r w:rsidR="00D4099D" w:rsidRPr="00332080">
        <w:rPr>
          <w:rStyle w:val="FootnoteReference"/>
        </w:rPr>
        <w:footnoteReference w:id="29"/>
      </w:r>
    </w:p>
    <w:p w14:paraId="27890ECE" w14:textId="20DF8818" w:rsidR="00A278AD" w:rsidRDefault="0091266F" w:rsidP="00697FDC">
      <w:r w:rsidRPr="00332080">
        <w:t>It is also proposing a new ‘socially responsible’ outcome following customer feedback, which will deliver on environmental and cultural outcomes that matter to its customers</w:t>
      </w:r>
      <w:r w:rsidR="00332080">
        <w:t xml:space="preserve"> </w:t>
      </w:r>
      <w:r w:rsidR="00F80466" w:rsidRPr="00332080">
        <w:t>and</w:t>
      </w:r>
      <w:r w:rsidRPr="00332080">
        <w:t xml:space="preserve"> to Traditional Owners and communities.</w:t>
      </w:r>
      <w:r w:rsidRPr="00332080">
        <w:rPr>
          <w:rStyle w:val="FootnoteReference"/>
        </w:rPr>
        <w:footnoteReference w:id="30"/>
      </w:r>
    </w:p>
    <w:p w14:paraId="5009C8E8" w14:textId="77777777" w:rsidR="00C5624B" w:rsidRDefault="00770730" w:rsidP="00770730">
      <w:pPr>
        <w:pStyle w:val="Heading3"/>
      </w:pPr>
      <w:bookmarkStart w:id="95" w:name="_Toc160038307"/>
      <w:bookmarkStart w:id="96" w:name="_Toc161400025"/>
      <w:r>
        <w:t>3.2.</w:t>
      </w:r>
      <w:r w:rsidR="00974AFD">
        <w:t>2</w:t>
      </w:r>
      <w:r>
        <w:tab/>
      </w:r>
      <w:r w:rsidR="000E7DAD">
        <w:t xml:space="preserve"> </w:t>
      </w:r>
      <w:r>
        <w:t>Our assessment of measures and targets</w:t>
      </w:r>
      <w:bookmarkEnd w:id="95"/>
      <w:bookmarkEnd w:id="96"/>
    </w:p>
    <w:p w14:paraId="226D3E7B" w14:textId="77777777" w:rsidR="00D4099D" w:rsidRDefault="00D4099D" w:rsidP="00D4099D">
      <w:r>
        <w:t xml:space="preserve">Goulburn-Murray Water proposed a set of </w:t>
      </w:r>
      <w:r w:rsidRPr="006A45E9">
        <w:t>27</w:t>
      </w:r>
      <w:r>
        <w:t xml:space="preserve"> measures and targets that it will use to report on performance across the </w:t>
      </w:r>
      <w:r w:rsidRPr="006A45E9">
        <w:t>six outcomes.</w:t>
      </w:r>
      <w:r>
        <w:t xml:space="preserve"> These are set out </w:t>
      </w:r>
      <w:r w:rsidRPr="006A45E9">
        <w:t xml:space="preserve">in Appendix 5 </w:t>
      </w:r>
      <w:r>
        <w:t>on pages </w:t>
      </w:r>
      <w:r w:rsidRPr="006A45E9">
        <w:t>105 to 106 of its price submission.</w:t>
      </w:r>
      <w:r>
        <w:t xml:space="preserve"> Performance against these measures will inform our assessment during future price reviews.</w:t>
      </w:r>
    </w:p>
    <w:p w14:paraId="5402B220" w14:textId="77777777" w:rsidR="00EE4C3A" w:rsidRDefault="00D4099D" w:rsidP="00EE4C3A">
      <w:r>
        <w:t>We</w:t>
      </w:r>
      <w:r w:rsidR="00EE4C3A">
        <w:t xml:space="preserve"> have assessed Goulburn-Murray Water’s proposed measures </w:t>
      </w:r>
      <w:r w:rsidR="00EE4C3A" w:rsidRPr="001C5375">
        <w:t>against the criteria set out in our guidance which states that proposed output measures for each outcome must:</w:t>
      </w:r>
    </w:p>
    <w:p w14:paraId="06784D5F" w14:textId="77777777" w:rsidR="00EE4C3A" w:rsidRPr="001C5375" w:rsidRDefault="00EE4C3A" w:rsidP="00821A3A">
      <w:pPr>
        <w:pStyle w:val="ListBullet"/>
      </w:pPr>
      <w:r w:rsidRPr="001C5375">
        <w:t>be relevant to, or be a reasonable proxy for, the delivery of the outcome they represent</w:t>
      </w:r>
    </w:p>
    <w:p w14:paraId="503CDD86" w14:textId="77777777" w:rsidR="00EE4C3A" w:rsidRPr="001C5375" w:rsidRDefault="00EE4C3A" w:rsidP="00821A3A">
      <w:pPr>
        <w:pStyle w:val="ListBullet"/>
      </w:pPr>
      <w:r w:rsidRPr="001C5375">
        <w:t>be measurable</w:t>
      </w:r>
    </w:p>
    <w:p w14:paraId="4A0B375E" w14:textId="77777777" w:rsidR="00EE4C3A" w:rsidRPr="001C5375" w:rsidRDefault="00EE4C3A" w:rsidP="00821A3A">
      <w:pPr>
        <w:pStyle w:val="ListBullet"/>
      </w:pPr>
      <w:r w:rsidRPr="001C5375">
        <w:t>be clearly defined and unambiguous</w:t>
      </w:r>
    </w:p>
    <w:p w14:paraId="2B57FB40" w14:textId="77777777" w:rsidR="00EE4C3A" w:rsidRPr="001C5375" w:rsidRDefault="00EE4C3A" w:rsidP="00821A3A">
      <w:pPr>
        <w:pStyle w:val="ListBullet"/>
      </w:pPr>
      <w:r w:rsidRPr="001C5375">
        <w:t>be easy for customers to understand</w:t>
      </w:r>
    </w:p>
    <w:p w14:paraId="694E8184" w14:textId="77777777" w:rsidR="00EE4C3A" w:rsidRPr="001C5375" w:rsidRDefault="00EE4C3A" w:rsidP="00821A3A">
      <w:pPr>
        <w:pStyle w:val="ListBullet"/>
      </w:pPr>
      <w:r w:rsidRPr="001C5375">
        <w:t>have performance targets listed for each year of the regulatory period.</w:t>
      </w:r>
      <w:r w:rsidRPr="000C7A11">
        <w:rPr>
          <w:rStyle w:val="FootnoteReference"/>
        </w:rPr>
        <w:footnoteReference w:id="31"/>
      </w:r>
    </w:p>
    <w:p w14:paraId="03CB98CC" w14:textId="77777777" w:rsidR="00EE4C3A" w:rsidRPr="00E16F74" w:rsidRDefault="00EE4C3A" w:rsidP="00EE4C3A">
      <w:r w:rsidRPr="00E16F74">
        <w:t xml:space="preserve">Evidence provided by Goulburn-Murray Water demonstrates that its measures and targets were developed in consultation with its customers, and that they are supported by its customers. Its performance measures and targets were developed in response to customer feedback, through its customer Water Service Committee, various customer workshops, and via its ‘YourSay@GMW’ surveys. </w:t>
      </w:r>
      <w:r w:rsidR="007D179D" w:rsidRPr="00E16F74">
        <w:t xml:space="preserve">We received a customer submission </w:t>
      </w:r>
      <w:r w:rsidRPr="00E16F74">
        <w:t>commending Goulburn-Murray Water for incorporating customer feedback into its outcomes.</w:t>
      </w:r>
      <w:r w:rsidRPr="00E16F74">
        <w:rPr>
          <w:rStyle w:val="FootnoteReference"/>
        </w:rPr>
        <w:footnoteReference w:id="32"/>
      </w:r>
    </w:p>
    <w:p w14:paraId="34B1768B" w14:textId="4CC1C9EC" w:rsidR="00D4099D" w:rsidRPr="0079721D" w:rsidRDefault="00D4099D" w:rsidP="00D4099D">
      <w:pPr>
        <w:rPr>
          <w:highlight w:val="darkGray"/>
        </w:rPr>
      </w:pPr>
      <w:r w:rsidRPr="00983039">
        <w:t xml:space="preserve">However, we received six submissions from unregulated diverters raising concerns that </w:t>
      </w:r>
      <w:r w:rsidR="006621E7">
        <w:br/>
      </w:r>
      <w:r w:rsidRPr="00983039">
        <w:t>Goulburn-Murray Water’s proposed outcomes do not adequately capture the requirements of domestic and stock water customers, particularly for its ‘fair pricing’ outcome.</w:t>
      </w:r>
      <w:r w:rsidRPr="00983039">
        <w:rPr>
          <w:rStyle w:val="FootnoteReference"/>
        </w:rPr>
        <w:footnoteReference w:id="33"/>
      </w:r>
      <w:r w:rsidRPr="00983039">
        <w:t xml:space="preserve"> Our draft decision </w:t>
      </w:r>
      <w:r w:rsidRPr="00983039">
        <w:lastRenderedPageBreak/>
        <w:t xml:space="preserve">on service </w:t>
      </w:r>
      <w:r w:rsidRPr="009B4206">
        <w:t xml:space="preserve">point fees addresses </w:t>
      </w:r>
      <w:r w:rsidR="00813C60" w:rsidRPr="009B4206">
        <w:t>several</w:t>
      </w:r>
      <w:r w:rsidRPr="009B4206">
        <w:t xml:space="preserve"> issues raised by unregulated diverters on the tariff structure and level of these fees – refer to Chapter 10. </w:t>
      </w:r>
    </w:p>
    <w:p w14:paraId="171D8153" w14:textId="0C6ABC6A" w:rsidR="008E1E08" w:rsidRPr="00DD41B4" w:rsidRDefault="008E1E08" w:rsidP="008E1E08">
      <w:r w:rsidRPr="00D21F81">
        <w:t>Generally, we consider Goulburn-Murray Water’s intentions are clear, and its measures and targets will provide a sound basis to track performance and delivery against each outcome</w:t>
      </w:r>
      <w:r w:rsidR="00CA0275" w:rsidRPr="00D21F81">
        <w:t>.</w:t>
      </w:r>
      <w:r w:rsidRPr="00D21F81">
        <w:t xml:space="preserve"> </w:t>
      </w:r>
      <w:r w:rsidR="006F0F1A" w:rsidRPr="00D21F81">
        <w:t>However, s</w:t>
      </w:r>
      <w:r w:rsidR="0061076B" w:rsidRPr="00D21F81">
        <w:t xml:space="preserve">ome of Goulburn-Murray Water’s proposed outcome measures and targets were not presented in a manner consistent with our guidance requirements. </w:t>
      </w:r>
      <w:r w:rsidRPr="00D21F81">
        <w:t xml:space="preserve">We have </w:t>
      </w:r>
      <w:r w:rsidR="0061076B" w:rsidRPr="00D21F81">
        <w:t>worked wi</w:t>
      </w:r>
      <w:r w:rsidR="00023C98" w:rsidRPr="00D21F81">
        <w:t xml:space="preserve">th </w:t>
      </w:r>
      <w:r w:rsidR="00B73E05" w:rsidRPr="00D21F81">
        <w:t xml:space="preserve">Goulburn-Murray Water </w:t>
      </w:r>
      <w:r w:rsidRPr="00D21F81">
        <w:t>to final</w:t>
      </w:r>
      <w:r w:rsidR="004E0F17" w:rsidRPr="00D21F81">
        <w:t>ise its outcomes and</w:t>
      </w:r>
      <w:r w:rsidRPr="00D21F81">
        <w:t xml:space="preserve"> </w:t>
      </w:r>
      <w:r w:rsidR="004613DE" w:rsidRPr="00D21F81">
        <w:t>measures</w:t>
      </w:r>
      <w:r w:rsidR="00E747C1" w:rsidRPr="00D21F81">
        <w:t>, and consider it</w:t>
      </w:r>
      <w:r w:rsidR="004613DE" w:rsidRPr="00D21F81">
        <w:t>s</w:t>
      </w:r>
      <w:r w:rsidRPr="00D21F81">
        <w:t xml:space="preserve"> final </w:t>
      </w:r>
      <w:r w:rsidR="004613DE" w:rsidRPr="00D21F81">
        <w:t xml:space="preserve">outcome </w:t>
      </w:r>
      <w:r w:rsidRPr="00D21F81">
        <w:t>set complies with our guidance requirements.</w:t>
      </w:r>
    </w:p>
    <w:p w14:paraId="61F703EC" w14:textId="77777777" w:rsidR="008E1E08" w:rsidRPr="00DD41B4" w:rsidRDefault="008E1E08" w:rsidP="008E1E08">
      <w:r w:rsidRPr="00DD41B4">
        <w:t>Goulburn-Murray Water has committed to reporting annually to customers via its website on how it has performed against its outcome commitments.</w:t>
      </w:r>
      <w:r w:rsidRPr="00DD41B4">
        <w:rPr>
          <w:rStyle w:val="FootnoteReference"/>
        </w:rPr>
        <w:footnoteReference w:id="34"/>
      </w:r>
    </w:p>
    <w:p w14:paraId="5C5E6C78" w14:textId="25115908" w:rsidR="00D4099D" w:rsidRDefault="002A06BB" w:rsidP="00D4099D">
      <w:r w:rsidRPr="00DD41B4">
        <w:t xml:space="preserve">Based on the above, </w:t>
      </w:r>
      <w:r w:rsidR="00335835" w:rsidRPr="00DD41B4">
        <w:t>o</w:t>
      </w:r>
      <w:r w:rsidR="00D4099D" w:rsidRPr="00DD41B4">
        <w:t>ur draft decision accepts Goulburn-Murray Water’s self-assessment of ‘Standard’ for the ‘Outcome’ element of PREMO, which is discussed further in Chapter </w:t>
      </w:r>
      <w:r w:rsidR="00CD0C0D">
        <w:t>16</w:t>
      </w:r>
      <w:r w:rsidR="00D4099D" w:rsidRPr="00DD41B4">
        <w:t>.</w:t>
      </w:r>
    </w:p>
    <w:p w14:paraId="5910313B" w14:textId="008EFAA9" w:rsidR="00C66654" w:rsidRDefault="00C66654" w:rsidP="00C66654">
      <w:pPr>
        <w:pStyle w:val="Heading2"/>
      </w:pPr>
      <w:bookmarkStart w:id="97" w:name="_Toc130483272"/>
      <w:bookmarkStart w:id="98" w:name="_Toc161400026"/>
      <w:r>
        <w:t>3.3</w:t>
      </w:r>
      <w:r>
        <w:tab/>
        <w:t>Service standards related to service reliability and faults</w:t>
      </w:r>
      <w:bookmarkEnd w:id="97"/>
      <w:bookmarkEnd w:id="98"/>
      <w:r w:rsidR="002A5727" w:rsidRPr="008D3F83">
        <w:t xml:space="preserve"> </w:t>
      </w:r>
    </w:p>
    <w:p w14:paraId="7AC9EE71" w14:textId="31E702EC" w:rsidR="00DE190F" w:rsidRDefault="00DE190F" w:rsidP="00DE190F">
      <w:pPr>
        <w:rPr>
          <w:rFonts w:ascii="Arial" w:hAnsi="Arial" w:cs="Arial"/>
        </w:rPr>
      </w:pPr>
      <w:r w:rsidRPr="001E0D95">
        <w:rPr>
          <w:rFonts w:ascii="Arial" w:hAnsi="Arial" w:cs="Arial"/>
        </w:rPr>
        <w:t xml:space="preserve">Service </w:t>
      </w:r>
      <w:r>
        <w:rPr>
          <w:rFonts w:ascii="Arial" w:hAnsi="Arial" w:cs="Arial"/>
        </w:rPr>
        <w:t>s</w:t>
      </w:r>
      <w:r w:rsidRPr="001E0D95">
        <w:rPr>
          <w:rFonts w:ascii="Arial" w:hAnsi="Arial" w:cs="Arial"/>
        </w:rPr>
        <w:t xml:space="preserve">tandards are a common set of services applicable to all Victorian consumers required under </w:t>
      </w:r>
      <w:r w:rsidRPr="00CC584D">
        <w:rPr>
          <w:rFonts w:ascii="Arial" w:hAnsi="Arial" w:cs="Arial"/>
        </w:rPr>
        <w:t xml:space="preserve">clause 1.5 of the </w:t>
      </w:r>
      <w:r w:rsidRPr="00CC584D">
        <w:rPr>
          <w:rFonts w:ascii="Arial" w:hAnsi="Arial" w:cs="Arial"/>
          <w:i/>
        </w:rPr>
        <w:t xml:space="preserve">Water Industry Standard – Rural Customer Service </w:t>
      </w:r>
      <w:r w:rsidRPr="00CC584D">
        <w:rPr>
          <w:rFonts w:ascii="Arial" w:hAnsi="Arial" w:cs="Arial"/>
        </w:rPr>
        <w:t>(Water Industry Standard)</w:t>
      </w:r>
      <w:r w:rsidRPr="001E0D95">
        <w:rPr>
          <w:rFonts w:ascii="Arial" w:hAnsi="Arial" w:cs="Arial"/>
        </w:rPr>
        <w:t xml:space="preserve">. Each water business must specify its own </w:t>
      </w:r>
      <w:r>
        <w:rPr>
          <w:rFonts w:ascii="Arial" w:hAnsi="Arial" w:cs="Arial"/>
        </w:rPr>
        <w:t>service level</w:t>
      </w:r>
      <w:r w:rsidRPr="001E0D95">
        <w:rPr>
          <w:rFonts w:ascii="Arial" w:hAnsi="Arial" w:cs="Arial"/>
        </w:rPr>
        <w:t xml:space="preserve">s against each of these </w:t>
      </w:r>
      <w:r>
        <w:rPr>
          <w:rFonts w:ascii="Arial" w:hAnsi="Arial" w:cs="Arial"/>
        </w:rPr>
        <w:t>s</w:t>
      </w:r>
      <w:r w:rsidRPr="001E0D95">
        <w:rPr>
          <w:rFonts w:ascii="Arial" w:hAnsi="Arial" w:cs="Arial"/>
        </w:rPr>
        <w:t xml:space="preserve">ervice </w:t>
      </w:r>
      <w:r>
        <w:rPr>
          <w:rFonts w:ascii="Arial" w:hAnsi="Arial" w:cs="Arial"/>
        </w:rPr>
        <w:t>s</w:t>
      </w:r>
      <w:r w:rsidRPr="001E0D95">
        <w:rPr>
          <w:rFonts w:ascii="Arial" w:hAnsi="Arial" w:cs="Arial"/>
        </w:rPr>
        <w:t xml:space="preserve">tandards. Rather than performance measures, these </w:t>
      </w:r>
      <w:r>
        <w:rPr>
          <w:rFonts w:ascii="Arial" w:hAnsi="Arial" w:cs="Arial"/>
        </w:rPr>
        <w:t>s</w:t>
      </w:r>
      <w:r w:rsidRPr="001E0D95">
        <w:rPr>
          <w:rFonts w:ascii="Arial" w:hAnsi="Arial" w:cs="Arial"/>
        </w:rPr>
        <w:t xml:space="preserve">ervice </w:t>
      </w:r>
      <w:r>
        <w:rPr>
          <w:rFonts w:ascii="Arial" w:hAnsi="Arial" w:cs="Arial"/>
        </w:rPr>
        <w:t>s</w:t>
      </w:r>
      <w:r w:rsidRPr="001E0D95">
        <w:rPr>
          <w:rFonts w:ascii="Arial" w:hAnsi="Arial" w:cs="Arial"/>
        </w:rPr>
        <w:t xml:space="preserve">tandards and corresponding service levels are the minimum level of service customers can expect to receive. </w:t>
      </w:r>
    </w:p>
    <w:p w14:paraId="2FCD6E2C" w14:textId="77777777" w:rsidR="00DE190F" w:rsidRPr="00180FE2" w:rsidRDefault="00DE190F" w:rsidP="00DE190F">
      <w:pPr>
        <w:rPr>
          <w:rFonts w:ascii="Arial" w:eastAsia="Calibri" w:hAnsi="Arial" w:cs="Arial"/>
        </w:rPr>
      </w:pPr>
      <w:r w:rsidRPr="00180FE2">
        <w:rPr>
          <w:rFonts w:ascii="Arial" w:eastAsia="Calibri" w:hAnsi="Arial" w:cs="Arial"/>
        </w:rPr>
        <w:t xml:space="preserve">Goulburn-Murray Water’s proposed service standards can be found on </w:t>
      </w:r>
      <w:r w:rsidRPr="004F6226">
        <w:rPr>
          <w:rFonts w:ascii="Arial" w:eastAsia="Calibri" w:hAnsi="Arial" w:cs="Arial"/>
        </w:rPr>
        <w:t>pages 45 to 46</w:t>
      </w:r>
      <w:r w:rsidRPr="00180FE2">
        <w:rPr>
          <w:rFonts w:ascii="Arial" w:eastAsia="Calibri" w:hAnsi="Arial" w:cs="Arial"/>
        </w:rPr>
        <w:t xml:space="preserve"> of its price submission. </w:t>
      </w:r>
    </w:p>
    <w:p w14:paraId="30C1E3D9" w14:textId="00A466AF" w:rsidR="00E21C93" w:rsidRDefault="00DE190F" w:rsidP="00EB0FB2">
      <w:pPr>
        <w:rPr>
          <w:rFonts w:ascii="Arial" w:eastAsia="Calibri" w:hAnsi="Arial" w:cs="Arial"/>
        </w:rPr>
      </w:pPr>
      <w:r w:rsidRPr="00003EAF">
        <w:rPr>
          <w:rFonts w:ascii="Arial" w:eastAsia="Calibri" w:hAnsi="Arial" w:cs="Arial"/>
        </w:rPr>
        <w:t xml:space="preserve">Goulburn-Murray Water proposed retaining the majority of its current service standards with some wording changes for </w:t>
      </w:r>
      <w:r w:rsidRPr="00D21F81">
        <w:rPr>
          <w:rFonts w:ascii="Arial" w:eastAsia="Calibri" w:hAnsi="Arial" w:cs="Arial"/>
        </w:rPr>
        <w:t>consistency.</w:t>
      </w:r>
      <w:r w:rsidR="003F3DF5" w:rsidRPr="00D21F81">
        <w:rPr>
          <w:rStyle w:val="FootnoteReference"/>
          <w:rFonts w:ascii="Arial" w:eastAsia="Calibri" w:hAnsi="Arial" w:cs="Arial"/>
        </w:rPr>
        <w:t xml:space="preserve"> </w:t>
      </w:r>
      <w:r w:rsidR="003F3DF5" w:rsidRPr="00D21F81">
        <w:rPr>
          <w:rStyle w:val="FootnoteReference"/>
          <w:rFonts w:ascii="Arial" w:eastAsia="Calibri" w:hAnsi="Arial" w:cs="Arial"/>
        </w:rPr>
        <w:footnoteReference w:id="35"/>
      </w:r>
      <w:r w:rsidR="003F3DF5" w:rsidRPr="00D21F81">
        <w:rPr>
          <w:rFonts w:ascii="Arial" w:eastAsia="Calibri" w:hAnsi="Arial" w:cs="Arial"/>
        </w:rPr>
        <w:t xml:space="preserve">  </w:t>
      </w:r>
      <w:r w:rsidRPr="00D21F81">
        <w:rPr>
          <w:rFonts w:ascii="Arial" w:eastAsia="Calibri" w:hAnsi="Arial" w:cs="Arial"/>
        </w:rPr>
        <w:t xml:space="preserve"> </w:t>
      </w:r>
      <w:r w:rsidR="00EB0FB2" w:rsidRPr="00D21F81">
        <w:rPr>
          <w:rFonts w:ascii="Arial" w:eastAsia="Calibri" w:hAnsi="Arial" w:cs="Arial"/>
        </w:rPr>
        <w:t xml:space="preserve">It has </w:t>
      </w:r>
      <w:r w:rsidR="00372360" w:rsidRPr="00D21F81">
        <w:rPr>
          <w:rFonts w:ascii="Arial" w:eastAsia="Calibri" w:hAnsi="Arial" w:cs="Arial"/>
        </w:rPr>
        <w:t xml:space="preserve">proposed </w:t>
      </w:r>
      <w:r w:rsidR="00EB0FB2" w:rsidRPr="00D21F81">
        <w:rPr>
          <w:rFonts w:ascii="Arial" w:eastAsia="Calibri" w:hAnsi="Arial" w:cs="Arial"/>
        </w:rPr>
        <w:t>remov</w:t>
      </w:r>
      <w:r w:rsidR="00372360" w:rsidRPr="00D21F81">
        <w:rPr>
          <w:rFonts w:ascii="Arial" w:eastAsia="Calibri" w:hAnsi="Arial" w:cs="Arial"/>
        </w:rPr>
        <w:t>ing</w:t>
      </w:r>
      <w:r w:rsidR="00EB0FB2" w:rsidRPr="00D21F81">
        <w:rPr>
          <w:rFonts w:ascii="Arial" w:eastAsia="Calibri" w:hAnsi="Arial" w:cs="Arial"/>
        </w:rPr>
        <w:t xml:space="preserve"> a service standard</w:t>
      </w:r>
      <w:r w:rsidR="00065261" w:rsidRPr="00D21F81">
        <w:rPr>
          <w:rFonts w:ascii="Arial" w:eastAsia="Calibri" w:hAnsi="Arial" w:cs="Arial"/>
        </w:rPr>
        <w:t xml:space="preserve"> for a service </w:t>
      </w:r>
      <w:r w:rsidR="00EA6F0A" w:rsidRPr="00D21F81">
        <w:rPr>
          <w:rFonts w:ascii="Arial" w:eastAsia="Calibri" w:hAnsi="Arial" w:cs="Arial"/>
        </w:rPr>
        <w:t>now provided by the Department of Environment, Land</w:t>
      </w:r>
      <w:r w:rsidR="00311B7A" w:rsidRPr="00D21F81">
        <w:rPr>
          <w:rFonts w:ascii="Arial" w:eastAsia="Calibri" w:hAnsi="Arial" w:cs="Arial"/>
        </w:rPr>
        <w:t>, Water and Planning</w:t>
      </w:r>
      <w:r w:rsidR="00EB0FB2" w:rsidRPr="00D21F81">
        <w:rPr>
          <w:rFonts w:ascii="Arial" w:eastAsia="Calibri" w:hAnsi="Arial" w:cs="Arial"/>
        </w:rPr>
        <w:t>.</w:t>
      </w:r>
      <w:r w:rsidR="000D573A" w:rsidRPr="00D21F81">
        <w:rPr>
          <w:rStyle w:val="FootnoteReference"/>
          <w:rFonts w:ascii="Arial" w:eastAsia="Calibri" w:hAnsi="Arial" w:cs="Arial"/>
        </w:rPr>
        <w:footnoteReference w:id="36"/>
      </w:r>
      <w:r w:rsidR="00EB0FB2" w:rsidRPr="00D21F81">
        <w:rPr>
          <w:rFonts w:ascii="Arial" w:eastAsia="Calibri" w:hAnsi="Arial" w:cs="Arial"/>
        </w:rPr>
        <w:t xml:space="preserve"> It </w:t>
      </w:r>
      <w:r w:rsidR="00097CB3" w:rsidRPr="00D21F81">
        <w:rPr>
          <w:rFonts w:ascii="Arial" w:eastAsia="Calibri" w:hAnsi="Arial" w:cs="Arial"/>
        </w:rPr>
        <w:t>proposed replacing</w:t>
      </w:r>
      <w:r w:rsidR="00EB0FB2" w:rsidRPr="00D21F81">
        <w:rPr>
          <w:rFonts w:ascii="Arial" w:eastAsia="Calibri" w:hAnsi="Arial" w:cs="Arial"/>
        </w:rPr>
        <w:t xml:space="preserve"> one service standard relating to complaints with a </w:t>
      </w:r>
      <w:r w:rsidR="003A0AA3" w:rsidRPr="00D21F81">
        <w:rPr>
          <w:rFonts w:ascii="Arial" w:eastAsia="Calibri" w:hAnsi="Arial" w:cs="Arial"/>
        </w:rPr>
        <w:t xml:space="preserve">service </w:t>
      </w:r>
      <w:r w:rsidR="00EB0FB2" w:rsidRPr="00D21F81">
        <w:rPr>
          <w:rFonts w:ascii="Arial" w:eastAsia="Calibri" w:hAnsi="Arial" w:cs="Arial"/>
        </w:rPr>
        <w:t>measure that will inform its performance against Outcome 2 - Credible Business.</w:t>
      </w:r>
      <w:r w:rsidR="00FD6FF2" w:rsidRPr="00D21F81">
        <w:rPr>
          <w:rStyle w:val="FootnoteReference"/>
          <w:rFonts w:ascii="Arial" w:eastAsia="Calibri" w:hAnsi="Arial" w:cs="Arial"/>
        </w:rPr>
        <w:footnoteReference w:id="37"/>
      </w:r>
      <w:r w:rsidR="00694167" w:rsidRPr="00D21F81">
        <w:rPr>
          <w:rFonts w:ascii="Arial" w:eastAsia="Calibri" w:hAnsi="Arial" w:cs="Arial"/>
        </w:rPr>
        <w:t>.</w:t>
      </w:r>
      <w:r w:rsidR="003D50B8">
        <w:rPr>
          <w:rFonts w:ascii="Arial" w:eastAsia="Calibri" w:hAnsi="Arial" w:cs="Arial"/>
        </w:rPr>
        <w:t xml:space="preserve"> </w:t>
      </w:r>
      <w:r w:rsidR="00E21C93">
        <w:rPr>
          <w:rFonts w:ascii="Arial" w:eastAsia="Calibri" w:hAnsi="Arial" w:cs="Arial"/>
        </w:rPr>
        <w:t xml:space="preserve"> </w:t>
      </w:r>
    </w:p>
    <w:p w14:paraId="7708510B" w14:textId="7EA08D7D" w:rsidR="00DE190F" w:rsidRPr="00003EAF" w:rsidRDefault="00E21C93" w:rsidP="00DE190F">
      <w:pPr>
        <w:rPr>
          <w:rFonts w:ascii="Arial" w:eastAsia="Calibri" w:hAnsi="Arial" w:cs="Arial"/>
        </w:rPr>
      </w:pPr>
      <w:r>
        <w:rPr>
          <w:rFonts w:ascii="Arial" w:eastAsia="Calibri" w:hAnsi="Arial" w:cs="Arial"/>
        </w:rPr>
        <w:lastRenderedPageBreak/>
        <w:t>All</w:t>
      </w:r>
      <w:r w:rsidR="004F4484" w:rsidRPr="00003EAF">
        <w:rPr>
          <w:rFonts w:ascii="Arial" w:eastAsia="Calibri" w:hAnsi="Arial" w:cs="Arial"/>
        </w:rPr>
        <w:t xml:space="preserve"> </w:t>
      </w:r>
      <w:r w:rsidR="00DE190F" w:rsidRPr="00003EAF">
        <w:rPr>
          <w:rFonts w:ascii="Arial" w:eastAsia="Calibri" w:hAnsi="Arial" w:cs="Arial"/>
        </w:rPr>
        <w:t>proposed changes were informed by customer feedback gathered in its initial engagement stages</w:t>
      </w:r>
      <w:r w:rsidR="00DA2ED2" w:rsidRPr="00003EAF">
        <w:rPr>
          <w:rFonts w:ascii="Arial" w:eastAsia="Calibri" w:hAnsi="Arial" w:cs="Arial"/>
        </w:rPr>
        <w:t>,</w:t>
      </w:r>
      <w:r w:rsidR="00DE190F" w:rsidRPr="00003EAF">
        <w:rPr>
          <w:rFonts w:ascii="Arial" w:eastAsia="Calibri" w:hAnsi="Arial" w:cs="Arial"/>
        </w:rPr>
        <w:t xml:space="preserve"> which was then widely tested. </w:t>
      </w:r>
    </w:p>
    <w:p w14:paraId="151A02A4" w14:textId="722C4C7E" w:rsidR="00DE190F" w:rsidRPr="00003EAF" w:rsidRDefault="00DE190F" w:rsidP="00DE190F">
      <w:pPr>
        <w:rPr>
          <w:rFonts w:ascii="Arial" w:eastAsia="Calibri" w:hAnsi="Arial" w:cs="Arial"/>
        </w:rPr>
      </w:pPr>
      <w:r w:rsidRPr="00003EAF">
        <w:rPr>
          <w:rFonts w:ascii="Arial" w:eastAsia="Calibri" w:hAnsi="Arial" w:cs="Arial"/>
        </w:rPr>
        <w:t>Goulburn-Murray Water propose</w:t>
      </w:r>
      <w:r w:rsidR="00453773" w:rsidRPr="00003EAF">
        <w:rPr>
          <w:rFonts w:ascii="Arial" w:eastAsia="Calibri" w:hAnsi="Arial" w:cs="Arial"/>
        </w:rPr>
        <w:t>d</w:t>
      </w:r>
      <w:r w:rsidRPr="00003EAF">
        <w:rPr>
          <w:rFonts w:ascii="Arial" w:eastAsia="Calibri" w:hAnsi="Arial" w:cs="Arial"/>
        </w:rPr>
        <w:t xml:space="preserve"> to: </w:t>
      </w:r>
    </w:p>
    <w:p w14:paraId="21E419EF" w14:textId="287F7B48" w:rsidR="00DE190F" w:rsidRPr="00003EAF" w:rsidRDefault="00DE190F" w:rsidP="00821A3A">
      <w:pPr>
        <w:pStyle w:val="ListBullet"/>
      </w:pPr>
      <w:r w:rsidRPr="00003EAF">
        <w:t xml:space="preserve">introduce a standard to maintain the channel level flow rate within a 40mm range of the required supply level (gravity irrigation supply) </w:t>
      </w:r>
    </w:p>
    <w:p w14:paraId="46C39CD2" w14:textId="102DA7DB" w:rsidR="00DE190F" w:rsidRPr="00003EAF" w:rsidRDefault="00443696" w:rsidP="00821A3A">
      <w:pPr>
        <w:pStyle w:val="ListBullet"/>
      </w:pPr>
      <w:r w:rsidRPr="00003EAF">
        <w:t>i</w:t>
      </w:r>
      <w:r w:rsidR="00DE190F" w:rsidRPr="00003EAF">
        <w:t>ntroduce a service standard in relation to advising urban water suppliers of potential water quality risk (bulk water quality)</w:t>
      </w:r>
    </w:p>
    <w:p w14:paraId="59640A91" w14:textId="40EB133D" w:rsidR="00DE190F" w:rsidRPr="00003EAF" w:rsidRDefault="00443696" w:rsidP="00821A3A">
      <w:pPr>
        <w:pStyle w:val="ListBullet"/>
      </w:pPr>
      <w:r w:rsidRPr="00003EAF">
        <w:t>i</w:t>
      </w:r>
      <w:r w:rsidR="00DE190F" w:rsidRPr="00003EAF">
        <w:t xml:space="preserve">ntroduce a service standard to monitor the processing of groundwater applications (general licensing) </w:t>
      </w:r>
    </w:p>
    <w:p w14:paraId="6DF63431" w14:textId="17DBE549" w:rsidR="00DE190F" w:rsidRPr="00003EAF" w:rsidRDefault="00443696" w:rsidP="00821A3A">
      <w:pPr>
        <w:pStyle w:val="ListBullet"/>
      </w:pPr>
      <w:r w:rsidRPr="00003EAF">
        <w:t>r</w:t>
      </w:r>
      <w:r w:rsidR="00DE190F" w:rsidRPr="00003EAF">
        <w:t xml:space="preserve">emove service standard </w:t>
      </w:r>
      <w:r w:rsidRPr="00003EAF">
        <w:t>‘</w:t>
      </w:r>
      <w:r w:rsidR="00DE190F" w:rsidRPr="00003EAF">
        <w:t>diversions customers have access to water resource monitoring data within two weeks of data being submitted by monitoring contractor</w:t>
      </w:r>
      <w:r w:rsidR="005A3DCA">
        <w:t>’</w:t>
      </w:r>
      <w:r w:rsidR="00DE190F" w:rsidRPr="00003EAF">
        <w:t xml:space="preserve"> </w:t>
      </w:r>
    </w:p>
    <w:p w14:paraId="193D1BA3" w14:textId="40591796" w:rsidR="00DE190F" w:rsidRPr="009036EF" w:rsidRDefault="001E76CA" w:rsidP="00821A3A">
      <w:pPr>
        <w:pStyle w:val="ListBullet"/>
      </w:pPr>
      <w:r w:rsidRPr="009036EF">
        <w:t>r</w:t>
      </w:r>
      <w:r w:rsidR="00DE190F" w:rsidRPr="009036EF">
        <w:t xml:space="preserve">emove service standard </w:t>
      </w:r>
      <w:r w:rsidRPr="009036EF">
        <w:t>‘</w:t>
      </w:r>
      <w:r w:rsidR="00DE190F" w:rsidRPr="009036EF">
        <w:t>complaints process managed to the satisfaction of the customer</w:t>
      </w:r>
      <w:r w:rsidR="00633412" w:rsidRPr="009036EF">
        <w:t>’</w:t>
      </w:r>
      <w:r w:rsidR="00702402">
        <w:t>.</w:t>
      </w:r>
      <w:r w:rsidR="00DE190F" w:rsidRPr="009036EF">
        <w:t xml:space="preserve"> </w:t>
      </w:r>
    </w:p>
    <w:p w14:paraId="5859FBFA" w14:textId="77777777" w:rsidR="00DE190F" w:rsidRPr="009036EF" w:rsidRDefault="00DE190F" w:rsidP="00DE190F">
      <w:pPr>
        <w:ind w:left="720"/>
        <w:contextualSpacing/>
        <w:rPr>
          <w:rFonts w:ascii="Arial" w:eastAsia="Calibri" w:hAnsi="Arial" w:cs="Arial"/>
        </w:rPr>
      </w:pPr>
    </w:p>
    <w:p w14:paraId="0F2495C4" w14:textId="784B9746" w:rsidR="00DE190F" w:rsidRPr="004603B7" w:rsidRDefault="00C80992" w:rsidP="00DE190F">
      <w:pPr>
        <w:rPr>
          <w:rFonts w:ascii="Arial" w:hAnsi="Arial" w:cs="Arial"/>
        </w:rPr>
      </w:pPr>
      <w:r w:rsidRPr="009036EF">
        <w:rPr>
          <w:rFonts w:ascii="Arial" w:hAnsi="Arial" w:cs="Arial"/>
        </w:rPr>
        <w:t>Based on</w:t>
      </w:r>
      <w:r w:rsidR="00DE190F" w:rsidRPr="004537E8">
        <w:rPr>
          <w:rFonts w:ascii="Arial" w:hAnsi="Arial" w:cs="Arial"/>
        </w:rPr>
        <w:t xml:space="preserve"> the above, our preliminary assessment is that the service standards relating to reliability and faults proposed by </w:t>
      </w:r>
      <w:r w:rsidR="00DE190F">
        <w:t>Goulburn-Murray Water</w:t>
      </w:r>
      <w:r w:rsidR="00DE190F" w:rsidRPr="004537E8">
        <w:t xml:space="preserve"> </w:t>
      </w:r>
      <w:r w:rsidR="00DE190F" w:rsidRPr="009036EF">
        <w:rPr>
          <w:rFonts w:ascii="Arial" w:hAnsi="Arial" w:cs="Arial"/>
        </w:rPr>
        <w:t>comply</w:t>
      </w:r>
      <w:r w:rsidR="00DE190F" w:rsidRPr="004537E8">
        <w:rPr>
          <w:rFonts w:ascii="Arial" w:hAnsi="Arial" w:cs="Arial"/>
        </w:rPr>
        <w:t xml:space="preserve"> with the</w:t>
      </w:r>
      <w:r w:rsidR="00DE190F">
        <w:rPr>
          <w:rFonts w:ascii="Arial" w:hAnsi="Arial" w:cs="Arial"/>
        </w:rPr>
        <w:t xml:space="preserve"> requirements of the Water Industry Standard. </w:t>
      </w:r>
    </w:p>
    <w:p w14:paraId="099241EB" w14:textId="38642BB8" w:rsidR="00DE190F" w:rsidRDefault="00DE190F" w:rsidP="00DE190F">
      <w:r>
        <w:rPr>
          <w:rFonts w:ascii="Arial" w:hAnsi="Arial" w:cs="Arial"/>
        </w:rPr>
        <w:t xml:space="preserve">Service standards </w:t>
      </w:r>
      <w:r>
        <w:t>are approved in our Water Industry Standard. Accordingly, in early 2024</w:t>
      </w:r>
      <w:r w:rsidR="002A5727">
        <w:t>–</w:t>
      </w:r>
      <w:r>
        <w:t xml:space="preserve">25, we will update the Water Industry Standard to reflect approved </w:t>
      </w:r>
      <w:r>
        <w:rPr>
          <w:rFonts w:ascii="Arial" w:hAnsi="Arial" w:cs="Arial"/>
        </w:rPr>
        <w:t>service standards.</w:t>
      </w:r>
    </w:p>
    <w:p w14:paraId="3143ACA7" w14:textId="3CD00723" w:rsidR="00697FDC" w:rsidRDefault="00977A37" w:rsidP="00F22C01">
      <w:pPr>
        <w:pStyle w:val="Heading2"/>
      </w:pPr>
      <w:bookmarkStart w:id="99" w:name="_Toc161400027"/>
      <w:r>
        <w:t>3.</w:t>
      </w:r>
      <w:r w:rsidR="00C66654">
        <w:t>4</w:t>
      </w:r>
      <w:r>
        <w:tab/>
      </w:r>
      <w:r w:rsidR="00697FDC">
        <w:t>Guaranteed service levels</w:t>
      </w:r>
      <w:bookmarkEnd w:id="99"/>
      <w:r w:rsidR="00D00DA2">
        <w:t xml:space="preserve"> </w:t>
      </w:r>
    </w:p>
    <w:p w14:paraId="4B8E3C42" w14:textId="24267E63" w:rsidR="00190FC8" w:rsidRPr="005B4630" w:rsidRDefault="00697FDC" w:rsidP="00697FDC">
      <w:r w:rsidRPr="005B4630">
        <w:t xml:space="preserve">Guaranteed service levels define a water corporation’s commitment to deliver a specified level of service. </w:t>
      </w:r>
      <w:r w:rsidR="00C9055F" w:rsidRPr="005B4630">
        <w:t xml:space="preserve">Rural </w:t>
      </w:r>
      <w:r w:rsidR="00B96A82">
        <w:t>w</w:t>
      </w:r>
      <w:r w:rsidR="00C9055F" w:rsidRPr="005B4630">
        <w:t xml:space="preserve">ater businesses, </w:t>
      </w:r>
      <w:r w:rsidR="006617D8" w:rsidRPr="005B4630">
        <w:t xml:space="preserve">such as </w:t>
      </w:r>
      <w:r w:rsidR="006F7B39" w:rsidRPr="005B4630">
        <w:t>Goulburn</w:t>
      </w:r>
      <w:r w:rsidR="00150A72" w:rsidRPr="005B4630">
        <w:t>-</w:t>
      </w:r>
      <w:r w:rsidR="006F7B39" w:rsidRPr="005B4630">
        <w:t xml:space="preserve">Murray Water may </w:t>
      </w:r>
      <w:r w:rsidR="00150A72" w:rsidRPr="005B4630">
        <w:t xml:space="preserve">elect </w:t>
      </w:r>
      <w:r w:rsidR="00A75EC9" w:rsidRPr="005B4630">
        <w:t xml:space="preserve">whether or not to </w:t>
      </w:r>
      <w:r w:rsidR="00150A72" w:rsidRPr="005B4630">
        <w:t>implement</w:t>
      </w:r>
      <w:r w:rsidR="00A75EC9" w:rsidRPr="005B4630">
        <w:t xml:space="preserve"> a scheme.</w:t>
      </w:r>
      <w:r w:rsidR="005277AA" w:rsidRPr="005B4630">
        <w:rPr>
          <w:rStyle w:val="FootnoteReference"/>
        </w:rPr>
        <w:footnoteReference w:id="38"/>
      </w:r>
    </w:p>
    <w:p w14:paraId="3C20F919" w14:textId="76060B67" w:rsidR="00A66EE0" w:rsidRPr="00244841" w:rsidRDefault="008F22F4" w:rsidP="00697FDC">
      <w:r w:rsidRPr="005B4630">
        <w:t>Similar to past price reviews, Goulburn</w:t>
      </w:r>
      <w:r w:rsidR="00306064" w:rsidRPr="005B4630">
        <w:t>-</w:t>
      </w:r>
      <w:r w:rsidRPr="005B4630">
        <w:t xml:space="preserve">Murray Water has elected </w:t>
      </w:r>
      <w:r w:rsidR="002666AC" w:rsidRPr="005B4630">
        <w:t xml:space="preserve">to </w:t>
      </w:r>
      <w:r w:rsidR="002666AC" w:rsidRPr="005B4630">
        <w:rPr>
          <w:rStyle w:val="ui-provider"/>
        </w:rPr>
        <w:t xml:space="preserve">continue without a Guaranteed Service Level scheme for this </w:t>
      </w:r>
      <w:r w:rsidR="009E4DBD" w:rsidRPr="005B4630">
        <w:rPr>
          <w:rStyle w:val="ui-provider"/>
        </w:rPr>
        <w:t>four</w:t>
      </w:r>
      <w:r w:rsidR="00525846" w:rsidRPr="005B4630">
        <w:rPr>
          <w:rStyle w:val="ui-provider"/>
        </w:rPr>
        <w:t>-</w:t>
      </w:r>
      <w:r w:rsidR="009E4DBD" w:rsidRPr="005B4630">
        <w:rPr>
          <w:rStyle w:val="ui-provider"/>
        </w:rPr>
        <w:t>year</w:t>
      </w:r>
      <w:r w:rsidR="002666AC" w:rsidRPr="005B4630">
        <w:rPr>
          <w:rStyle w:val="ui-provider"/>
        </w:rPr>
        <w:t xml:space="preserve"> pricing period </w:t>
      </w:r>
      <w:r w:rsidR="009E4DBD" w:rsidRPr="005B4630">
        <w:rPr>
          <w:rStyle w:val="ui-provider"/>
        </w:rPr>
        <w:t>from 1 July 2024.</w:t>
      </w:r>
      <w:r w:rsidR="0074310F">
        <w:rPr>
          <w:rStyle w:val="ui-provider"/>
        </w:rPr>
        <w:t xml:space="preserve"> </w:t>
      </w:r>
      <w:r w:rsidR="000C2610" w:rsidRPr="00244841">
        <w:rPr>
          <w:rStyle w:val="ui-provider"/>
        </w:rPr>
        <w:t>This</w:t>
      </w:r>
      <w:r w:rsidR="0074310F" w:rsidRPr="00244841">
        <w:rPr>
          <w:rStyle w:val="ui-provider"/>
        </w:rPr>
        <w:t xml:space="preserve"> is </w:t>
      </w:r>
      <w:r w:rsidR="00D36C5E" w:rsidRPr="00244841">
        <w:rPr>
          <w:rStyle w:val="ui-provider"/>
        </w:rPr>
        <w:t>consistent</w:t>
      </w:r>
      <w:r w:rsidR="0074310F" w:rsidRPr="00244841">
        <w:rPr>
          <w:rStyle w:val="ui-provider"/>
        </w:rPr>
        <w:t xml:space="preserve"> with </w:t>
      </w:r>
      <w:r w:rsidR="00CD41B0" w:rsidRPr="00244841">
        <w:rPr>
          <w:rStyle w:val="ui-provider"/>
        </w:rPr>
        <w:t xml:space="preserve">the </w:t>
      </w:r>
      <w:r w:rsidR="00D36015" w:rsidRPr="00244841">
        <w:rPr>
          <w:rStyle w:val="ui-provider"/>
        </w:rPr>
        <w:t>approach taken by Victoria’s other</w:t>
      </w:r>
      <w:r w:rsidR="003D5173" w:rsidRPr="00244841">
        <w:rPr>
          <w:rStyle w:val="ui-provider"/>
        </w:rPr>
        <w:t xml:space="preserve"> </w:t>
      </w:r>
      <w:r w:rsidR="00717F36" w:rsidRPr="00244841">
        <w:rPr>
          <w:rStyle w:val="ui-provider"/>
        </w:rPr>
        <w:t>water business that provide</w:t>
      </w:r>
      <w:r w:rsidR="00735F90" w:rsidRPr="00244841">
        <w:rPr>
          <w:rStyle w:val="ui-provider"/>
        </w:rPr>
        <w:t>s</w:t>
      </w:r>
      <w:r w:rsidR="00717F36" w:rsidRPr="00244841">
        <w:rPr>
          <w:rStyle w:val="ui-provider"/>
        </w:rPr>
        <w:t xml:space="preserve"> </w:t>
      </w:r>
      <w:r w:rsidR="00735F90" w:rsidRPr="00244841">
        <w:rPr>
          <w:rStyle w:val="ui-provider"/>
        </w:rPr>
        <w:t xml:space="preserve">only </w:t>
      </w:r>
      <w:r w:rsidR="00D36C5E" w:rsidRPr="00244841">
        <w:rPr>
          <w:rStyle w:val="ui-provider"/>
        </w:rPr>
        <w:t>rural</w:t>
      </w:r>
      <w:r w:rsidR="0074310F" w:rsidRPr="00244841">
        <w:rPr>
          <w:rStyle w:val="ui-provider"/>
        </w:rPr>
        <w:t xml:space="preserve"> water </w:t>
      </w:r>
      <w:r w:rsidR="00717F36" w:rsidRPr="00244841">
        <w:rPr>
          <w:rStyle w:val="ui-provider"/>
        </w:rPr>
        <w:t>services</w:t>
      </w:r>
      <w:r w:rsidR="00D36015" w:rsidRPr="00244841">
        <w:rPr>
          <w:rStyle w:val="ui-provider"/>
        </w:rPr>
        <w:t>,</w:t>
      </w:r>
      <w:r w:rsidR="00DC598E" w:rsidRPr="00244841">
        <w:rPr>
          <w:rStyle w:val="ui-provider"/>
        </w:rPr>
        <w:t xml:space="preserve"> </w:t>
      </w:r>
      <w:r w:rsidR="00D36015" w:rsidRPr="00244841">
        <w:rPr>
          <w:rStyle w:val="ui-provider"/>
        </w:rPr>
        <w:t>which</w:t>
      </w:r>
      <w:r w:rsidR="003D5173" w:rsidRPr="00244841">
        <w:rPr>
          <w:rStyle w:val="ui-provider"/>
        </w:rPr>
        <w:t xml:space="preserve"> we assessed </w:t>
      </w:r>
      <w:r w:rsidR="00A3378D" w:rsidRPr="00244841">
        <w:rPr>
          <w:rStyle w:val="ui-provider"/>
        </w:rPr>
        <w:t xml:space="preserve">and approved </w:t>
      </w:r>
      <w:r w:rsidR="003D5173" w:rsidRPr="00244841">
        <w:rPr>
          <w:rStyle w:val="ui-provider"/>
        </w:rPr>
        <w:t xml:space="preserve">in </w:t>
      </w:r>
      <w:r w:rsidR="00CD41B0" w:rsidRPr="00244841">
        <w:rPr>
          <w:rStyle w:val="ui-provider"/>
        </w:rPr>
        <w:t>2023</w:t>
      </w:r>
      <w:r w:rsidR="00D36C5E" w:rsidRPr="00244841">
        <w:rPr>
          <w:rStyle w:val="ui-provider"/>
        </w:rPr>
        <w:t>.</w:t>
      </w:r>
      <w:r w:rsidR="00FB0732" w:rsidRPr="00244841">
        <w:rPr>
          <w:rStyle w:val="FootnoteReference"/>
        </w:rPr>
        <w:footnoteReference w:id="39"/>
      </w:r>
      <w:r w:rsidR="00D36C5E" w:rsidRPr="00244841">
        <w:rPr>
          <w:rStyle w:val="ui-provider"/>
        </w:rPr>
        <w:t xml:space="preserve"> </w:t>
      </w:r>
    </w:p>
    <w:p w14:paraId="016BFD53" w14:textId="2537E331" w:rsidR="00684979" w:rsidRDefault="00684979" w:rsidP="00684979">
      <w:pPr>
        <w:rPr>
          <w:highlight w:val="cyan"/>
        </w:rPr>
        <w:sectPr w:rsidR="00684979" w:rsidSect="00DB48F2">
          <w:footerReference w:type="default" r:id="rId35"/>
          <w:pgSz w:w="11906" w:h="16838" w:code="9"/>
          <w:pgMar w:top="1134" w:right="1134" w:bottom="1134" w:left="1134" w:header="709" w:footer="692" w:gutter="0"/>
          <w:cols w:space="708"/>
          <w:docGrid w:linePitch="360"/>
        </w:sectPr>
      </w:pPr>
    </w:p>
    <w:p w14:paraId="05917CCF" w14:textId="14E5D61C" w:rsidR="00A66EE0" w:rsidRDefault="00977A37" w:rsidP="00F22C01">
      <w:pPr>
        <w:pStyle w:val="Heading1"/>
        <w:ind w:left="709" w:hanging="709"/>
      </w:pPr>
      <w:bookmarkStart w:id="100" w:name="_Toc161400028"/>
      <w:r>
        <w:lastRenderedPageBreak/>
        <w:t>4.</w:t>
      </w:r>
      <w:r>
        <w:tab/>
      </w:r>
      <w:r w:rsidR="006E5F9F" w:rsidRPr="006E5F9F">
        <w:t>Revenue requirement</w:t>
      </w:r>
      <w:bookmarkEnd w:id="100"/>
      <w:r w:rsidR="00425D23">
        <w:t xml:space="preserve"> </w:t>
      </w:r>
    </w:p>
    <w:p w14:paraId="51D21716" w14:textId="77777777" w:rsidR="008C56F3" w:rsidRDefault="008C56F3" w:rsidP="008C56F3">
      <w:r>
        <w:t>The revenue requirement is the forecast amount a water corporation needs to deliver on customer outcomes, government policy, and obligations monitored by technical regulators including the Environment Protection Authority Victoria and the Department of Health.</w:t>
      </w:r>
      <w:r w:rsidR="00A9068B" w:rsidRPr="009876EB">
        <w:rPr>
          <w:rStyle w:val="FootnoteReference"/>
        </w:rPr>
        <w:footnoteReference w:id="40"/>
      </w:r>
      <w:r w:rsidR="006761A1">
        <w:t xml:space="preserve"> </w:t>
      </w:r>
      <w:r>
        <w:t xml:space="preserve">Along with forecast demand, it is an input to calculating prices. </w:t>
      </w:r>
    </w:p>
    <w:p w14:paraId="03CC9A03" w14:textId="77777777" w:rsidR="00B839B1" w:rsidRDefault="008C56F3" w:rsidP="008C56F3">
      <w:r>
        <w:t>We have used a building block methodology to establish the revenue requirement.</w:t>
      </w:r>
      <w:r w:rsidR="006761A1">
        <w:t xml:space="preserve"> </w:t>
      </w:r>
      <w:r>
        <w:t xml:space="preserve">This chapter outlines our assessment of </w:t>
      </w:r>
      <w:r w:rsidR="00D1620B">
        <w:t>Goulburn-Murray Water</w:t>
      </w:r>
      <w:r>
        <w:t>’s revenue requirement based on the following steps:</w:t>
      </w:r>
    </w:p>
    <w:p w14:paraId="5B3D1199" w14:textId="77777777" w:rsidR="008C56F3" w:rsidRDefault="008C56F3" w:rsidP="00821A3A">
      <w:pPr>
        <w:pStyle w:val="ListBullet"/>
      </w:pPr>
      <w:r>
        <w:t>establish an efficient benchmark level of forecast operating expenditure for the next regulatory period (Section 4.1)</w:t>
      </w:r>
    </w:p>
    <w:p w14:paraId="50D8F060" w14:textId="77777777" w:rsidR="00D01081" w:rsidRDefault="008C56F3" w:rsidP="00821A3A">
      <w:pPr>
        <w:pStyle w:val="ListBullet"/>
      </w:pPr>
      <w:r>
        <w:t>establish an efficient benchmark level of forecast capital expenditure for the next regulatory</w:t>
      </w:r>
      <w:r w:rsidR="00D01081">
        <w:t xml:space="preserve"> </w:t>
      </w:r>
      <w:r w:rsidR="009823DD">
        <w:t>period (Section 4.2)</w:t>
      </w:r>
    </w:p>
    <w:p w14:paraId="2D8A6BE4" w14:textId="77777777" w:rsidR="008C56F3" w:rsidRDefault="008C56F3" w:rsidP="00821A3A">
      <w:pPr>
        <w:pStyle w:val="ListBullet"/>
      </w:pPr>
      <w:r>
        <w:t>roll</w:t>
      </w:r>
      <w:r w:rsidR="006761A1">
        <w:noBreakHyphen/>
      </w:r>
      <w:r>
        <w:t>forward the regulatory asset base (Section 4.3)</w:t>
      </w:r>
    </w:p>
    <w:p w14:paraId="3259DB93" w14:textId="77777777" w:rsidR="008C56F3" w:rsidRDefault="008C56F3" w:rsidP="00821A3A">
      <w:pPr>
        <w:pStyle w:val="ListBullet"/>
      </w:pPr>
      <w:r>
        <w:t>apply a rate of return to the regulatory asset base, calculated using:</w:t>
      </w:r>
    </w:p>
    <w:p w14:paraId="3C4976C3" w14:textId="77777777" w:rsidR="008C56F3" w:rsidRDefault="008C56F3" w:rsidP="00AE305A">
      <w:pPr>
        <w:pStyle w:val="ListBullet2"/>
        <w:numPr>
          <w:ilvl w:val="0"/>
          <w:numId w:val="21"/>
        </w:numPr>
      </w:pPr>
      <w:r>
        <w:t>a benchmark cost of debt estimated using a 10</w:t>
      </w:r>
      <w:r w:rsidR="006761A1">
        <w:noBreakHyphen/>
      </w:r>
      <w:r>
        <w:t>year trailing average approach (Section</w:t>
      </w:r>
      <w:r w:rsidR="008A4CEC">
        <w:t> </w:t>
      </w:r>
      <w:r>
        <w:t>4.4.1)</w:t>
      </w:r>
    </w:p>
    <w:p w14:paraId="695DE0F1" w14:textId="77777777" w:rsidR="008C56F3" w:rsidRDefault="008C56F3" w:rsidP="00AE305A">
      <w:pPr>
        <w:pStyle w:val="ListBullet2"/>
        <w:numPr>
          <w:ilvl w:val="0"/>
          <w:numId w:val="21"/>
        </w:numPr>
      </w:pPr>
      <w:r>
        <w:t xml:space="preserve">a benchmark return on equity value determined by </w:t>
      </w:r>
      <w:r w:rsidR="00D1620B">
        <w:t>Goulburn-Murray Water</w:t>
      </w:r>
      <w:r>
        <w:t>’s PREMO rating (Section</w:t>
      </w:r>
      <w:r w:rsidR="008A4CEC">
        <w:t> </w:t>
      </w:r>
      <w:r>
        <w:t>4.4.2)</w:t>
      </w:r>
    </w:p>
    <w:p w14:paraId="518B700A" w14:textId="77777777" w:rsidR="008C56F3" w:rsidRDefault="008C56F3" w:rsidP="00821A3A">
      <w:pPr>
        <w:pStyle w:val="ListBullet"/>
      </w:pPr>
      <w:r>
        <w:t>establish a return of capital through a regulatory depreciation allowance (Section 4.5)</w:t>
      </w:r>
    </w:p>
    <w:p w14:paraId="6D561E73" w14:textId="77777777" w:rsidR="006E5F9F" w:rsidRDefault="008C56F3" w:rsidP="00821A3A">
      <w:pPr>
        <w:pStyle w:val="ListBullet"/>
      </w:pPr>
      <w:r>
        <w:t>establish a benchmark tax allowance (Section 4.6)</w:t>
      </w:r>
      <w:r w:rsidR="00807E92">
        <w:t>.</w:t>
      </w:r>
    </w:p>
    <w:p w14:paraId="1BDB146C" w14:textId="3EEF031C" w:rsidR="006F796B" w:rsidRDefault="00E93CBF" w:rsidP="00E93CBF">
      <w:pPr>
        <w:pStyle w:val="Pull-out"/>
      </w:pPr>
      <w:r w:rsidRPr="00725510">
        <w:t xml:space="preserve">Our draft decision is to approve </w:t>
      </w:r>
      <w:r w:rsidR="00A31A5C" w:rsidRPr="00725510">
        <w:t xml:space="preserve">a </w:t>
      </w:r>
      <w:r w:rsidRPr="00725510">
        <w:t xml:space="preserve">revenue requirement </w:t>
      </w:r>
      <w:r w:rsidR="00A31A5C" w:rsidRPr="00725510">
        <w:t xml:space="preserve">of </w:t>
      </w:r>
      <w:r w:rsidR="00A31A5C">
        <w:t>$</w:t>
      </w:r>
      <w:r w:rsidR="00616010">
        <w:t>480.3</w:t>
      </w:r>
      <w:r w:rsidR="00A31A5C" w:rsidRPr="00725510">
        <w:t xml:space="preserve"> million</w:t>
      </w:r>
      <w:r w:rsidR="00B71F0D" w:rsidRPr="00725510">
        <w:t xml:space="preserve"> </w:t>
      </w:r>
      <w:r w:rsidR="009823DD" w:rsidRPr="00725510">
        <w:t>for</w:t>
      </w:r>
      <w:r w:rsidR="00B71F0D" w:rsidRPr="00725510">
        <w:t xml:space="preserve"> </w:t>
      </w:r>
      <w:r w:rsidR="00583307" w:rsidRPr="00725510">
        <w:t>G</w:t>
      </w:r>
      <w:r w:rsidR="00546A5D" w:rsidRPr="00725510">
        <w:t>oulb</w:t>
      </w:r>
      <w:r w:rsidR="009E1AD0" w:rsidRPr="00725510">
        <w:t>urn</w:t>
      </w:r>
      <w:r w:rsidR="00F32934">
        <w:t>-</w:t>
      </w:r>
      <w:r w:rsidR="009E1AD0" w:rsidRPr="00725510">
        <w:t>Murray Water</w:t>
      </w:r>
      <w:r w:rsidR="009823DD" w:rsidRPr="00725510">
        <w:t>.</w:t>
      </w:r>
      <w:r w:rsidR="00723BFB" w:rsidRPr="00725510">
        <w:t xml:space="preserve"> </w:t>
      </w:r>
      <w:r w:rsidR="00616010">
        <w:t>This figure is higher than Goulburn</w:t>
      </w:r>
      <w:r w:rsidR="00F32934">
        <w:t>-</w:t>
      </w:r>
      <w:r w:rsidR="00616010">
        <w:t>Murray Water’s proposed revenue requirement of $474.2 million</w:t>
      </w:r>
      <w:r w:rsidR="008D3D9E">
        <w:t xml:space="preserve">, due to our update to </w:t>
      </w:r>
      <w:r w:rsidR="0090552E">
        <w:t>the</w:t>
      </w:r>
      <w:r w:rsidR="00195A11">
        <w:t xml:space="preserve"> long-term </w:t>
      </w:r>
      <w:r w:rsidR="008D3D9E">
        <w:t xml:space="preserve">inflation </w:t>
      </w:r>
      <w:r w:rsidR="00195A11">
        <w:t>estimate</w:t>
      </w:r>
      <w:r w:rsidR="00616010">
        <w:t xml:space="preserve">. </w:t>
      </w:r>
    </w:p>
    <w:p w14:paraId="3EAB236A" w14:textId="503B2E87" w:rsidR="00E1575E" w:rsidRDefault="00E1575E" w:rsidP="00E1575E">
      <w:r>
        <w:t xml:space="preserve">Goulburn-Murray Water proposed a revenue requirement of </w:t>
      </w:r>
      <w:r w:rsidRPr="00F8343D">
        <w:t>$474.2 million over a four</w:t>
      </w:r>
      <w:r w:rsidRPr="00F8343D">
        <w:noBreakHyphen/>
        <w:t xml:space="preserve">year period starting 1 July 2024. Our draft decision approves a revenue requirement of </w:t>
      </w:r>
      <w:r>
        <w:t>$</w:t>
      </w:r>
      <w:r w:rsidR="00616010">
        <w:t>480.3</w:t>
      </w:r>
      <w:r w:rsidRPr="00F8343D">
        <w:t xml:space="preserve"> million</w:t>
      </w:r>
      <w:r>
        <w:t xml:space="preserve"> (Table 4.1), which reflects our assessment of each element of the revenue requirement, including forecast operating and capital expenditure.</w:t>
      </w:r>
      <w:r w:rsidR="00616010">
        <w:t xml:space="preserve"> This amount is higher tha</w:t>
      </w:r>
      <w:r w:rsidR="00EB0E13">
        <w:t>n</w:t>
      </w:r>
      <w:r w:rsidR="00616010">
        <w:t xml:space="preserve"> Goulburn</w:t>
      </w:r>
      <w:r w:rsidR="00D2416B">
        <w:t>-</w:t>
      </w:r>
      <w:r w:rsidR="00616010">
        <w:t xml:space="preserve">Murray Water’s proposed revenue requirement </w:t>
      </w:r>
      <w:r w:rsidR="006A40DF">
        <w:t>as</w:t>
      </w:r>
      <w:r w:rsidR="00616010">
        <w:t xml:space="preserve"> </w:t>
      </w:r>
      <w:r w:rsidR="00DC0ABB">
        <w:t>we have</w:t>
      </w:r>
      <w:r w:rsidR="00616010">
        <w:t xml:space="preserve"> adjusted </w:t>
      </w:r>
      <w:r w:rsidR="008C4EF1">
        <w:t>our</w:t>
      </w:r>
      <w:r w:rsidR="00616010">
        <w:t xml:space="preserve"> long</w:t>
      </w:r>
      <w:r w:rsidR="00645328">
        <w:t>-</w:t>
      </w:r>
      <w:r w:rsidR="00616010">
        <w:t>term inflation</w:t>
      </w:r>
      <w:r w:rsidR="00391768">
        <w:t xml:space="preserve"> rate</w:t>
      </w:r>
      <w:r w:rsidR="00B42D65">
        <w:t>.</w:t>
      </w:r>
      <w:r w:rsidR="00616010">
        <w:t xml:space="preserve"> </w:t>
      </w:r>
    </w:p>
    <w:p w14:paraId="467A6B7B" w14:textId="60F07417" w:rsidR="00E1575E" w:rsidRDefault="00E1575E" w:rsidP="00E1575E">
      <w:r w:rsidRPr="009374C6">
        <w:lastRenderedPageBreak/>
        <w:t>Goulburn-Murray Water’s revenue requirement includes a $3.4 million re</w:t>
      </w:r>
      <w:r w:rsidR="00A65411" w:rsidRPr="009374C6">
        <w:t xml:space="preserve">turn of </w:t>
      </w:r>
      <w:r w:rsidR="000D4F5A" w:rsidRPr="009374C6">
        <w:t xml:space="preserve">funds </w:t>
      </w:r>
      <w:r w:rsidR="0096063B" w:rsidRPr="009374C6">
        <w:t>to customers</w:t>
      </w:r>
      <w:r w:rsidR="00E0310F">
        <w:t>, resulting from</w:t>
      </w:r>
      <w:r w:rsidRPr="009374C6">
        <w:t xml:space="preserve"> </w:t>
      </w:r>
      <w:r w:rsidR="00031B17" w:rsidRPr="009374C6">
        <w:t xml:space="preserve">lower </w:t>
      </w:r>
      <w:r w:rsidR="000D4F5A" w:rsidRPr="009374C6">
        <w:t>Murray Darling Basin Authority (MDBA)</w:t>
      </w:r>
      <w:r w:rsidR="005637C8" w:rsidRPr="009374C6">
        <w:t xml:space="preserve"> </w:t>
      </w:r>
      <w:r w:rsidRPr="009374C6">
        <w:t>bulk water charges</w:t>
      </w:r>
      <w:r w:rsidR="00B44B8E" w:rsidRPr="009374C6">
        <w:t xml:space="preserve"> than </w:t>
      </w:r>
      <w:r w:rsidR="00966B4F">
        <w:t xml:space="preserve">the business </w:t>
      </w:r>
      <w:r w:rsidR="00543305">
        <w:t>estimated for</w:t>
      </w:r>
      <w:r w:rsidR="00252743">
        <w:t xml:space="preserve"> the current regulatory period</w:t>
      </w:r>
      <w:r w:rsidR="009823DD" w:rsidRPr="009374C6">
        <w:t>.</w:t>
      </w:r>
      <w:r>
        <w:t xml:space="preserve"> </w:t>
      </w:r>
      <w:r w:rsidR="00BD3A45" w:rsidRPr="009374C6">
        <w:t xml:space="preserve">This amount is reflected </w:t>
      </w:r>
      <w:r w:rsidR="0098072D">
        <w:t>as an</w:t>
      </w:r>
      <w:r w:rsidR="00BD3A45" w:rsidRPr="009374C6">
        <w:t xml:space="preserve"> adjustment </w:t>
      </w:r>
      <w:r w:rsidR="006453E4" w:rsidRPr="009374C6">
        <w:t>from last period</w:t>
      </w:r>
      <w:r w:rsidR="00D714C7" w:rsidRPr="009374C6">
        <w:t xml:space="preserve"> in </w:t>
      </w:r>
      <w:r w:rsidR="00B42230">
        <w:t>T</w:t>
      </w:r>
      <w:r w:rsidR="00D714C7" w:rsidRPr="009374C6">
        <w:t>able 4.1</w:t>
      </w:r>
      <w:r w:rsidR="00A039DE" w:rsidRPr="009374C6">
        <w:t xml:space="preserve"> below</w:t>
      </w:r>
      <w:r w:rsidR="00D714C7" w:rsidRPr="009374C6">
        <w:t>.</w:t>
      </w:r>
    </w:p>
    <w:p w14:paraId="617A1C95" w14:textId="77777777" w:rsidR="006B7AE7" w:rsidRDefault="006B7AE7" w:rsidP="009823DD">
      <w:pPr>
        <w:pStyle w:val="Figure-Table-BoxHeading"/>
        <w:spacing w:after="0" w:line="288" w:lineRule="auto"/>
      </w:pPr>
    </w:p>
    <w:p w14:paraId="24A7643C" w14:textId="502B88EC" w:rsidR="00E93CBF" w:rsidRDefault="00E93CBF" w:rsidP="00BD3D4E">
      <w:pPr>
        <w:pStyle w:val="Figure-Table-BoxHeading"/>
        <w:spacing w:after="0" w:line="288" w:lineRule="auto"/>
      </w:pPr>
      <w:r w:rsidRPr="00B47ECD">
        <w:t>Table 4.1</w:t>
      </w:r>
      <w:r>
        <w:tab/>
        <w:t xml:space="preserve">Draft decision on </w:t>
      </w:r>
      <w:r w:rsidR="00D1620B">
        <w:t>Goulburn-Murray Water</w:t>
      </w:r>
      <w:r>
        <w:t>’s revenue requirement</w:t>
      </w:r>
    </w:p>
    <w:p w14:paraId="44BD1F0C" w14:textId="77777777" w:rsidR="005D3964" w:rsidRDefault="00E93CBF" w:rsidP="0057133C">
      <w:pPr>
        <w:pStyle w:val="Figure-Table-BoxSubtitle"/>
        <w:spacing w:before="0" w:after="0" w:line="240" w:lineRule="auto"/>
        <w:ind w:left="1418"/>
      </w:pPr>
      <w:r>
        <w:t>$</w:t>
      </w:r>
      <w:r w:rsidR="006761A1">
        <w:t> million</w:t>
      </w:r>
      <w:r>
        <w:t xml:space="preserve"> 202</w:t>
      </w:r>
      <w:r w:rsidR="001D7D2E">
        <w:t>3</w:t>
      </w:r>
      <w:r w:rsidR="006761A1">
        <w:noBreakHyphen/>
      </w:r>
      <w:r>
        <w:t>2</w:t>
      </w:r>
      <w:r w:rsidR="001D7D2E">
        <w:t>4</w:t>
      </w:r>
    </w:p>
    <w:tbl>
      <w:tblPr>
        <w:tblStyle w:val="TableGrid"/>
        <w:tblW w:w="0" w:type="auto"/>
        <w:tblLook w:val="04A0" w:firstRow="1" w:lastRow="0" w:firstColumn="1" w:lastColumn="0" w:noHBand="0" w:noVBand="1"/>
      </w:tblPr>
      <w:tblGrid>
        <w:gridCol w:w="2396"/>
        <w:gridCol w:w="1207"/>
        <w:gridCol w:w="1207"/>
        <w:gridCol w:w="1207"/>
        <w:gridCol w:w="1207"/>
        <w:gridCol w:w="1207"/>
      </w:tblGrid>
      <w:tr w:rsidR="00620ADD" w14:paraId="082293C6" w14:textId="77777777">
        <w:trPr>
          <w:cnfStyle w:val="100000000000" w:firstRow="1" w:lastRow="0" w:firstColumn="0" w:lastColumn="0" w:oddVBand="0" w:evenVBand="0" w:oddHBand="0" w:evenHBand="0" w:firstRowFirstColumn="0" w:firstRowLastColumn="0" w:lastRowFirstColumn="0" w:lastRowLastColumn="0"/>
        </w:trPr>
        <w:tc>
          <w:tcPr>
            <w:tcW w:w="2396" w:type="dxa"/>
          </w:tcPr>
          <w:p w14:paraId="265CF39E" w14:textId="77777777" w:rsidR="00620ADD" w:rsidRDefault="00620ADD">
            <w:pPr>
              <w:pStyle w:val="TableHeading"/>
            </w:pPr>
          </w:p>
        </w:tc>
        <w:tc>
          <w:tcPr>
            <w:tcW w:w="1207" w:type="dxa"/>
          </w:tcPr>
          <w:p w14:paraId="56FAA939" w14:textId="77777777" w:rsidR="00620ADD" w:rsidRPr="007B6C73" w:rsidRDefault="00620ADD">
            <w:pPr>
              <w:pStyle w:val="TableHeading"/>
              <w:ind w:right="113"/>
              <w:jc w:val="right"/>
            </w:pPr>
            <w:r w:rsidRPr="007B6C73">
              <w:t>2024</w:t>
            </w:r>
            <w:r w:rsidRPr="007B6C73">
              <w:noBreakHyphen/>
              <w:t>25</w:t>
            </w:r>
          </w:p>
        </w:tc>
        <w:tc>
          <w:tcPr>
            <w:tcW w:w="1207" w:type="dxa"/>
          </w:tcPr>
          <w:p w14:paraId="693ACBB7" w14:textId="77777777" w:rsidR="00620ADD" w:rsidRPr="007B6C73" w:rsidRDefault="00620ADD">
            <w:pPr>
              <w:pStyle w:val="TableHeading"/>
              <w:ind w:right="113"/>
              <w:jc w:val="right"/>
            </w:pPr>
            <w:r w:rsidRPr="007B6C73">
              <w:t>2025</w:t>
            </w:r>
            <w:r w:rsidRPr="007B6C73">
              <w:noBreakHyphen/>
              <w:t>26</w:t>
            </w:r>
          </w:p>
        </w:tc>
        <w:tc>
          <w:tcPr>
            <w:tcW w:w="1207" w:type="dxa"/>
          </w:tcPr>
          <w:p w14:paraId="0FA62DC9" w14:textId="77777777" w:rsidR="00620ADD" w:rsidRPr="007B6C73" w:rsidRDefault="00620ADD">
            <w:pPr>
              <w:pStyle w:val="TableHeading"/>
              <w:ind w:right="113"/>
              <w:jc w:val="right"/>
            </w:pPr>
            <w:r w:rsidRPr="007B6C73">
              <w:t>2026</w:t>
            </w:r>
            <w:r w:rsidRPr="007B6C73">
              <w:noBreakHyphen/>
              <w:t>27</w:t>
            </w:r>
          </w:p>
        </w:tc>
        <w:tc>
          <w:tcPr>
            <w:tcW w:w="1207" w:type="dxa"/>
          </w:tcPr>
          <w:p w14:paraId="7537269F" w14:textId="77777777" w:rsidR="00620ADD" w:rsidRPr="007B6C73" w:rsidRDefault="00620ADD">
            <w:pPr>
              <w:pStyle w:val="TableHeading"/>
              <w:ind w:right="113"/>
              <w:jc w:val="right"/>
            </w:pPr>
            <w:r w:rsidRPr="007B6C73">
              <w:t>2027</w:t>
            </w:r>
            <w:r w:rsidRPr="007B6C73">
              <w:noBreakHyphen/>
              <w:t>28</w:t>
            </w:r>
          </w:p>
        </w:tc>
        <w:tc>
          <w:tcPr>
            <w:tcW w:w="1207" w:type="dxa"/>
          </w:tcPr>
          <w:p w14:paraId="5FD1A137" w14:textId="77777777" w:rsidR="00620ADD" w:rsidRPr="007B6C73" w:rsidRDefault="00620ADD">
            <w:pPr>
              <w:pStyle w:val="TableHeading"/>
              <w:ind w:right="113"/>
              <w:jc w:val="right"/>
            </w:pPr>
            <w:r w:rsidRPr="007B6C73">
              <w:t>Total</w:t>
            </w:r>
          </w:p>
        </w:tc>
      </w:tr>
      <w:tr w:rsidR="00620ADD" w:rsidRPr="00EA662B" w14:paraId="20D7BBB6" w14:textId="77777777">
        <w:trPr>
          <w:cnfStyle w:val="000000100000" w:firstRow="0" w:lastRow="0" w:firstColumn="0" w:lastColumn="0" w:oddVBand="0" w:evenVBand="0" w:oddHBand="1" w:evenHBand="0" w:firstRowFirstColumn="0" w:firstRowLastColumn="0" w:lastRowFirstColumn="0" w:lastRowLastColumn="0"/>
        </w:trPr>
        <w:tc>
          <w:tcPr>
            <w:tcW w:w="2396" w:type="dxa"/>
          </w:tcPr>
          <w:p w14:paraId="318BCFC6" w14:textId="77777777" w:rsidR="00620ADD" w:rsidRDefault="00620ADD">
            <w:pPr>
              <w:pStyle w:val="TableBody"/>
            </w:pPr>
            <w:r w:rsidRPr="00D27DEB">
              <w:t>Operating expenditure</w:t>
            </w:r>
          </w:p>
        </w:tc>
        <w:tc>
          <w:tcPr>
            <w:tcW w:w="1207" w:type="dxa"/>
            <w:vAlign w:val="center"/>
          </w:tcPr>
          <w:p w14:paraId="5BAEA549" w14:textId="0627E51E" w:rsidR="00620ADD" w:rsidRPr="00EA662B" w:rsidRDefault="00620ADD">
            <w:pPr>
              <w:pStyle w:val="TableBody"/>
              <w:ind w:right="113"/>
              <w:jc w:val="right"/>
            </w:pPr>
            <w:r w:rsidRPr="00EA662B">
              <w:rPr>
                <w:rFonts w:ascii="Arial" w:hAnsi="Arial" w:cs="Arial"/>
                <w:color w:val="000000"/>
              </w:rPr>
              <w:t>92.</w:t>
            </w:r>
            <w:r w:rsidR="00616010" w:rsidRPr="00EA662B">
              <w:rPr>
                <w:rFonts w:ascii="Arial" w:hAnsi="Arial" w:cs="Arial"/>
                <w:color w:val="000000"/>
              </w:rPr>
              <w:t>3</w:t>
            </w:r>
          </w:p>
        </w:tc>
        <w:tc>
          <w:tcPr>
            <w:tcW w:w="1207" w:type="dxa"/>
            <w:vAlign w:val="center"/>
          </w:tcPr>
          <w:p w14:paraId="5607D0DD" w14:textId="438D53A4" w:rsidR="00620ADD" w:rsidRPr="00EA662B" w:rsidRDefault="00620ADD">
            <w:pPr>
              <w:pStyle w:val="TableBody"/>
              <w:ind w:right="113"/>
              <w:jc w:val="right"/>
            </w:pPr>
            <w:r w:rsidRPr="00EA662B">
              <w:rPr>
                <w:rFonts w:ascii="Arial" w:hAnsi="Arial" w:cs="Arial"/>
                <w:color w:val="000000"/>
              </w:rPr>
              <w:t>92.7</w:t>
            </w:r>
          </w:p>
        </w:tc>
        <w:tc>
          <w:tcPr>
            <w:tcW w:w="1207" w:type="dxa"/>
            <w:vAlign w:val="center"/>
          </w:tcPr>
          <w:p w14:paraId="04E484FB" w14:textId="1FCE86B5" w:rsidR="00620ADD" w:rsidRPr="00EA662B" w:rsidRDefault="00620ADD">
            <w:pPr>
              <w:pStyle w:val="TableBody"/>
              <w:ind w:right="113"/>
              <w:jc w:val="right"/>
            </w:pPr>
            <w:r w:rsidRPr="00EA662B">
              <w:rPr>
                <w:rFonts w:ascii="Arial" w:hAnsi="Arial" w:cs="Arial"/>
                <w:color w:val="000000"/>
              </w:rPr>
              <w:t>93.4</w:t>
            </w:r>
          </w:p>
        </w:tc>
        <w:tc>
          <w:tcPr>
            <w:tcW w:w="1207" w:type="dxa"/>
            <w:vAlign w:val="center"/>
          </w:tcPr>
          <w:p w14:paraId="4DCE4ABA" w14:textId="51129635" w:rsidR="00620ADD" w:rsidRPr="00EA662B" w:rsidRDefault="00620ADD">
            <w:pPr>
              <w:pStyle w:val="TableBody"/>
              <w:ind w:right="113"/>
              <w:jc w:val="right"/>
            </w:pPr>
            <w:r w:rsidRPr="00EA662B">
              <w:rPr>
                <w:rFonts w:ascii="Arial" w:hAnsi="Arial" w:cs="Arial"/>
                <w:color w:val="000000"/>
              </w:rPr>
              <w:t>93.</w:t>
            </w:r>
            <w:r w:rsidR="00616010" w:rsidRPr="00EA662B">
              <w:rPr>
                <w:rFonts w:ascii="Arial" w:hAnsi="Arial" w:cs="Arial"/>
                <w:color w:val="000000"/>
              </w:rPr>
              <w:t>3</w:t>
            </w:r>
          </w:p>
        </w:tc>
        <w:tc>
          <w:tcPr>
            <w:tcW w:w="1207" w:type="dxa"/>
            <w:vAlign w:val="center"/>
          </w:tcPr>
          <w:p w14:paraId="7E15AE96" w14:textId="511961E5" w:rsidR="00620ADD" w:rsidRPr="00EA662B" w:rsidRDefault="00620ADD">
            <w:pPr>
              <w:pStyle w:val="TableBody"/>
              <w:ind w:right="113"/>
              <w:jc w:val="right"/>
            </w:pPr>
            <w:r w:rsidRPr="00EA662B">
              <w:rPr>
                <w:rFonts w:ascii="Arial" w:hAnsi="Arial" w:cs="Arial"/>
                <w:color w:val="000000"/>
              </w:rPr>
              <w:t>371.</w:t>
            </w:r>
            <w:r w:rsidR="00616010" w:rsidRPr="00EA662B">
              <w:rPr>
                <w:rFonts w:ascii="Arial" w:hAnsi="Arial" w:cs="Arial"/>
                <w:color w:val="000000"/>
              </w:rPr>
              <w:t>6</w:t>
            </w:r>
          </w:p>
        </w:tc>
      </w:tr>
      <w:tr w:rsidR="00620ADD" w:rsidRPr="00EA662B" w14:paraId="099EB638" w14:textId="77777777">
        <w:trPr>
          <w:cnfStyle w:val="000000010000" w:firstRow="0" w:lastRow="0" w:firstColumn="0" w:lastColumn="0" w:oddVBand="0" w:evenVBand="0" w:oddHBand="0" w:evenHBand="1" w:firstRowFirstColumn="0" w:firstRowLastColumn="0" w:lastRowFirstColumn="0" w:lastRowLastColumn="0"/>
        </w:trPr>
        <w:tc>
          <w:tcPr>
            <w:tcW w:w="2396" w:type="dxa"/>
          </w:tcPr>
          <w:p w14:paraId="0F48FB7A" w14:textId="77777777" w:rsidR="00620ADD" w:rsidRDefault="00620ADD">
            <w:pPr>
              <w:pStyle w:val="TableBody"/>
            </w:pPr>
            <w:r w:rsidRPr="00D27DEB">
              <w:t>Return on assets</w:t>
            </w:r>
          </w:p>
        </w:tc>
        <w:tc>
          <w:tcPr>
            <w:tcW w:w="1207" w:type="dxa"/>
            <w:vAlign w:val="center"/>
          </w:tcPr>
          <w:p w14:paraId="7DE4404C" w14:textId="55CD6495" w:rsidR="00620ADD" w:rsidRPr="00EA662B" w:rsidRDefault="00616010">
            <w:pPr>
              <w:pStyle w:val="TableBody"/>
              <w:ind w:right="113"/>
              <w:jc w:val="right"/>
            </w:pPr>
            <w:r w:rsidRPr="00EA662B">
              <w:rPr>
                <w:rFonts w:ascii="Arial" w:hAnsi="Arial" w:cs="Arial"/>
                <w:color w:val="000000"/>
              </w:rPr>
              <w:t>13.2</w:t>
            </w:r>
          </w:p>
        </w:tc>
        <w:tc>
          <w:tcPr>
            <w:tcW w:w="1207" w:type="dxa"/>
            <w:vAlign w:val="center"/>
          </w:tcPr>
          <w:p w14:paraId="3883A0AA" w14:textId="43989287" w:rsidR="00620ADD" w:rsidRPr="00EA662B" w:rsidRDefault="00616010">
            <w:pPr>
              <w:pStyle w:val="TableBody"/>
              <w:ind w:right="113"/>
              <w:jc w:val="right"/>
            </w:pPr>
            <w:r w:rsidRPr="00EA662B">
              <w:rPr>
                <w:rFonts w:ascii="Arial" w:hAnsi="Arial" w:cs="Arial"/>
                <w:color w:val="000000"/>
              </w:rPr>
              <w:t>14.1</w:t>
            </w:r>
          </w:p>
        </w:tc>
        <w:tc>
          <w:tcPr>
            <w:tcW w:w="1207" w:type="dxa"/>
            <w:vAlign w:val="center"/>
          </w:tcPr>
          <w:p w14:paraId="2CB779BE" w14:textId="4F3A1C2F" w:rsidR="00620ADD" w:rsidRPr="00EA662B" w:rsidRDefault="00616010">
            <w:pPr>
              <w:pStyle w:val="TableBody"/>
              <w:ind w:right="113"/>
              <w:jc w:val="right"/>
            </w:pPr>
            <w:r w:rsidRPr="00EA662B">
              <w:rPr>
                <w:rFonts w:ascii="Arial" w:hAnsi="Arial" w:cs="Arial"/>
                <w:color w:val="000000"/>
              </w:rPr>
              <w:t>14.8</w:t>
            </w:r>
          </w:p>
        </w:tc>
        <w:tc>
          <w:tcPr>
            <w:tcW w:w="1207" w:type="dxa"/>
            <w:vAlign w:val="center"/>
          </w:tcPr>
          <w:p w14:paraId="15C63BA7" w14:textId="03581A6F" w:rsidR="00620ADD" w:rsidRPr="00EA662B" w:rsidRDefault="00616010">
            <w:pPr>
              <w:pStyle w:val="TableBody"/>
              <w:ind w:right="113"/>
              <w:jc w:val="right"/>
            </w:pPr>
            <w:r w:rsidRPr="00EA662B">
              <w:rPr>
                <w:rFonts w:ascii="Arial" w:hAnsi="Arial" w:cs="Arial"/>
                <w:color w:val="000000"/>
              </w:rPr>
              <w:t>15.7</w:t>
            </w:r>
          </w:p>
        </w:tc>
        <w:tc>
          <w:tcPr>
            <w:tcW w:w="1207" w:type="dxa"/>
            <w:vAlign w:val="center"/>
          </w:tcPr>
          <w:p w14:paraId="70EB3009" w14:textId="65FAC241" w:rsidR="00620ADD" w:rsidRPr="00EA662B" w:rsidRDefault="00616010">
            <w:pPr>
              <w:pStyle w:val="TableBody"/>
              <w:ind w:right="113"/>
              <w:jc w:val="right"/>
            </w:pPr>
            <w:r w:rsidRPr="00EA662B">
              <w:rPr>
                <w:rFonts w:ascii="Arial" w:hAnsi="Arial" w:cs="Arial"/>
                <w:color w:val="000000"/>
              </w:rPr>
              <w:t>57</w:t>
            </w:r>
            <w:r w:rsidR="00620ADD" w:rsidRPr="00EA662B">
              <w:rPr>
                <w:rFonts w:ascii="Arial" w:hAnsi="Arial" w:cs="Arial"/>
                <w:color w:val="000000"/>
              </w:rPr>
              <w:t>.9</w:t>
            </w:r>
          </w:p>
        </w:tc>
      </w:tr>
      <w:tr w:rsidR="00620ADD" w:rsidRPr="00EA662B" w14:paraId="5D0FFDDE" w14:textId="77777777">
        <w:trPr>
          <w:cnfStyle w:val="000000100000" w:firstRow="0" w:lastRow="0" w:firstColumn="0" w:lastColumn="0" w:oddVBand="0" w:evenVBand="0" w:oddHBand="1" w:evenHBand="0" w:firstRowFirstColumn="0" w:firstRowLastColumn="0" w:lastRowFirstColumn="0" w:lastRowLastColumn="0"/>
        </w:trPr>
        <w:tc>
          <w:tcPr>
            <w:tcW w:w="2396" w:type="dxa"/>
          </w:tcPr>
          <w:p w14:paraId="28C13A04" w14:textId="77777777" w:rsidR="00620ADD" w:rsidRDefault="00620ADD">
            <w:pPr>
              <w:pStyle w:val="TableBody"/>
            </w:pPr>
            <w:r w:rsidRPr="00D27DEB">
              <w:t>Regulatory depreciation</w:t>
            </w:r>
          </w:p>
        </w:tc>
        <w:tc>
          <w:tcPr>
            <w:tcW w:w="1207" w:type="dxa"/>
            <w:vAlign w:val="center"/>
          </w:tcPr>
          <w:p w14:paraId="17DB83B9" w14:textId="5FFB1EB7" w:rsidR="00620ADD" w:rsidRPr="00EA662B" w:rsidRDefault="00620ADD">
            <w:pPr>
              <w:pStyle w:val="TableBody"/>
              <w:ind w:right="113"/>
              <w:jc w:val="right"/>
            </w:pPr>
            <w:r w:rsidRPr="00EA662B">
              <w:rPr>
                <w:rFonts w:ascii="Arial" w:hAnsi="Arial" w:cs="Arial"/>
                <w:color w:val="000000"/>
              </w:rPr>
              <w:t>12.5</w:t>
            </w:r>
          </w:p>
        </w:tc>
        <w:tc>
          <w:tcPr>
            <w:tcW w:w="1207" w:type="dxa"/>
            <w:vAlign w:val="center"/>
          </w:tcPr>
          <w:p w14:paraId="5B5902A2" w14:textId="3FD629EC" w:rsidR="00620ADD" w:rsidRPr="00EA662B" w:rsidRDefault="00620ADD">
            <w:pPr>
              <w:pStyle w:val="TableBody"/>
              <w:ind w:right="113"/>
              <w:jc w:val="right"/>
            </w:pPr>
            <w:r w:rsidRPr="00EA662B">
              <w:rPr>
                <w:rFonts w:ascii="Arial" w:hAnsi="Arial" w:cs="Arial"/>
                <w:color w:val="000000"/>
              </w:rPr>
              <w:t>13.2</w:t>
            </w:r>
          </w:p>
        </w:tc>
        <w:tc>
          <w:tcPr>
            <w:tcW w:w="1207" w:type="dxa"/>
            <w:vAlign w:val="center"/>
          </w:tcPr>
          <w:p w14:paraId="00C6E410" w14:textId="16131B9A" w:rsidR="00620ADD" w:rsidRPr="00EA662B" w:rsidRDefault="00620ADD">
            <w:pPr>
              <w:pStyle w:val="TableBody"/>
              <w:ind w:right="113"/>
              <w:jc w:val="right"/>
            </w:pPr>
            <w:r w:rsidRPr="00EA662B">
              <w:rPr>
                <w:rFonts w:ascii="Arial" w:hAnsi="Arial" w:cs="Arial"/>
                <w:color w:val="000000"/>
              </w:rPr>
              <w:t>13.9</w:t>
            </w:r>
          </w:p>
        </w:tc>
        <w:tc>
          <w:tcPr>
            <w:tcW w:w="1207" w:type="dxa"/>
            <w:vAlign w:val="center"/>
          </w:tcPr>
          <w:p w14:paraId="6927D9CE" w14:textId="7616A6C1" w:rsidR="00620ADD" w:rsidRPr="00EA662B" w:rsidRDefault="00620ADD">
            <w:pPr>
              <w:pStyle w:val="TableBody"/>
              <w:ind w:right="113"/>
              <w:jc w:val="right"/>
            </w:pPr>
            <w:r w:rsidRPr="00EA662B">
              <w:rPr>
                <w:rFonts w:ascii="Arial" w:hAnsi="Arial" w:cs="Arial"/>
                <w:color w:val="000000"/>
              </w:rPr>
              <w:t>14.4</w:t>
            </w:r>
          </w:p>
        </w:tc>
        <w:tc>
          <w:tcPr>
            <w:tcW w:w="1207" w:type="dxa"/>
            <w:vAlign w:val="center"/>
          </w:tcPr>
          <w:p w14:paraId="38DBA32E" w14:textId="5E0822B6" w:rsidR="00620ADD" w:rsidRPr="00EA662B" w:rsidRDefault="00620ADD">
            <w:pPr>
              <w:pStyle w:val="TableBody"/>
              <w:ind w:right="113"/>
              <w:jc w:val="right"/>
            </w:pPr>
            <w:r w:rsidRPr="00EA662B">
              <w:rPr>
                <w:rFonts w:ascii="Arial" w:hAnsi="Arial" w:cs="Arial"/>
                <w:color w:val="000000"/>
              </w:rPr>
              <w:t>54.1</w:t>
            </w:r>
          </w:p>
        </w:tc>
      </w:tr>
      <w:tr w:rsidR="00620ADD" w:rsidRPr="00EA662B" w14:paraId="539E1FA3" w14:textId="77777777">
        <w:trPr>
          <w:cnfStyle w:val="000000010000" w:firstRow="0" w:lastRow="0" w:firstColumn="0" w:lastColumn="0" w:oddVBand="0" w:evenVBand="0" w:oddHBand="0" w:evenHBand="1" w:firstRowFirstColumn="0" w:firstRowLastColumn="0" w:lastRowFirstColumn="0" w:lastRowLastColumn="0"/>
        </w:trPr>
        <w:tc>
          <w:tcPr>
            <w:tcW w:w="2396" w:type="dxa"/>
          </w:tcPr>
          <w:p w14:paraId="498B058A" w14:textId="77777777" w:rsidR="00620ADD" w:rsidRPr="00AA0F91" w:rsidRDefault="00620ADD">
            <w:pPr>
              <w:pStyle w:val="TableBody"/>
            </w:pPr>
            <w:r w:rsidRPr="00AA0F91">
              <w:t>Adjustments from last period</w:t>
            </w:r>
            <w:r w:rsidRPr="00AA0F91">
              <w:rPr>
                <w:b/>
                <w:vertAlign w:val="superscript"/>
              </w:rPr>
              <w:t>a</w:t>
            </w:r>
          </w:p>
        </w:tc>
        <w:tc>
          <w:tcPr>
            <w:tcW w:w="1207" w:type="dxa"/>
            <w:vAlign w:val="center"/>
          </w:tcPr>
          <w:p w14:paraId="75605B71" w14:textId="79288FD5" w:rsidR="00620ADD" w:rsidRPr="00EA662B" w:rsidRDefault="00620ADD">
            <w:pPr>
              <w:pStyle w:val="TableBody"/>
              <w:ind w:right="113"/>
              <w:jc w:val="right"/>
            </w:pPr>
            <w:r w:rsidRPr="00EA662B">
              <w:rPr>
                <w:rFonts w:ascii="Arial" w:hAnsi="Arial" w:cs="Arial"/>
                <w:color w:val="000000"/>
              </w:rPr>
              <w:t>-0.8</w:t>
            </w:r>
          </w:p>
        </w:tc>
        <w:tc>
          <w:tcPr>
            <w:tcW w:w="1207" w:type="dxa"/>
            <w:vAlign w:val="center"/>
          </w:tcPr>
          <w:p w14:paraId="0CA0F5DD" w14:textId="2422D7EA" w:rsidR="00620ADD" w:rsidRPr="00EA662B" w:rsidRDefault="00620ADD">
            <w:pPr>
              <w:pStyle w:val="TableBody"/>
              <w:ind w:right="113"/>
              <w:jc w:val="right"/>
            </w:pPr>
            <w:r w:rsidRPr="00EA662B">
              <w:rPr>
                <w:rFonts w:ascii="Arial" w:hAnsi="Arial" w:cs="Arial"/>
                <w:color w:val="000000"/>
              </w:rPr>
              <w:t>-0.8</w:t>
            </w:r>
          </w:p>
        </w:tc>
        <w:tc>
          <w:tcPr>
            <w:tcW w:w="1207" w:type="dxa"/>
            <w:vAlign w:val="center"/>
          </w:tcPr>
          <w:p w14:paraId="1604E3D9" w14:textId="67C1F775" w:rsidR="00620ADD" w:rsidRPr="00EA662B" w:rsidRDefault="00620ADD">
            <w:pPr>
              <w:pStyle w:val="TableBody"/>
              <w:ind w:right="113"/>
              <w:jc w:val="right"/>
            </w:pPr>
            <w:r w:rsidRPr="00EA662B">
              <w:rPr>
                <w:rFonts w:ascii="Arial" w:hAnsi="Arial" w:cs="Arial"/>
                <w:color w:val="000000"/>
              </w:rPr>
              <w:t>-0.8</w:t>
            </w:r>
          </w:p>
        </w:tc>
        <w:tc>
          <w:tcPr>
            <w:tcW w:w="1207" w:type="dxa"/>
            <w:vAlign w:val="center"/>
          </w:tcPr>
          <w:p w14:paraId="54A5B706" w14:textId="173F4056" w:rsidR="00620ADD" w:rsidRPr="00EA662B" w:rsidRDefault="00620ADD">
            <w:pPr>
              <w:pStyle w:val="TableBody"/>
              <w:ind w:right="113"/>
              <w:jc w:val="right"/>
            </w:pPr>
            <w:r w:rsidRPr="00EA662B">
              <w:rPr>
                <w:rFonts w:ascii="Arial" w:hAnsi="Arial" w:cs="Arial"/>
                <w:color w:val="000000"/>
              </w:rPr>
              <w:t>-0.8</w:t>
            </w:r>
          </w:p>
        </w:tc>
        <w:tc>
          <w:tcPr>
            <w:tcW w:w="1207" w:type="dxa"/>
            <w:vAlign w:val="center"/>
          </w:tcPr>
          <w:p w14:paraId="746B4E0C" w14:textId="7093EE3E" w:rsidR="00620ADD" w:rsidRPr="00EA662B" w:rsidRDefault="00620ADD">
            <w:pPr>
              <w:pStyle w:val="TableBody"/>
              <w:ind w:right="113"/>
              <w:jc w:val="right"/>
            </w:pPr>
            <w:r w:rsidRPr="00EA662B">
              <w:rPr>
                <w:rFonts w:ascii="Arial" w:hAnsi="Arial" w:cs="Arial"/>
                <w:color w:val="000000"/>
              </w:rPr>
              <w:t>-3.4</w:t>
            </w:r>
          </w:p>
        </w:tc>
      </w:tr>
      <w:tr w:rsidR="00620ADD" w:rsidRPr="00EA662B" w14:paraId="7871C9F4" w14:textId="77777777">
        <w:trPr>
          <w:cnfStyle w:val="000000100000" w:firstRow="0" w:lastRow="0" w:firstColumn="0" w:lastColumn="0" w:oddVBand="0" w:evenVBand="0" w:oddHBand="1" w:evenHBand="0" w:firstRowFirstColumn="0" w:firstRowLastColumn="0" w:lastRowFirstColumn="0" w:lastRowLastColumn="0"/>
        </w:trPr>
        <w:tc>
          <w:tcPr>
            <w:tcW w:w="2396" w:type="dxa"/>
          </w:tcPr>
          <w:p w14:paraId="7430A506" w14:textId="77777777" w:rsidR="00620ADD" w:rsidRPr="00AA0F91" w:rsidRDefault="00620ADD">
            <w:pPr>
              <w:pStyle w:val="TableBody"/>
            </w:pPr>
            <w:r w:rsidRPr="00AA0F91">
              <w:t>Tax allowance</w:t>
            </w:r>
          </w:p>
        </w:tc>
        <w:tc>
          <w:tcPr>
            <w:tcW w:w="1207" w:type="dxa"/>
            <w:vAlign w:val="center"/>
          </w:tcPr>
          <w:p w14:paraId="0937DE34" w14:textId="29F74ADA" w:rsidR="00620ADD" w:rsidRPr="00EA662B" w:rsidRDefault="00143DE9">
            <w:pPr>
              <w:pStyle w:val="TableBody"/>
              <w:ind w:right="113"/>
              <w:jc w:val="right"/>
            </w:pPr>
            <w:r>
              <w:t>-</w:t>
            </w:r>
          </w:p>
        </w:tc>
        <w:tc>
          <w:tcPr>
            <w:tcW w:w="1207" w:type="dxa"/>
            <w:vAlign w:val="center"/>
          </w:tcPr>
          <w:p w14:paraId="3F5430A8" w14:textId="103D041B" w:rsidR="00620ADD" w:rsidRPr="00EA662B" w:rsidRDefault="00143DE9">
            <w:pPr>
              <w:pStyle w:val="TableBody"/>
              <w:ind w:right="113"/>
              <w:jc w:val="right"/>
            </w:pPr>
            <w:r>
              <w:t>-</w:t>
            </w:r>
          </w:p>
        </w:tc>
        <w:tc>
          <w:tcPr>
            <w:tcW w:w="1207" w:type="dxa"/>
            <w:vAlign w:val="center"/>
          </w:tcPr>
          <w:p w14:paraId="1BDB669D" w14:textId="7EAD8E84" w:rsidR="00620ADD" w:rsidRPr="00EA662B" w:rsidRDefault="00143DE9">
            <w:pPr>
              <w:pStyle w:val="TableBody"/>
              <w:ind w:right="113"/>
              <w:jc w:val="right"/>
            </w:pPr>
            <w:r>
              <w:t>-</w:t>
            </w:r>
          </w:p>
        </w:tc>
        <w:tc>
          <w:tcPr>
            <w:tcW w:w="1207" w:type="dxa"/>
            <w:vAlign w:val="center"/>
          </w:tcPr>
          <w:p w14:paraId="4AFC56BF" w14:textId="5C810180" w:rsidR="00620ADD" w:rsidRPr="00EA662B" w:rsidRDefault="00143DE9">
            <w:pPr>
              <w:pStyle w:val="TableBody"/>
              <w:ind w:right="113"/>
              <w:jc w:val="right"/>
            </w:pPr>
            <w:r>
              <w:t>-</w:t>
            </w:r>
          </w:p>
        </w:tc>
        <w:tc>
          <w:tcPr>
            <w:tcW w:w="1207" w:type="dxa"/>
            <w:vAlign w:val="center"/>
          </w:tcPr>
          <w:p w14:paraId="4D98C2B0" w14:textId="0F6D68D9" w:rsidR="00620ADD" w:rsidRPr="00EA662B" w:rsidRDefault="00143DE9">
            <w:pPr>
              <w:pStyle w:val="TableBody"/>
              <w:ind w:right="113"/>
              <w:jc w:val="right"/>
            </w:pPr>
            <w:r>
              <w:t>-</w:t>
            </w:r>
          </w:p>
        </w:tc>
      </w:tr>
      <w:tr w:rsidR="00620ADD" w:rsidRPr="00EA662B" w14:paraId="6F2ACCC7" w14:textId="77777777">
        <w:trPr>
          <w:cnfStyle w:val="000000010000" w:firstRow="0" w:lastRow="0" w:firstColumn="0" w:lastColumn="0" w:oddVBand="0" w:evenVBand="0" w:oddHBand="0" w:evenHBand="1" w:firstRowFirstColumn="0" w:firstRowLastColumn="0" w:lastRowFirstColumn="0" w:lastRowLastColumn="0"/>
        </w:trPr>
        <w:tc>
          <w:tcPr>
            <w:tcW w:w="2396" w:type="dxa"/>
          </w:tcPr>
          <w:p w14:paraId="405D84AF" w14:textId="77777777" w:rsidR="00620ADD" w:rsidRPr="00040B8E" w:rsidRDefault="00620ADD">
            <w:pPr>
              <w:pStyle w:val="TableBody"/>
              <w:rPr>
                <w:b/>
                <w:bCs/>
              </w:rPr>
            </w:pPr>
            <w:r w:rsidRPr="00040B8E">
              <w:rPr>
                <w:b/>
                <w:bCs/>
              </w:rPr>
              <w:t>Draft decision – revenue requirement</w:t>
            </w:r>
          </w:p>
        </w:tc>
        <w:tc>
          <w:tcPr>
            <w:tcW w:w="1207" w:type="dxa"/>
            <w:vAlign w:val="center"/>
          </w:tcPr>
          <w:p w14:paraId="5EB80EE8" w14:textId="2B5CCE67" w:rsidR="00620ADD" w:rsidRPr="00EA662B" w:rsidRDefault="00616010">
            <w:pPr>
              <w:pStyle w:val="TableBody"/>
              <w:ind w:right="113"/>
              <w:jc w:val="right"/>
              <w:rPr>
                <w:b/>
              </w:rPr>
            </w:pPr>
            <w:r w:rsidRPr="00EA662B">
              <w:rPr>
                <w:rFonts w:ascii="Arial" w:hAnsi="Arial" w:cs="Arial"/>
                <w:color w:val="000000"/>
              </w:rPr>
              <w:t>117.2</w:t>
            </w:r>
          </w:p>
        </w:tc>
        <w:tc>
          <w:tcPr>
            <w:tcW w:w="1207" w:type="dxa"/>
            <w:vAlign w:val="center"/>
          </w:tcPr>
          <w:p w14:paraId="5620B23F" w14:textId="22671AB0" w:rsidR="00620ADD" w:rsidRPr="00EA662B" w:rsidRDefault="00616010">
            <w:pPr>
              <w:pStyle w:val="TableBody"/>
              <w:ind w:right="113"/>
              <w:jc w:val="right"/>
              <w:rPr>
                <w:b/>
              </w:rPr>
            </w:pPr>
            <w:r w:rsidRPr="00EA662B">
              <w:rPr>
                <w:rFonts w:ascii="Arial" w:hAnsi="Arial" w:cs="Arial"/>
                <w:color w:val="000000"/>
              </w:rPr>
              <w:t>119.2</w:t>
            </w:r>
          </w:p>
        </w:tc>
        <w:tc>
          <w:tcPr>
            <w:tcW w:w="1207" w:type="dxa"/>
            <w:vAlign w:val="center"/>
          </w:tcPr>
          <w:p w14:paraId="3F62FE2B" w14:textId="6877A089" w:rsidR="00620ADD" w:rsidRPr="00EA662B" w:rsidRDefault="00616010">
            <w:pPr>
              <w:pStyle w:val="TableBody"/>
              <w:ind w:right="113"/>
              <w:jc w:val="right"/>
              <w:rPr>
                <w:b/>
              </w:rPr>
            </w:pPr>
            <w:r w:rsidRPr="00EA662B">
              <w:rPr>
                <w:rFonts w:ascii="Arial" w:hAnsi="Arial" w:cs="Arial"/>
                <w:color w:val="000000"/>
              </w:rPr>
              <w:t>121.3</w:t>
            </w:r>
          </w:p>
        </w:tc>
        <w:tc>
          <w:tcPr>
            <w:tcW w:w="1207" w:type="dxa"/>
            <w:vAlign w:val="center"/>
          </w:tcPr>
          <w:p w14:paraId="53BD84F2" w14:textId="5056965D" w:rsidR="00620ADD" w:rsidRPr="00EA662B" w:rsidRDefault="00616010">
            <w:pPr>
              <w:pStyle w:val="TableBody"/>
              <w:ind w:right="113"/>
              <w:jc w:val="right"/>
              <w:rPr>
                <w:b/>
              </w:rPr>
            </w:pPr>
            <w:r w:rsidRPr="00EA662B">
              <w:rPr>
                <w:rFonts w:ascii="Arial" w:hAnsi="Arial" w:cs="Arial"/>
                <w:color w:val="000000"/>
              </w:rPr>
              <w:t>122.6</w:t>
            </w:r>
          </w:p>
        </w:tc>
        <w:tc>
          <w:tcPr>
            <w:tcW w:w="1207" w:type="dxa"/>
            <w:vAlign w:val="center"/>
          </w:tcPr>
          <w:p w14:paraId="28A22323" w14:textId="24D34B86" w:rsidR="00620ADD" w:rsidRPr="00EA662B" w:rsidRDefault="00616010">
            <w:pPr>
              <w:pStyle w:val="TableBody"/>
              <w:ind w:right="113"/>
              <w:jc w:val="right"/>
              <w:rPr>
                <w:b/>
              </w:rPr>
            </w:pPr>
            <w:r w:rsidRPr="00EA662B">
              <w:rPr>
                <w:rFonts w:ascii="Arial" w:hAnsi="Arial" w:cs="Arial"/>
                <w:color w:val="000000"/>
              </w:rPr>
              <w:t>480.3</w:t>
            </w:r>
          </w:p>
        </w:tc>
      </w:tr>
    </w:tbl>
    <w:p w14:paraId="57FEF10B" w14:textId="19B3E447" w:rsidR="00B82E70" w:rsidRDefault="00B82E70" w:rsidP="00B82E70">
      <w:pPr>
        <w:pStyle w:val="Source"/>
        <w:jc w:val="left"/>
      </w:pPr>
      <w:r w:rsidRPr="00E81BA0">
        <w:rPr>
          <w:b/>
          <w:bCs/>
        </w:rPr>
        <w:t>Note:</w:t>
      </w:r>
      <w:r>
        <w:t xml:space="preserve"> Numbers have been rounded.</w:t>
      </w:r>
      <w:r w:rsidR="003B61F3">
        <w:br/>
      </w:r>
      <w:r w:rsidR="003B61F3" w:rsidRPr="00D447E6">
        <w:rPr>
          <w:vertAlign w:val="superscript"/>
        </w:rPr>
        <w:t>a</w:t>
      </w:r>
      <w:r w:rsidR="008125B0" w:rsidRPr="006B06C3">
        <w:t xml:space="preserve"> </w:t>
      </w:r>
      <w:r w:rsidR="00810584" w:rsidRPr="006B06C3">
        <w:t>return of funds fr</w:t>
      </w:r>
      <w:r w:rsidR="005C5634" w:rsidRPr="006B06C3">
        <w:t>om</w:t>
      </w:r>
      <w:r w:rsidR="000C7FED" w:rsidRPr="006B06C3">
        <w:t xml:space="preserve"> surplus adjustments to bulk water charges</w:t>
      </w:r>
      <w:r w:rsidR="009F24ED" w:rsidRPr="006B06C3">
        <w:t xml:space="preserve"> (MDBA)</w:t>
      </w:r>
    </w:p>
    <w:p w14:paraId="39871FE0" w14:textId="01C0D4C6" w:rsidR="00AE5F58" w:rsidRDefault="005D4B3D" w:rsidP="000414DE">
      <w:r w:rsidRPr="00110BD1">
        <w:t xml:space="preserve">Table 4.2 summarises how our draft decision on </w:t>
      </w:r>
      <w:r w:rsidR="000F271B">
        <w:t>Goulburn</w:t>
      </w:r>
      <w:r w:rsidR="00D2416B">
        <w:t>-</w:t>
      </w:r>
      <w:r w:rsidR="000F271B">
        <w:t>Murray Water</w:t>
      </w:r>
      <w:r w:rsidRPr="00110BD1">
        <w:t>’s revenue requirement (</w:t>
      </w:r>
      <w:r w:rsidRPr="00244841">
        <w:t xml:space="preserve">row </w:t>
      </w:r>
      <w:r w:rsidR="004F6690" w:rsidRPr="00244841">
        <w:t>D</w:t>
      </w:r>
      <w:r w:rsidRPr="00244841">
        <w:t>)</w:t>
      </w:r>
      <w:r w:rsidRPr="00110BD1">
        <w:t xml:space="preserve"> differs to the revenue requirement proposed by </w:t>
      </w:r>
      <w:r w:rsidR="000F271B">
        <w:t>Goulburn</w:t>
      </w:r>
      <w:r w:rsidR="00D2416B">
        <w:t>-</w:t>
      </w:r>
      <w:r w:rsidR="000F271B">
        <w:t>Murray Water</w:t>
      </w:r>
      <w:r w:rsidRPr="00110BD1">
        <w:t xml:space="preserve"> in its price submission (row A). Where our draft decision differs from </w:t>
      </w:r>
      <w:r w:rsidR="000F271B">
        <w:t>Goulburn</w:t>
      </w:r>
      <w:r w:rsidR="00D2416B">
        <w:t>-</w:t>
      </w:r>
      <w:r w:rsidR="000F271B">
        <w:t>Murray Water</w:t>
      </w:r>
      <w:r w:rsidRPr="00110BD1">
        <w:t xml:space="preserve">’s price submission in relation to a component of the revenue requirement, the adjustment we propose is shown in Table 4.2. The main adjustments relate to </w:t>
      </w:r>
      <w:r w:rsidR="000F271B">
        <w:t>Goulburn</w:t>
      </w:r>
      <w:r w:rsidR="00E12A61">
        <w:t>-</w:t>
      </w:r>
      <w:r w:rsidR="000F271B">
        <w:t>Murray Water</w:t>
      </w:r>
      <w:r w:rsidRPr="00110BD1">
        <w:t>’s non-controllable operating expenditure</w:t>
      </w:r>
      <w:r>
        <w:t xml:space="preserve"> and return on assets</w:t>
      </w:r>
      <w:r w:rsidRPr="00110BD1">
        <w:t>.</w:t>
      </w:r>
      <w:r w:rsidRPr="00110BD1">
        <w:rPr>
          <w:b/>
          <w:bCs/>
        </w:rPr>
        <w:t xml:space="preserve"> </w:t>
      </w:r>
      <w:r w:rsidR="002439E8" w:rsidRPr="00145065">
        <w:t xml:space="preserve">These changes </w:t>
      </w:r>
      <w:r w:rsidR="00145065">
        <w:t xml:space="preserve">reflect </w:t>
      </w:r>
      <w:r w:rsidR="002439E8" w:rsidRPr="00145065">
        <w:t xml:space="preserve">our </w:t>
      </w:r>
      <w:r w:rsidR="00AE5F58">
        <w:t xml:space="preserve">adjusted </w:t>
      </w:r>
      <w:r w:rsidR="002439E8" w:rsidRPr="00145065">
        <w:t xml:space="preserve">long-term </w:t>
      </w:r>
      <w:r w:rsidR="00414342" w:rsidRPr="00145065">
        <w:t>inflation</w:t>
      </w:r>
      <w:r w:rsidR="00AE5F58">
        <w:t xml:space="preserve"> estimates.</w:t>
      </w:r>
    </w:p>
    <w:p w14:paraId="342F81BE" w14:textId="6306543A" w:rsidR="000414DE" w:rsidRDefault="000414DE" w:rsidP="000414DE">
      <w:r w:rsidRPr="002A36EF">
        <w:t>Our final decision on Goulburn-Murray Water’s revenue requirement will be based on the latest available information.</w:t>
      </w:r>
      <w:r w:rsidRPr="001338E8">
        <w:t xml:space="preserve"> </w:t>
      </w:r>
      <w:r>
        <w:t>Accordingly, as well as responding to our draft decision and providing an updated price schedule, Goulburn-Murray Water must update its revenue requirement and prices to reflect our updates to estimates for the cost of debt and inflation, which we will advise in April 2024.</w:t>
      </w:r>
    </w:p>
    <w:p w14:paraId="4429B19F" w14:textId="5A086F31" w:rsidR="00E81BA0" w:rsidRDefault="000414DE" w:rsidP="001A3271">
      <w:r>
        <w:t xml:space="preserve">There may be changes in laws or government policy before we make a price determination. If any such changes occur between the draft decision and the price determination that impact on its forecast costs and the revenue requirement, Goulburn-Murray Water should update its price submission and provide us with an updated financial model. It also should notify us of any material </w:t>
      </w:r>
      <w:r>
        <w:lastRenderedPageBreak/>
        <w:t>changes that impact its forecast costs, revenue requirement or prices (including demand). Any updates to its submission or pricing model will be made publicly available on our website.</w:t>
      </w:r>
    </w:p>
    <w:p w14:paraId="210CC8D4" w14:textId="4E3733A3" w:rsidR="00590DF0" w:rsidRPr="00736B81" w:rsidRDefault="00590DF0" w:rsidP="00590DF0">
      <w:pPr>
        <w:pStyle w:val="Figure-Table-BoxHeading"/>
        <w:keepNext/>
        <w:keepLines/>
        <w:spacing w:after="0" w:line="288" w:lineRule="auto"/>
      </w:pPr>
      <w:r w:rsidRPr="00736B81">
        <w:t>Table 4.2</w:t>
      </w:r>
      <w:r w:rsidRPr="00736B81">
        <w:tab/>
        <w:t xml:space="preserve">Our proposed adjustments to </w:t>
      </w:r>
      <w:r w:rsidR="00016DD5" w:rsidRPr="00736B81">
        <w:t>Goulburn</w:t>
      </w:r>
      <w:r w:rsidR="00536E86" w:rsidRPr="00736B81">
        <w:t>-</w:t>
      </w:r>
      <w:r w:rsidR="00016DD5" w:rsidRPr="00736B81">
        <w:t>Murray</w:t>
      </w:r>
      <w:r w:rsidRPr="00736B81">
        <w:t xml:space="preserve"> Water’s proposed revenue requirement</w:t>
      </w:r>
    </w:p>
    <w:p w14:paraId="02812FEE" w14:textId="6C881184" w:rsidR="00590DF0" w:rsidRDefault="00590DF0" w:rsidP="00590DF0">
      <w:pPr>
        <w:pStyle w:val="Figure-Table-BoxSubtitle"/>
        <w:keepNext/>
        <w:keepLines/>
        <w:spacing w:before="0" w:after="0" w:line="240" w:lineRule="auto"/>
        <w:ind w:left="0"/>
      </w:pPr>
      <w:r w:rsidRPr="00736B81">
        <w:t>$ million 2023</w:t>
      </w:r>
      <w:r w:rsidRPr="00736B81">
        <w:noBreakHyphen/>
        <w:t>24</w:t>
      </w:r>
    </w:p>
    <w:p w14:paraId="091D1F5F" w14:textId="77777777" w:rsidR="002C0E7F" w:rsidRPr="00110BD1" w:rsidRDefault="002C0E7F" w:rsidP="00590DF0">
      <w:pPr>
        <w:pStyle w:val="Figure-Table-BoxSubtitle"/>
        <w:keepNext/>
        <w:keepLines/>
        <w:spacing w:before="0" w:after="0" w:line="240" w:lineRule="auto"/>
        <w:ind w:left="0"/>
      </w:pPr>
    </w:p>
    <w:tbl>
      <w:tblPr>
        <w:tblStyle w:val="TableGrid"/>
        <w:tblW w:w="0" w:type="auto"/>
        <w:tblLook w:val="04A0" w:firstRow="1" w:lastRow="0" w:firstColumn="1" w:lastColumn="0" w:noHBand="0" w:noVBand="1"/>
      </w:tblPr>
      <w:tblGrid>
        <w:gridCol w:w="2539"/>
        <w:gridCol w:w="1222"/>
        <w:gridCol w:w="1222"/>
        <w:gridCol w:w="1222"/>
        <w:gridCol w:w="1222"/>
        <w:gridCol w:w="1220"/>
      </w:tblGrid>
      <w:tr w:rsidR="002C0E7F" w:rsidRPr="007E3B0C" w14:paraId="5FE08991" w14:textId="77777777" w:rsidTr="00C1008E">
        <w:trPr>
          <w:cnfStyle w:val="100000000000" w:firstRow="1" w:lastRow="0" w:firstColumn="0" w:lastColumn="0" w:oddVBand="0" w:evenVBand="0" w:oddHBand="0" w:evenHBand="0" w:firstRowFirstColumn="0" w:firstRowLastColumn="0" w:lastRowFirstColumn="0" w:lastRowLastColumn="0"/>
        </w:trPr>
        <w:tc>
          <w:tcPr>
            <w:tcW w:w="2539" w:type="dxa"/>
          </w:tcPr>
          <w:p w14:paraId="0F23698F" w14:textId="77777777" w:rsidR="002C0E7F" w:rsidRPr="007E3B0C" w:rsidRDefault="002C0E7F">
            <w:pPr>
              <w:pStyle w:val="TableHeading"/>
            </w:pPr>
          </w:p>
        </w:tc>
        <w:tc>
          <w:tcPr>
            <w:tcW w:w="1222" w:type="dxa"/>
          </w:tcPr>
          <w:p w14:paraId="6947EC66" w14:textId="77777777" w:rsidR="002C0E7F" w:rsidRPr="007E3B0C" w:rsidRDefault="002C0E7F">
            <w:pPr>
              <w:pStyle w:val="TableHeading"/>
              <w:ind w:right="113"/>
              <w:jc w:val="right"/>
            </w:pPr>
            <w:r w:rsidRPr="007E3B0C">
              <w:t>2024</w:t>
            </w:r>
            <w:r w:rsidRPr="007E3B0C">
              <w:noBreakHyphen/>
              <w:t>25</w:t>
            </w:r>
          </w:p>
        </w:tc>
        <w:tc>
          <w:tcPr>
            <w:tcW w:w="1222" w:type="dxa"/>
          </w:tcPr>
          <w:p w14:paraId="074506E9" w14:textId="77777777" w:rsidR="002C0E7F" w:rsidRPr="007E3B0C" w:rsidRDefault="002C0E7F">
            <w:pPr>
              <w:pStyle w:val="TableHeading"/>
              <w:ind w:right="113"/>
              <w:jc w:val="right"/>
            </w:pPr>
            <w:r w:rsidRPr="007E3B0C">
              <w:t>2025</w:t>
            </w:r>
            <w:r w:rsidRPr="007E3B0C">
              <w:noBreakHyphen/>
              <w:t>26</w:t>
            </w:r>
          </w:p>
        </w:tc>
        <w:tc>
          <w:tcPr>
            <w:tcW w:w="1222" w:type="dxa"/>
          </w:tcPr>
          <w:p w14:paraId="7E26C3CD" w14:textId="77777777" w:rsidR="002C0E7F" w:rsidRPr="007E3B0C" w:rsidRDefault="002C0E7F">
            <w:pPr>
              <w:pStyle w:val="TableHeading"/>
              <w:ind w:right="113"/>
              <w:jc w:val="right"/>
            </w:pPr>
            <w:r w:rsidRPr="007E3B0C">
              <w:t>2026</w:t>
            </w:r>
            <w:r w:rsidRPr="007E3B0C">
              <w:noBreakHyphen/>
              <w:t>27</w:t>
            </w:r>
          </w:p>
        </w:tc>
        <w:tc>
          <w:tcPr>
            <w:tcW w:w="1222" w:type="dxa"/>
          </w:tcPr>
          <w:p w14:paraId="3032814A" w14:textId="77777777" w:rsidR="002C0E7F" w:rsidRPr="007E3B0C" w:rsidRDefault="002C0E7F">
            <w:pPr>
              <w:pStyle w:val="TableHeading"/>
              <w:ind w:right="113"/>
              <w:jc w:val="right"/>
            </w:pPr>
            <w:r w:rsidRPr="007E3B0C">
              <w:t>2027</w:t>
            </w:r>
            <w:r w:rsidRPr="007E3B0C">
              <w:noBreakHyphen/>
              <w:t>28</w:t>
            </w:r>
          </w:p>
        </w:tc>
        <w:tc>
          <w:tcPr>
            <w:tcW w:w="1220" w:type="dxa"/>
          </w:tcPr>
          <w:p w14:paraId="1C96CA6D" w14:textId="77777777" w:rsidR="002C0E7F" w:rsidRPr="007E3B0C" w:rsidRDefault="002C0E7F">
            <w:pPr>
              <w:pStyle w:val="TableHeading"/>
              <w:ind w:right="113"/>
              <w:jc w:val="right"/>
            </w:pPr>
            <w:r w:rsidRPr="007E3B0C">
              <w:t>Total</w:t>
            </w:r>
          </w:p>
        </w:tc>
      </w:tr>
      <w:tr w:rsidR="002C0E7F" w:rsidRPr="00C94BCD" w14:paraId="4BB18563" w14:textId="77777777" w:rsidTr="00C1008E">
        <w:trPr>
          <w:cnfStyle w:val="000000100000" w:firstRow="0" w:lastRow="0" w:firstColumn="0" w:lastColumn="0" w:oddVBand="0" w:evenVBand="0" w:oddHBand="1" w:evenHBand="0" w:firstRowFirstColumn="0" w:firstRowLastColumn="0" w:lastRowFirstColumn="0" w:lastRowLastColumn="0"/>
        </w:trPr>
        <w:tc>
          <w:tcPr>
            <w:tcW w:w="2539" w:type="dxa"/>
            <w:vAlign w:val="center"/>
          </w:tcPr>
          <w:p w14:paraId="440A74F0" w14:textId="2E8ECE30" w:rsidR="002C0E7F" w:rsidRPr="00110BD1" w:rsidRDefault="002C0E7F">
            <w:pPr>
              <w:pStyle w:val="TableBody"/>
              <w:keepNext/>
              <w:keepLines/>
              <w:rPr>
                <w:b/>
                <w:bCs/>
              </w:rPr>
            </w:pPr>
            <w:r w:rsidRPr="00110BD1">
              <w:rPr>
                <w:rFonts w:ascii="Arial" w:hAnsi="Arial" w:cs="Arial"/>
                <w:b/>
                <w:bCs/>
                <w:color w:val="000000"/>
              </w:rPr>
              <w:t xml:space="preserve">A. </w:t>
            </w:r>
            <w:r w:rsidR="00FA0C74">
              <w:rPr>
                <w:rFonts w:ascii="Arial" w:hAnsi="Arial" w:cs="Arial"/>
                <w:b/>
                <w:bCs/>
                <w:color w:val="000000"/>
              </w:rPr>
              <w:t>Goulburn</w:t>
            </w:r>
            <w:r w:rsidR="00031201">
              <w:rPr>
                <w:rFonts w:ascii="Arial" w:hAnsi="Arial" w:cs="Arial"/>
                <w:b/>
                <w:bCs/>
                <w:color w:val="000000"/>
              </w:rPr>
              <w:t>-</w:t>
            </w:r>
            <w:r w:rsidR="00FA0C74">
              <w:rPr>
                <w:rFonts w:ascii="Arial" w:hAnsi="Arial" w:cs="Arial"/>
                <w:b/>
                <w:bCs/>
                <w:color w:val="000000"/>
              </w:rPr>
              <w:t>Murray</w:t>
            </w:r>
            <w:r>
              <w:rPr>
                <w:rFonts w:ascii="Arial" w:hAnsi="Arial" w:cs="Arial"/>
                <w:b/>
                <w:bCs/>
                <w:color w:val="000000"/>
              </w:rPr>
              <w:t xml:space="preserve"> </w:t>
            </w:r>
            <w:r w:rsidRPr="00110BD1">
              <w:rPr>
                <w:rFonts w:ascii="Arial" w:hAnsi="Arial" w:cs="Arial"/>
                <w:b/>
                <w:bCs/>
                <w:color w:val="000000"/>
              </w:rPr>
              <w:t>W</w:t>
            </w:r>
            <w:r>
              <w:rPr>
                <w:rFonts w:ascii="Arial" w:hAnsi="Arial" w:cs="Arial"/>
                <w:b/>
                <w:bCs/>
                <w:color w:val="000000"/>
              </w:rPr>
              <w:t>ater</w:t>
            </w:r>
            <w:r w:rsidRPr="00110BD1">
              <w:rPr>
                <w:rFonts w:ascii="Arial" w:hAnsi="Arial" w:cs="Arial"/>
                <w:b/>
                <w:bCs/>
                <w:color w:val="000000"/>
              </w:rPr>
              <w:t>’s proposed revenue requirement</w:t>
            </w:r>
          </w:p>
        </w:tc>
        <w:tc>
          <w:tcPr>
            <w:tcW w:w="1222" w:type="dxa"/>
            <w:vAlign w:val="center"/>
          </w:tcPr>
          <w:p w14:paraId="6C32AD7F" w14:textId="4D4E8D68" w:rsidR="002C0E7F" w:rsidRPr="00022B0E" w:rsidRDefault="00730F8C">
            <w:pPr>
              <w:pStyle w:val="TableBody"/>
              <w:keepNext/>
              <w:keepLines/>
              <w:ind w:right="113"/>
              <w:jc w:val="right"/>
            </w:pPr>
            <w:r w:rsidRPr="00022B0E">
              <w:rPr>
                <w:rFonts w:ascii="Arial" w:hAnsi="Arial" w:cs="Arial"/>
                <w:b/>
                <w:color w:val="000000"/>
              </w:rPr>
              <w:t xml:space="preserve">115.7 </w:t>
            </w:r>
          </w:p>
        </w:tc>
        <w:tc>
          <w:tcPr>
            <w:tcW w:w="1222" w:type="dxa"/>
            <w:vAlign w:val="center"/>
          </w:tcPr>
          <w:p w14:paraId="6F36C563" w14:textId="0FE11723" w:rsidR="002C0E7F" w:rsidRPr="00022B0E" w:rsidRDefault="00730F8C">
            <w:pPr>
              <w:pStyle w:val="TableBody"/>
              <w:keepNext/>
              <w:keepLines/>
              <w:ind w:right="113"/>
              <w:jc w:val="right"/>
            </w:pPr>
            <w:r w:rsidRPr="00022B0E">
              <w:rPr>
                <w:rFonts w:ascii="Arial" w:hAnsi="Arial" w:cs="Arial"/>
                <w:b/>
                <w:color w:val="000000"/>
              </w:rPr>
              <w:t xml:space="preserve">117.7 </w:t>
            </w:r>
          </w:p>
        </w:tc>
        <w:tc>
          <w:tcPr>
            <w:tcW w:w="1222" w:type="dxa"/>
            <w:vAlign w:val="center"/>
          </w:tcPr>
          <w:p w14:paraId="233F68AB" w14:textId="697D3F7F" w:rsidR="002C0E7F" w:rsidRPr="00022B0E" w:rsidRDefault="00730F8C">
            <w:pPr>
              <w:pStyle w:val="TableBody"/>
              <w:keepNext/>
              <w:keepLines/>
              <w:ind w:right="113"/>
              <w:jc w:val="right"/>
            </w:pPr>
            <w:r w:rsidRPr="00022B0E">
              <w:rPr>
                <w:rFonts w:ascii="Arial" w:hAnsi="Arial" w:cs="Arial"/>
                <w:b/>
                <w:color w:val="000000"/>
              </w:rPr>
              <w:t xml:space="preserve">119.8 </w:t>
            </w:r>
          </w:p>
        </w:tc>
        <w:tc>
          <w:tcPr>
            <w:tcW w:w="1222" w:type="dxa"/>
            <w:vAlign w:val="center"/>
          </w:tcPr>
          <w:p w14:paraId="529F2BC8" w14:textId="00003A3A" w:rsidR="002C0E7F" w:rsidRPr="00022B0E" w:rsidRDefault="00730F8C">
            <w:pPr>
              <w:pStyle w:val="TableBody"/>
              <w:keepNext/>
              <w:keepLines/>
              <w:ind w:right="113"/>
              <w:jc w:val="right"/>
            </w:pPr>
            <w:r w:rsidRPr="00022B0E">
              <w:rPr>
                <w:rFonts w:ascii="Arial" w:hAnsi="Arial" w:cs="Arial"/>
                <w:b/>
                <w:color w:val="000000"/>
              </w:rPr>
              <w:t xml:space="preserve">121.0 </w:t>
            </w:r>
          </w:p>
        </w:tc>
        <w:tc>
          <w:tcPr>
            <w:tcW w:w="1220" w:type="dxa"/>
            <w:vAlign w:val="center"/>
          </w:tcPr>
          <w:p w14:paraId="3F5F7252" w14:textId="0CFE6A39" w:rsidR="002C0E7F" w:rsidRPr="00022B0E" w:rsidRDefault="00730F8C">
            <w:pPr>
              <w:pStyle w:val="TableBody"/>
              <w:keepNext/>
              <w:keepLines/>
              <w:ind w:right="113"/>
              <w:jc w:val="right"/>
              <w:rPr>
                <w:rFonts w:ascii="Arial" w:hAnsi="Arial" w:cs="Arial"/>
                <w:b/>
                <w:color w:val="000000"/>
              </w:rPr>
            </w:pPr>
            <w:r w:rsidRPr="00022B0E">
              <w:rPr>
                <w:rFonts w:ascii="Arial" w:hAnsi="Arial" w:cs="Arial"/>
                <w:b/>
                <w:color w:val="000000"/>
              </w:rPr>
              <w:t xml:space="preserve">474.2 </w:t>
            </w:r>
          </w:p>
        </w:tc>
      </w:tr>
      <w:tr w:rsidR="002C0E7F" w:rsidRPr="00C94BCD" w14:paraId="64A933D2" w14:textId="77777777" w:rsidTr="00C1008E">
        <w:trPr>
          <w:cnfStyle w:val="000000010000" w:firstRow="0" w:lastRow="0" w:firstColumn="0" w:lastColumn="0" w:oddVBand="0" w:evenVBand="0" w:oddHBand="0" w:evenHBand="1" w:firstRowFirstColumn="0" w:firstRowLastColumn="0" w:lastRowFirstColumn="0" w:lastRowLastColumn="0"/>
        </w:trPr>
        <w:tc>
          <w:tcPr>
            <w:tcW w:w="2539" w:type="dxa"/>
            <w:vAlign w:val="center"/>
          </w:tcPr>
          <w:p w14:paraId="7456F962" w14:textId="77777777" w:rsidR="002C0E7F" w:rsidRPr="00110BD1" w:rsidRDefault="002C0E7F">
            <w:pPr>
              <w:pStyle w:val="TableBody"/>
              <w:keepNext/>
              <w:keepLines/>
              <w:rPr>
                <w:b/>
                <w:bCs/>
              </w:rPr>
            </w:pPr>
            <w:r w:rsidRPr="00110BD1">
              <w:rPr>
                <w:rFonts w:ascii="Arial" w:hAnsi="Arial" w:cs="Arial"/>
                <w:color w:val="000000"/>
              </w:rPr>
              <w:t xml:space="preserve">B. Operating </w:t>
            </w:r>
            <w:r>
              <w:rPr>
                <w:rFonts w:ascii="Arial" w:hAnsi="Arial" w:cs="Arial"/>
                <w:color w:val="000000"/>
              </w:rPr>
              <w:t>e</w:t>
            </w:r>
            <w:r w:rsidRPr="00110BD1">
              <w:rPr>
                <w:rFonts w:ascii="Arial" w:hAnsi="Arial" w:cs="Arial"/>
                <w:color w:val="000000"/>
              </w:rPr>
              <w:t>xpenditure</w:t>
            </w:r>
          </w:p>
        </w:tc>
        <w:tc>
          <w:tcPr>
            <w:tcW w:w="1222" w:type="dxa"/>
            <w:vAlign w:val="center"/>
          </w:tcPr>
          <w:p w14:paraId="64335183" w14:textId="21A01CE7" w:rsidR="002C0E7F" w:rsidRPr="00022B0E" w:rsidRDefault="007A6DB8">
            <w:pPr>
              <w:pStyle w:val="TableBody"/>
              <w:keepNext/>
              <w:keepLines/>
              <w:ind w:right="113"/>
              <w:jc w:val="right"/>
              <w:rPr>
                <w:rFonts w:ascii="Arial" w:hAnsi="Arial" w:cs="Arial"/>
                <w:b/>
                <w:color w:val="000000"/>
              </w:rPr>
            </w:pPr>
            <w:r w:rsidRPr="00022B0E">
              <w:rPr>
                <w:rFonts w:ascii="Arial" w:hAnsi="Arial" w:cs="Arial"/>
                <w:color w:val="000000"/>
              </w:rPr>
              <w:t xml:space="preserve">        </w:t>
            </w:r>
            <w:r w:rsidR="002C0E7F" w:rsidRPr="00022B0E">
              <w:rPr>
                <w:rFonts w:ascii="Arial" w:hAnsi="Arial" w:cs="Arial"/>
                <w:color w:val="000000"/>
              </w:rPr>
              <w:t>0.</w:t>
            </w:r>
            <w:r w:rsidR="00730F8C" w:rsidRPr="00022B0E">
              <w:rPr>
                <w:rFonts w:ascii="Arial" w:hAnsi="Arial" w:cs="Arial"/>
                <w:color w:val="000000"/>
              </w:rPr>
              <w:t xml:space="preserve">0 </w:t>
            </w:r>
          </w:p>
        </w:tc>
        <w:tc>
          <w:tcPr>
            <w:tcW w:w="1222" w:type="dxa"/>
            <w:vAlign w:val="center"/>
          </w:tcPr>
          <w:p w14:paraId="1FCB0B6C" w14:textId="05156AEE" w:rsidR="002C0E7F" w:rsidRPr="00022B0E" w:rsidRDefault="007A6DB8">
            <w:pPr>
              <w:pStyle w:val="TableBody"/>
              <w:keepNext/>
              <w:keepLines/>
              <w:ind w:right="113"/>
              <w:jc w:val="right"/>
              <w:rPr>
                <w:rFonts w:ascii="Arial" w:hAnsi="Arial" w:cs="Arial"/>
                <w:b/>
                <w:color w:val="000000"/>
              </w:rPr>
            </w:pPr>
            <w:r w:rsidRPr="00022B0E">
              <w:rPr>
                <w:rFonts w:ascii="Arial" w:hAnsi="Arial" w:cs="Arial"/>
                <w:color w:val="000000"/>
              </w:rPr>
              <w:t xml:space="preserve">        </w:t>
            </w:r>
            <w:r w:rsidR="00730F8C" w:rsidRPr="00022B0E">
              <w:rPr>
                <w:rFonts w:ascii="Arial" w:hAnsi="Arial" w:cs="Arial"/>
                <w:color w:val="000000"/>
              </w:rPr>
              <w:t xml:space="preserve">0.0 </w:t>
            </w:r>
          </w:p>
        </w:tc>
        <w:tc>
          <w:tcPr>
            <w:tcW w:w="1222" w:type="dxa"/>
            <w:vAlign w:val="center"/>
          </w:tcPr>
          <w:p w14:paraId="4B81F93D" w14:textId="0D2CC5A8" w:rsidR="002C0E7F" w:rsidRPr="00022B0E" w:rsidRDefault="007A6DB8">
            <w:pPr>
              <w:pStyle w:val="TableBody"/>
              <w:keepNext/>
              <w:keepLines/>
              <w:ind w:right="113"/>
              <w:jc w:val="right"/>
              <w:rPr>
                <w:rFonts w:ascii="Arial" w:hAnsi="Arial" w:cs="Arial"/>
                <w:b/>
                <w:color w:val="000000"/>
              </w:rPr>
            </w:pPr>
            <w:r w:rsidRPr="00022B0E">
              <w:rPr>
                <w:rFonts w:ascii="Arial" w:hAnsi="Arial" w:cs="Arial"/>
                <w:color w:val="000000"/>
              </w:rPr>
              <w:t xml:space="preserve">        </w:t>
            </w:r>
            <w:r w:rsidR="00730F8C" w:rsidRPr="00022B0E">
              <w:rPr>
                <w:rFonts w:ascii="Arial" w:hAnsi="Arial" w:cs="Arial"/>
                <w:color w:val="000000"/>
              </w:rPr>
              <w:t xml:space="preserve">0.0 </w:t>
            </w:r>
          </w:p>
        </w:tc>
        <w:tc>
          <w:tcPr>
            <w:tcW w:w="1222" w:type="dxa"/>
            <w:vAlign w:val="center"/>
          </w:tcPr>
          <w:p w14:paraId="54436C2E" w14:textId="76C32504" w:rsidR="002C0E7F" w:rsidRPr="00022B0E" w:rsidRDefault="007A6DB8">
            <w:pPr>
              <w:pStyle w:val="TableBody"/>
              <w:keepNext/>
              <w:keepLines/>
              <w:ind w:right="113"/>
              <w:jc w:val="right"/>
              <w:rPr>
                <w:rFonts w:ascii="Arial" w:hAnsi="Arial" w:cs="Arial"/>
                <w:b/>
                <w:color w:val="000000"/>
              </w:rPr>
            </w:pPr>
            <w:r w:rsidRPr="00022B0E">
              <w:rPr>
                <w:rFonts w:ascii="Arial" w:hAnsi="Arial" w:cs="Arial"/>
                <w:color w:val="000000"/>
              </w:rPr>
              <w:t xml:space="preserve">        </w:t>
            </w:r>
            <w:r w:rsidR="00730F8C" w:rsidRPr="00022B0E">
              <w:rPr>
                <w:rFonts w:ascii="Arial" w:hAnsi="Arial" w:cs="Arial"/>
                <w:color w:val="000000"/>
              </w:rPr>
              <w:t xml:space="preserve">0.0 </w:t>
            </w:r>
          </w:p>
        </w:tc>
        <w:tc>
          <w:tcPr>
            <w:tcW w:w="1220" w:type="dxa"/>
            <w:vAlign w:val="center"/>
          </w:tcPr>
          <w:p w14:paraId="399A0471" w14:textId="61A311C6" w:rsidR="002C0E7F" w:rsidRPr="00022B0E" w:rsidRDefault="007A6DB8">
            <w:pPr>
              <w:pStyle w:val="TableBody"/>
              <w:keepNext/>
              <w:keepLines/>
              <w:ind w:right="113"/>
              <w:jc w:val="right"/>
              <w:rPr>
                <w:rFonts w:ascii="Arial" w:hAnsi="Arial" w:cs="Arial"/>
                <w:b/>
                <w:color w:val="000000"/>
              </w:rPr>
            </w:pPr>
            <w:r w:rsidRPr="00022B0E">
              <w:rPr>
                <w:rFonts w:ascii="Arial" w:hAnsi="Arial" w:cs="Arial"/>
                <w:color w:val="000000"/>
              </w:rPr>
              <w:t xml:space="preserve">        </w:t>
            </w:r>
            <w:r w:rsidR="00730F8C" w:rsidRPr="00022B0E">
              <w:rPr>
                <w:rFonts w:ascii="Arial" w:hAnsi="Arial" w:cs="Arial"/>
                <w:color w:val="000000"/>
              </w:rPr>
              <w:t xml:space="preserve">0.1 </w:t>
            </w:r>
          </w:p>
        </w:tc>
      </w:tr>
      <w:tr w:rsidR="002C0E7F" w:rsidRPr="00C94BCD" w14:paraId="4B35D247" w14:textId="77777777" w:rsidTr="00C1008E">
        <w:trPr>
          <w:cnfStyle w:val="000000100000" w:firstRow="0" w:lastRow="0" w:firstColumn="0" w:lastColumn="0" w:oddVBand="0" w:evenVBand="0" w:oddHBand="1" w:evenHBand="0" w:firstRowFirstColumn="0" w:firstRowLastColumn="0" w:lastRowFirstColumn="0" w:lastRowLastColumn="0"/>
        </w:trPr>
        <w:tc>
          <w:tcPr>
            <w:tcW w:w="2539" w:type="dxa"/>
            <w:vAlign w:val="center"/>
          </w:tcPr>
          <w:p w14:paraId="4A35F826" w14:textId="77777777" w:rsidR="002C0E7F" w:rsidRPr="00110BD1" w:rsidRDefault="002C0E7F">
            <w:pPr>
              <w:pStyle w:val="TableBody"/>
              <w:keepNext/>
              <w:keepLines/>
            </w:pPr>
            <w:r w:rsidRPr="00110BD1">
              <w:rPr>
                <w:rFonts w:ascii="Arial" w:hAnsi="Arial" w:cs="Arial"/>
                <w:color w:val="000000"/>
              </w:rPr>
              <w:t xml:space="preserve">C. Return on </w:t>
            </w:r>
            <w:r>
              <w:rPr>
                <w:rFonts w:ascii="Arial" w:hAnsi="Arial" w:cs="Arial"/>
                <w:color w:val="000000"/>
              </w:rPr>
              <w:t>a</w:t>
            </w:r>
            <w:r w:rsidRPr="00110BD1">
              <w:rPr>
                <w:rFonts w:ascii="Arial" w:hAnsi="Arial" w:cs="Arial"/>
                <w:color w:val="000000"/>
              </w:rPr>
              <w:t>ssets</w:t>
            </w:r>
          </w:p>
        </w:tc>
        <w:tc>
          <w:tcPr>
            <w:tcW w:w="1222" w:type="dxa"/>
            <w:vAlign w:val="center"/>
          </w:tcPr>
          <w:p w14:paraId="55E7A384" w14:textId="0903724C" w:rsidR="002C0E7F" w:rsidRPr="00022B0E" w:rsidRDefault="007A6DB8">
            <w:pPr>
              <w:pStyle w:val="TableBody"/>
              <w:keepNext/>
              <w:keepLines/>
              <w:ind w:right="113"/>
              <w:jc w:val="right"/>
            </w:pPr>
            <w:r w:rsidRPr="00022B0E">
              <w:rPr>
                <w:rFonts w:ascii="Arial" w:hAnsi="Arial" w:cs="Arial"/>
                <w:color w:val="000000"/>
              </w:rPr>
              <w:t xml:space="preserve">        </w:t>
            </w:r>
            <w:r w:rsidR="002C0E7F" w:rsidRPr="00022B0E">
              <w:rPr>
                <w:rFonts w:ascii="Arial" w:hAnsi="Arial" w:cs="Arial"/>
                <w:color w:val="000000"/>
              </w:rPr>
              <w:t>1</w:t>
            </w:r>
            <w:r w:rsidR="00730F8C" w:rsidRPr="00022B0E">
              <w:rPr>
                <w:rFonts w:ascii="Arial" w:hAnsi="Arial" w:cs="Arial"/>
                <w:color w:val="000000"/>
              </w:rPr>
              <w:t xml:space="preserve">.5 </w:t>
            </w:r>
          </w:p>
        </w:tc>
        <w:tc>
          <w:tcPr>
            <w:tcW w:w="1222" w:type="dxa"/>
            <w:vAlign w:val="center"/>
          </w:tcPr>
          <w:p w14:paraId="3278F531" w14:textId="33105B0E" w:rsidR="002C0E7F" w:rsidRPr="00022B0E" w:rsidRDefault="007A6DB8">
            <w:pPr>
              <w:pStyle w:val="TableBody"/>
              <w:keepNext/>
              <w:keepLines/>
              <w:ind w:right="113"/>
              <w:jc w:val="right"/>
            </w:pPr>
            <w:r w:rsidRPr="00022B0E">
              <w:rPr>
                <w:rFonts w:ascii="Arial" w:hAnsi="Arial" w:cs="Arial"/>
                <w:color w:val="000000"/>
              </w:rPr>
              <w:t xml:space="preserve">        </w:t>
            </w:r>
            <w:r w:rsidR="002C0E7F" w:rsidRPr="00022B0E">
              <w:rPr>
                <w:rFonts w:ascii="Arial" w:hAnsi="Arial" w:cs="Arial"/>
                <w:color w:val="000000"/>
              </w:rPr>
              <w:t>1</w:t>
            </w:r>
            <w:r w:rsidR="00730F8C" w:rsidRPr="00022B0E">
              <w:rPr>
                <w:rFonts w:ascii="Arial" w:hAnsi="Arial" w:cs="Arial"/>
                <w:color w:val="000000"/>
              </w:rPr>
              <w:t xml:space="preserve">.5 </w:t>
            </w:r>
          </w:p>
        </w:tc>
        <w:tc>
          <w:tcPr>
            <w:tcW w:w="1222" w:type="dxa"/>
            <w:vAlign w:val="center"/>
          </w:tcPr>
          <w:p w14:paraId="65632467" w14:textId="339A006C" w:rsidR="002C0E7F" w:rsidRPr="00022B0E" w:rsidRDefault="007A6DB8">
            <w:pPr>
              <w:pStyle w:val="TableBody"/>
              <w:keepNext/>
              <w:keepLines/>
              <w:ind w:right="113"/>
              <w:jc w:val="right"/>
            </w:pPr>
            <w:r w:rsidRPr="00022B0E">
              <w:rPr>
                <w:rFonts w:ascii="Arial" w:hAnsi="Arial" w:cs="Arial"/>
                <w:color w:val="000000"/>
              </w:rPr>
              <w:t xml:space="preserve">        </w:t>
            </w:r>
            <w:r w:rsidR="002C0E7F" w:rsidRPr="00022B0E">
              <w:rPr>
                <w:rFonts w:ascii="Arial" w:hAnsi="Arial" w:cs="Arial"/>
                <w:color w:val="000000"/>
              </w:rPr>
              <w:t>1</w:t>
            </w:r>
            <w:r w:rsidR="00730F8C" w:rsidRPr="00022B0E">
              <w:rPr>
                <w:rFonts w:ascii="Arial" w:hAnsi="Arial" w:cs="Arial"/>
                <w:color w:val="000000"/>
              </w:rPr>
              <w:t xml:space="preserve">.5 </w:t>
            </w:r>
          </w:p>
        </w:tc>
        <w:tc>
          <w:tcPr>
            <w:tcW w:w="1222" w:type="dxa"/>
            <w:vAlign w:val="center"/>
          </w:tcPr>
          <w:p w14:paraId="277867D3" w14:textId="7954D5A6" w:rsidR="002C0E7F" w:rsidRPr="00022B0E" w:rsidRDefault="007A6DB8">
            <w:pPr>
              <w:pStyle w:val="TableBody"/>
              <w:keepNext/>
              <w:keepLines/>
              <w:ind w:right="113"/>
              <w:jc w:val="right"/>
            </w:pPr>
            <w:r w:rsidRPr="00022B0E">
              <w:rPr>
                <w:rFonts w:ascii="Arial" w:hAnsi="Arial" w:cs="Arial"/>
                <w:color w:val="000000"/>
              </w:rPr>
              <w:t xml:space="preserve">        </w:t>
            </w:r>
            <w:r w:rsidR="002C0E7F" w:rsidRPr="00022B0E">
              <w:rPr>
                <w:rFonts w:ascii="Arial" w:hAnsi="Arial" w:cs="Arial"/>
                <w:color w:val="000000"/>
              </w:rPr>
              <w:t>1</w:t>
            </w:r>
            <w:r w:rsidR="00730F8C" w:rsidRPr="00022B0E">
              <w:rPr>
                <w:rFonts w:ascii="Arial" w:hAnsi="Arial" w:cs="Arial"/>
                <w:color w:val="000000"/>
              </w:rPr>
              <w:t>.5</w:t>
            </w:r>
            <w:r w:rsidR="002C0E7F" w:rsidRPr="00022B0E">
              <w:rPr>
                <w:rFonts w:ascii="Arial" w:hAnsi="Arial" w:cs="Arial"/>
                <w:color w:val="000000"/>
              </w:rPr>
              <w:t xml:space="preserve"> </w:t>
            </w:r>
          </w:p>
        </w:tc>
        <w:tc>
          <w:tcPr>
            <w:tcW w:w="1220" w:type="dxa"/>
            <w:vAlign w:val="center"/>
          </w:tcPr>
          <w:p w14:paraId="5133CC6A" w14:textId="67358797" w:rsidR="002C0E7F" w:rsidRPr="00022B0E" w:rsidRDefault="007A6DB8">
            <w:pPr>
              <w:pStyle w:val="TableBody"/>
              <w:keepNext/>
              <w:keepLines/>
              <w:ind w:right="113"/>
              <w:jc w:val="right"/>
              <w:rPr>
                <w:rFonts w:ascii="Arial" w:hAnsi="Arial" w:cs="Arial"/>
                <w:color w:val="000000"/>
              </w:rPr>
            </w:pPr>
            <w:r w:rsidRPr="00022B0E">
              <w:rPr>
                <w:rFonts w:ascii="Arial" w:hAnsi="Arial" w:cs="Arial"/>
                <w:color w:val="000000"/>
              </w:rPr>
              <w:t xml:space="preserve">        </w:t>
            </w:r>
            <w:r w:rsidR="00730F8C" w:rsidRPr="00022B0E">
              <w:rPr>
                <w:rFonts w:ascii="Arial" w:hAnsi="Arial" w:cs="Arial"/>
                <w:color w:val="000000"/>
              </w:rPr>
              <w:t>6.</w:t>
            </w:r>
            <w:r w:rsidR="002C0E7F" w:rsidRPr="00022B0E">
              <w:rPr>
                <w:rFonts w:ascii="Arial" w:hAnsi="Arial" w:cs="Arial"/>
                <w:color w:val="000000"/>
              </w:rPr>
              <w:t>0</w:t>
            </w:r>
            <w:r w:rsidR="00730F8C" w:rsidRPr="00022B0E">
              <w:rPr>
                <w:rFonts w:ascii="Arial" w:hAnsi="Arial" w:cs="Arial"/>
                <w:color w:val="000000"/>
              </w:rPr>
              <w:t xml:space="preserve"> </w:t>
            </w:r>
          </w:p>
        </w:tc>
      </w:tr>
      <w:tr w:rsidR="002C0E7F" w:rsidRPr="00C94BCD" w14:paraId="6CFD3D2D" w14:textId="77777777" w:rsidTr="00C1008E">
        <w:trPr>
          <w:cnfStyle w:val="000000010000" w:firstRow="0" w:lastRow="0" w:firstColumn="0" w:lastColumn="0" w:oddVBand="0" w:evenVBand="0" w:oddHBand="0" w:evenHBand="1" w:firstRowFirstColumn="0" w:firstRowLastColumn="0" w:lastRowFirstColumn="0" w:lastRowLastColumn="0"/>
        </w:trPr>
        <w:tc>
          <w:tcPr>
            <w:tcW w:w="2539" w:type="dxa"/>
            <w:vAlign w:val="center"/>
          </w:tcPr>
          <w:p w14:paraId="3E07CC0C" w14:textId="627844E8" w:rsidR="002C0E7F" w:rsidRPr="00110BD1" w:rsidRDefault="00B36D4F">
            <w:pPr>
              <w:pStyle w:val="TableBody"/>
              <w:rPr>
                <w:b/>
                <w:bCs/>
              </w:rPr>
            </w:pPr>
            <w:r>
              <w:rPr>
                <w:rFonts w:ascii="Arial" w:hAnsi="Arial" w:cs="Arial"/>
                <w:b/>
                <w:bCs/>
                <w:color w:val="000000"/>
              </w:rPr>
              <w:t>D</w:t>
            </w:r>
            <w:r w:rsidR="002C0E7F" w:rsidRPr="00110BD1">
              <w:rPr>
                <w:rFonts w:ascii="Arial" w:hAnsi="Arial" w:cs="Arial"/>
                <w:b/>
                <w:bCs/>
                <w:color w:val="000000"/>
              </w:rPr>
              <w:t>. Draft decision –revenue requirement (</w:t>
            </w:r>
            <w:r w:rsidR="002C0E7F" w:rsidRPr="00244841">
              <w:rPr>
                <w:rFonts w:ascii="Arial" w:hAnsi="Arial" w:cs="Arial"/>
                <w:b/>
                <w:bCs/>
                <w:color w:val="000000"/>
              </w:rPr>
              <w:t>A+B</w:t>
            </w:r>
            <w:r w:rsidR="00960445" w:rsidRPr="00244841">
              <w:rPr>
                <w:rFonts w:ascii="Arial" w:hAnsi="Arial" w:cs="Arial"/>
                <w:b/>
                <w:bCs/>
                <w:color w:val="000000"/>
              </w:rPr>
              <w:t>+C</w:t>
            </w:r>
            <w:r w:rsidR="002C0E7F" w:rsidRPr="00244841">
              <w:rPr>
                <w:rFonts w:ascii="Arial" w:hAnsi="Arial" w:cs="Arial"/>
                <w:b/>
                <w:bCs/>
                <w:color w:val="000000"/>
              </w:rPr>
              <w:t>)</w:t>
            </w:r>
          </w:p>
        </w:tc>
        <w:tc>
          <w:tcPr>
            <w:tcW w:w="1222" w:type="dxa"/>
            <w:vAlign w:val="center"/>
          </w:tcPr>
          <w:p w14:paraId="44787F33" w14:textId="6C6D4764" w:rsidR="002C0E7F" w:rsidRPr="00022B0E" w:rsidRDefault="00730F8C">
            <w:pPr>
              <w:pStyle w:val="TableBody"/>
              <w:ind w:right="113"/>
              <w:jc w:val="right"/>
              <w:rPr>
                <w:rFonts w:ascii="Arial" w:hAnsi="Arial" w:cs="Arial"/>
                <w:b/>
                <w:color w:val="000000"/>
              </w:rPr>
            </w:pPr>
            <w:r w:rsidRPr="00022B0E">
              <w:rPr>
                <w:rFonts w:ascii="Arial" w:hAnsi="Arial" w:cs="Arial"/>
                <w:b/>
                <w:color w:val="000000"/>
              </w:rPr>
              <w:t xml:space="preserve">117.2 </w:t>
            </w:r>
          </w:p>
        </w:tc>
        <w:tc>
          <w:tcPr>
            <w:tcW w:w="1222" w:type="dxa"/>
            <w:vAlign w:val="center"/>
          </w:tcPr>
          <w:p w14:paraId="5DB4B299" w14:textId="6108BF77" w:rsidR="002C0E7F" w:rsidRPr="00022B0E" w:rsidRDefault="00730F8C">
            <w:pPr>
              <w:pStyle w:val="TableBody"/>
              <w:ind w:right="113"/>
              <w:jc w:val="right"/>
              <w:rPr>
                <w:rFonts w:ascii="Arial" w:hAnsi="Arial" w:cs="Arial"/>
                <w:b/>
                <w:color w:val="000000"/>
              </w:rPr>
            </w:pPr>
            <w:r w:rsidRPr="00022B0E">
              <w:rPr>
                <w:rFonts w:ascii="Arial" w:hAnsi="Arial" w:cs="Arial"/>
                <w:b/>
                <w:color w:val="000000"/>
              </w:rPr>
              <w:t xml:space="preserve">119.2 </w:t>
            </w:r>
          </w:p>
        </w:tc>
        <w:tc>
          <w:tcPr>
            <w:tcW w:w="1222" w:type="dxa"/>
            <w:vAlign w:val="center"/>
          </w:tcPr>
          <w:p w14:paraId="78348712" w14:textId="28D3B0EE" w:rsidR="002C0E7F" w:rsidRPr="00022B0E" w:rsidRDefault="00730F8C">
            <w:pPr>
              <w:pStyle w:val="TableBody"/>
              <w:ind w:right="113"/>
              <w:jc w:val="right"/>
              <w:rPr>
                <w:rFonts w:ascii="Arial" w:hAnsi="Arial" w:cs="Arial"/>
                <w:b/>
                <w:color w:val="000000"/>
              </w:rPr>
            </w:pPr>
            <w:r w:rsidRPr="00022B0E">
              <w:rPr>
                <w:rFonts w:ascii="Arial" w:hAnsi="Arial" w:cs="Arial"/>
                <w:b/>
                <w:color w:val="000000"/>
              </w:rPr>
              <w:t xml:space="preserve">121.3 </w:t>
            </w:r>
          </w:p>
        </w:tc>
        <w:tc>
          <w:tcPr>
            <w:tcW w:w="1222" w:type="dxa"/>
            <w:vAlign w:val="center"/>
          </w:tcPr>
          <w:p w14:paraId="122EC889" w14:textId="521D11B1" w:rsidR="002C0E7F" w:rsidRPr="00022B0E" w:rsidRDefault="00730F8C">
            <w:pPr>
              <w:pStyle w:val="TableBody"/>
              <w:ind w:right="113"/>
              <w:jc w:val="right"/>
              <w:rPr>
                <w:rFonts w:ascii="Arial" w:hAnsi="Arial" w:cs="Arial"/>
                <w:b/>
                <w:color w:val="000000"/>
              </w:rPr>
            </w:pPr>
            <w:r w:rsidRPr="00022B0E">
              <w:rPr>
                <w:rFonts w:ascii="Arial" w:hAnsi="Arial" w:cs="Arial"/>
                <w:b/>
                <w:color w:val="000000"/>
              </w:rPr>
              <w:t xml:space="preserve">122.6 </w:t>
            </w:r>
          </w:p>
        </w:tc>
        <w:tc>
          <w:tcPr>
            <w:tcW w:w="1220" w:type="dxa"/>
            <w:vAlign w:val="center"/>
          </w:tcPr>
          <w:p w14:paraId="27CFE126" w14:textId="71386AA1" w:rsidR="002C0E7F" w:rsidRPr="00022B0E" w:rsidRDefault="00730F8C">
            <w:pPr>
              <w:pStyle w:val="TableBody"/>
              <w:ind w:right="113"/>
              <w:jc w:val="right"/>
              <w:rPr>
                <w:rFonts w:ascii="Arial" w:hAnsi="Arial" w:cs="Arial"/>
                <w:b/>
                <w:color w:val="000000"/>
              </w:rPr>
            </w:pPr>
            <w:r w:rsidRPr="00022B0E">
              <w:rPr>
                <w:rFonts w:ascii="Arial" w:hAnsi="Arial" w:cs="Arial"/>
                <w:b/>
                <w:color w:val="000000"/>
              </w:rPr>
              <w:t xml:space="preserve">480.3 </w:t>
            </w:r>
          </w:p>
        </w:tc>
      </w:tr>
    </w:tbl>
    <w:p w14:paraId="2B09A29E" w14:textId="77777777" w:rsidR="006B6AB7" w:rsidRDefault="006B6AB7" w:rsidP="001A3271"/>
    <w:p w14:paraId="59EB7731" w14:textId="690944E0" w:rsidR="00E81BA0" w:rsidRDefault="00E81BA0" w:rsidP="006E6B50">
      <w:pPr>
        <w:pStyle w:val="Heading2"/>
      </w:pPr>
      <w:bookmarkStart w:id="101" w:name="_Toc161400029"/>
      <w:r>
        <w:t>4.1</w:t>
      </w:r>
      <w:r>
        <w:tab/>
        <w:t>Operating expenditure</w:t>
      </w:r>
      <w:bookmarkEnd w:id="101"/>
      <w:r w:rsidR="0072460B">
        <w:t xml:space="preserve"> </w:t>
      </w:r>
    </w:p>
    <w:p w14:paraId="6F91F55D" w14:textId="09FBFCBC" w:rsidR="00C53271" w:rsidRDefault="00C53271" w:rsidP="00C53271">
      <w:pPr>
        <w:pStyle w:val="Pull-out"/>
      </w:pPr>
      <w:r w:rsidRPr="009C6BF0">
        <w:t>Our draft decision is to accept Goulburn-Murray Water’s forecast operating expenditure</w:t>
      </w:r>
      <w:r w:rsidR="003E1A2D" w:rsidRPr="009C6BF0">
        <w:t xml:space="preserve"> </w:t>
      </w:r>
      <w:r w:rsidR="00703E54" w:rsidRPr="009C6BF0">
        <w:t xml:space="preserve">of </w:t>
      </w:r>
      <w:r w:rsidR="00703E54" w:rsidRPr="00143A63">
        <w:t>$371.</w:t>
      </w:r>
      <w:r w:rsidR="00252462" w:rsidRPr="00143A63">
        <w:t>64</w:t>
      </w:r>
      <w:r w:rsidR="00703E54" w:rsidRPr="009C6BF0">
        <w:t xml:space="preserve"> million</w:t>
      </w:r>
      <w:r w:rsidR="00FA5FED">
        <w:t>, after adjusting for</w:t>
      </w:r>
      <w:r w:rsidR="00182D3C">
        <w:t xml:space="preserve"> long-term </w:t>
      </w:r>
      <w:r w:rsidR="00FA5FED">
        <w:t>i</w:t>
      </w:r>
      <w:r w:rsidR="00CC4EA1">
        <w:t>nflation</w:t>
      </w:r>
      <w:r w:rsidR="001F28E5">
        <w:t>.</w:t>
      </w:r>
      <w:r w:rsidRPr="009C6BF0">
        <w:t xml:space="preserve"> </w:t>
      </w:r>
    </w:p>
    <w:p w14:paraId="4D7EF03D" w14:textId="3DD9B6EF" w:rsidR="00C53271" w:rsidRDefault="00C53271" w:rsidP="00C53271">
      <w:r>
        <w:t>Operating expenditure is a component of the revenue requirement. Goulburn-Murray Water’s price submission provides detail on its forecast operating expenditure from pages 53 to 57.</w:t>
      </w:r>
    </w:p>
    <w:p w14:paraId="19D32CF4" w14:textId="77777777" w:rsidR="00C53271" w:rsidRDefault="00C53271" w:rsidP="00C53271">
      <w:r>
        <w:t xml:space="preserve">We assess both: </w:t>
      </w:r>
    </w:p>
    <w:p w14:paraId="5570497B" w14:textId="77777777" w:rsidR="00E81BA0" w:rsidRDefault="00E81BA0" w:rsidP="00821A3A">
      <w:pPr>
        <w:pStyle w:val="ListBullet"/>
      </w:pPr>
      <w:r>
        <w:t xml:space="preserve">controllable operating expenditure – comprising </w:t>
      </w:r>
      <w:r w:rsidR="00807E92">
        <w:t>all</w:t>
      </w:r>
      <w:r>
        <w:t xml:space="preserve"> costs that can be directly or indirectly influenced by a water corporation’s decisions</w:t>
      </w:r>
    </w:p>
    <w:p w14:paraId="4FBFE067" w14:textId="77777777" w:rsidR="00E81BA0" w:rsidRDefault="00E81BA0" w:rsidP="00821A3A">
      <w:pPr>
        <w:pStyle w:val="ListBullet"/>
      </w:pPr>
      <w:r>
        <w:t>non</w:t>
      </w:r>
      <w:r w:rsidR="00FE0B48">
        <w:noBreakHyphen/>
      </w:r>
      <w:r>
        <w:t xml:space="preserve">controllable operating expenditure – comprising </w:t>
      </w:r>
      <w:r w:rsidR="00807E92">
        <w:t>all</w:t>
      </w:r>
      <w:r>
        <w:t xml:space="preserve"> costs that cannot be directly or indirectly influenced by a water corporation’s decisions.</w:t>
      </w:r>
    </w:p>
    <w:p w14:paraId="0F10BEC4" w14:textId="77777777" w:rsidR="00E81BA0" w:rsidRDefault="00E81BA0" w:rsidP="00E81BA0">
      <w:r>
        <w:t xml:space="preserve">We engaged </w:t>
      </w:r>
      <w:r w:rsidRPr="00C80273">
        <w:t>FTI Consulting to</w:t>
      </w:r>
      <w:r>
        <w:t xml:space="preserve"> provide expert advice to inform our assessment of controllable operating </w:t>
      </w:r>
      <w:r w:rsidRPr="00C80273">
        <w:t>expenditure. FTI Consulting’s</w:t>
      </w:r>
      <w:r w:rsidRPr="00701613">
        <w:t xml:space="preserve"> report on its assessment of </w:t>
      </w:r>
      <w:r w:rsidR="00D1620B">
        <w:t>Goulburn-Murray Water</w:t>
      </w:r>
      <w:r w:rsidRPr="00701613">
        <w:t>’s expenditure forecast is available on our website.</w:t>
      </w:r>
      <w:r w:rsidR="00073D01" w:rsidRPr="00701613">
        <w:rPr>
          <w:rStyle w:val="FootnoteReference"/>
        </w:rPr>
        <w:footnoteReference w:id="41"/>
      </w:r>
      <w:r>
        <w:t xml:space="preserve"> </w:t>
      </w:r>
    </w:p>
    <w:p w14:paraId="10731589" w14:textId="77777777" w:rsidR="005D3964" w:rsidRDefault="00E81BA0" w:rsidP="00E81BA0">
      <w:r>
        <w:lastRenderedPageBreak/>
        <w:t xml:space="preserve">Table </w:t>
      </w:r>
      <w:r w:rsidRPr="002C497E">
        <w:t>4.3</w:t>
      </w:r>
      <w:r>
        <w:t xml:space="preserve"> sets out our draft decision on </w:t>
      </w:r>
      <w:r w:rsidR="00D1620B">
        <w:t>Goulburn-Murray Water</w:t>
      </w:r>
      <w:r>
        <w:t>’s forecast operating expenditure, for the purpose of establishing the revenue requirement outlined in Table 4.1.</w:t>
      </w:r>
    </w:p>
    <w:p w14:paraId="2A0DE251" w14:textId="77777777" w:rsidR="00114E0A" w:rsidRDefault="00114E0A" w:rsidP="00C53271">
      <w:pPr>
        <w:pStyle w:val="Figure-Table-BoxHeading"/>
        <w:keepNext/>
        <w:spacing w:after="0" w:line="288" w:lineRule="auto"/>
      </w:pPr>
      <w:r>
        <w:t xml:space="preserve">Table </w:t>
      </w:r>
      <w:r w:rsidRPr="002C497E">
        <w:t>4.3</w:t>
      </w:r>
      <w:r>
        <w:tab/>
        <w:t xml:space="preserve">Draft decision – operating expenditure </w:t>
      </w:r>
    </w:p>
    <w:p w14:paraId="71B00415" w14:textId="77777777" w:rsidR="005D3964" w:rsidRDefault="00114E0A" w:rsidP="00C53271">
      <w:pPr>
        <w:pStyle w:val="Figure-Table-BoxSubtitle"/>
        <w:keepNext/>
        <w:spacing w:before="0" w:after="0" w:line="240" w:lineRule="auto"/>
        <w:ind w:left="1418"/>
      </w:pPr>
      <w:r>
        <w:t>$</w:t>
      </w:r>
      <w:r w:rsidR="006761A1">
        <w:t> million</w:t>
      </w:r>
      <w:r>
        <w:t xml:space="preserve"> </w:t>
      </w:r>
      <w:r w:rsidR="008239D4">
        <w:t>2023</w:t>
      </w:r>
      <w:r w:rsidR="006761A1">
        <w:noBreakHyphen/>
      </w:r>
      <w:r w:rsidR="008239D4">
        <w:t>24</w:t>
      </w:r>
    </w:p>
    <w:tbl>
      <w:tblPr>
        <w:tblStyle w:val="TableGrid"/>
        <w:tblW w:w="0" w:type="auto"/>
        <w:tblLook w:val="04A0" w:firstRow="1" w:lastRow="0" w:firstColumn="1" w:lastColumn="0" w:noHBand="0" w:noVBand="1"/>
      </w:tblPr>
      <w:tblGrid>
        <w:gridCol w:w="3119"/>
        <w:gridCol w:w="1087"/>
        <w:gridCol w:w="1086"/>
        <w:gridCol w:w="1087"/>
        <w:gridCol w:w="1086"/>
        <w:gridCol w:w="1087"/>
      </w:tblGrid>
      <w:tr w:rsidR="00C53271" w14:paraId="0BAFAB7C" w14:textId="77777777">
        <w:trPr>
          <w:cnfStyle w:val="100000000000" w:firstRow="1" w:lastRow="0" w:firstColumn="0" w:lastColumn="0" w:oddVBand="0" w:evenVBand="0" w:oddHBand="0" w:evenHBand="0" w:firstRowFirstColumn="0" w:firstRowLastColumn="0" w:lastRowFirstColumn="0" w:lastRowLastColumn="0"/>
        </w:trPr>
        <w:tc>
          <w:tcPr>
            <w:tcW w:w="3119" w:type="dxa"/>
          </w:tcPr>
          <w:p w14:paraId="08997E7C" w14:textId="77777777" w:rsidR="00C53271" w:rsidRDefault="00C53271">
            <w:pPr>
              <w:pStyle w:val="TableHeading"/>
              <w:keepNext/>
            </w:pPr>
          </w:p>
        </w:tc>
        <w:tc>
          <w:tcPr>
            <w:tcW w:w="1087" w:type="dxa"/>
          </w:tcPr>
          <w:p w14:paraId="03962169" w14:textId="77777777" w:rsidR="00C53271" w:rsidRDefault="00C53271">
            <w:pPr>
              <w:pStyle w:val="TableHeading"/>
              <w:ind w:right="113"/>
              <w:jc w:val="right"/>
            </w:pPr>
            <w:r w:rsidRPr="00EC7910">
              <w:t>2024</w:t>
            </w:r>
            <w:r>
              <w:noBreakHyphen/>
            </w:r>
            <w:r w:rsidRPr="00EC7910">
              <w:t>25</w:t>
            </w:r>
          </w:p>
        </w:tc>
        <w:tc>
          <w:tcPr>
            <w:tcW w:w="1086" w:type="dxa"/>
          </w:tcPr>
          <w:p w14:paraId="318C5BC3" w14:textId="77777777" w:rsidR="00C53271" w:rsidRDefault="00C53271">
            <w:pPr>
              <w:pStyle w:val="TableHeading"/>
              <w:ind w:right="113"/>
              <w:jc w:val="right"/>
            </w:pPr>
            <w:r w:rsidRPr="00EC7910">
              <w:t>2025</w:t>
            </w:r>
            <w:r>
              <w:noBreakHyphen/>
            </w:r>
            <w:r w:rsidRPr="00EC7910">
              <w:t>26</w:t>
            </w:r>
          </w:p>
        </w:tc>
        <w:tc>
          <w:tcPr>
            <w:tcW w:w="1087" w:type="dxa"/>
          </w:tcPr>
          <w:p w14:paraId="70A91E87" w14:textId="77777777" w:rsidR="00C53271" w:rsidRDefault="00C53271">
            <w:pPr>
              <w:pStyle w:val="TableHeading"/>
              <w:ind w:right="113"/>
              <w:jc w:val="right"/>
            </w:pPr>
            <w:r w:rsidRPr="00EC7910">
              <w:t>2026</w:t>
            </w:r>
            <w:r>
              <w:noBreakHyphen/>
            </w:r>
            <w:r w:rsidRPr="00EC7910">
              <w:t>27</w:t>
            </w:r>
          </w:p>
        </w:tc>
        <w:tc>
          <w:tcPr>
            <w:tcW w:w="1086" w:type="dxa"/>
          </w:tcPr>
          <w:p w14:paraId="23052751" w14:textId="77777777" w:rsidR="00C53271" w:rsidRDefault="00C53271">
            <w:pPr>
              <w:pStyle w:val="TableHeading"/>
              <w:ind w:right="113"/>
              <w:jc w:val="right"/>
            </w:pPr>
            <w:r w:rsidRPr="00EC7910">
              <w:t>2027</w:t>
            </w:r>
            <w:r>
              <w:noBreakHyphen/>
            </w:r>
            <w:r w:rsidRPr="00EC7910">
              <w:t>28</w:t>
            </w:r>
          </w:p>
        </w:tc>
        <w:tc>
          <w:tcPr>
            <w:tcW w:w="1087" w:type="dxa"/>
          </w:tcPr>
          <w:p w14:paraId="17C21516" w14:textId="77777777" w:rsidR="00C53271" w:rsidRDefault="00C53271">
            <w:pPr>
              <w:pStyle w:val="TableHeading"/>
              <w:ind w:right="113"/>
              <w:jc w:val="right"/>
            </w:pPr>
            <w:r w:rsidRPr="00EC7910">
              <w:t>Total</w:t>
            </w:r>
          </w:p>
        </w:tc>
      </w:tr>
      <w:tr w:rsidR="00C53271" w14:paraId="0FDDAAF3" w14:textId="77777777">
        <w:trPr>
          <w:cnfStyle w:val="000000100000" w:firstRow="0" w:lastRow="0" w:firstColumn="0" w:lastColumn="0" w:oddVBand="0" w:evenVBand="0" w:oddHBand="1" w:evenHBand="0" w:firstRowFirstColumn="0" w:firstRowLastColumn="0" w:lastRowFirstColumn="0" w:lastRowLastColumn="0"/>
        </w:trPr>
        <w:tc>
          <w:tcPr>
            <w:tcW w:w="3119" w:type="dxa"/>
          </w:tcPr>
          <w:p w14:paraId="6D527A41" w14:textId="77777777" w:rsidR="00C53271" w:rsidRPr="00717FB3" w:rsidRDefault="00C53271">
            <w:pPr>
              <w:pStyle w:val="TableBody"/>
              <w:rPr>
                <w:b/>
                <w:bCs/>
              </w:rPr>
            </w:pPr>
            <w:r w:rsidRPr="00717FB3">
              <w:rPr>
                <w:b/>
                <w:bCs/>
              </w:rPr>
              <w:t>Controllable operating expenditure</w:t>
            </w:r>
          </w:p>
        </w:tc>
        <w:tc>
          <w:tcPr>
            <w:tcW w:w="1087" w:type="dxa"/>
          </w:tcPr>
          <w:p w14:paraId="1028F106" w14:textId="77777777" w:rsidR="00C53271" w:rsidRPr="00594750" w:rsidRDefault="00C53271">
            <w:pPr>
              <w:pStyle w:val="TableBody"/>
              <w:ind w:right="113"/>
              <w:jc w:val="right"/>
            </w:pPr>
            <w:r w:rsidRPr="00594750">
              <w:t>75.79</w:t>
            </w:r>
          </w:p>
        </w:tc>
        <w:tc>
          <w:tcPr>
            <w:tcW w:w="1086" w:type="dxa"/>
          </w:tcPr>
          <w:p w14:paraId="0DB32BC1" w14:textId="77777777" w:rsidR="00C53271" w:rsidRPr="00594750" w:rsidRDefault="00C53271">
            <w:pPr>
              <w:pStyle w:val="TableBody"/>
              <w:ind w:right="113"/>
              <w:jc w:val="right"/>
            </w:pPr>
            <w:r w:rsidRPr="00594750">
              <w:t xml:space="preserve">76.34 </w:t>
            </w:r>
          </w:p>
        </w:tc>
        <w:tc>
          <w:tcPr>
            <w:tcW w:w="1087" w:type="dxa"/>
          </w:tcPr>
          <w:p w14:paraId="2DA243E9" w14:textId="77777777" w:rsidR="00C53271" w:rsidRPr="00594750" w:rsidRDefault="00C53271">
            <w:pPr>
              <w:pStyle w:val="TableBody"/>
              <w:ind w:right="113"/>
              <w:jc w:val="right"/>
            </w:pPr>
            <w:r w:rsidRPr="00594750">
              <w:t>77.05</w:t>
            </w:r>
          </w:p>
        </w:tc>
        <w:tc>
          <w:tcPr>
            <w:tcW w:w="1086" w:type="dxa"/>
          </w:tcPr>
          <w:p w14:paraId="45140F58" w14:textId="77777777" w:rsidR="00C53271" w:rsidRPr="00594750" w:rsidRDefault="00C53271">
            <w:pPr>
              <w:pStyle w:val="TableBody"/>
              <w:ind w:right="113"/>
              <w:jc w:val="right"/>
            </w:pPr>
            <w:r w:rsidRPr="00594750">
              <w:t>77.00</w:t>
            </w:r>
          </w:p>
        </w:tc>
        <w:tc>
          <w:tcPr>
            <w:tcW w:w="1087" w:type="dxa"/>
          </w:tcPr>
          <w:p w14:paraId="2D9D8AAC" w14:textId="07F9D570" w:rsidR="00C53271" w:rsidRPr="00594750" w:rsidRDefault="00C53271">
            <w:pPr>
              <w:pStyle w:val="TableBody"/>
              <w:ind w:right="113"/>
              <w:jc w:val="right"/>
            </w:pPr>
            <w:r w:rsidRPr="00594750">
              <w:t>306.18</w:t>
            </w:r>
          </w:p>
        </w:tc>
      </w:tr>
      <w:tr w:rsidR="00C53271" w:rsidRPr="00F26416" w14:paraId="7DC744F7" w14:textId="77777777">
        <w:trPr>
          <w:cnfStyle w:val="000000010000" w:firstRow="0" w:lastRow="0" w:firstColumn="0" w:lastColumn="0" w:oddVBand="0" w:evenVBand="0" w:oddHBand="0" w:evenHBand="1" w:firstRowFirstColumn="0" w:firstRowLastColumn="0" w:lastRowFirstColumn="0" w:lastRowLastColumn="0"/>
        </w:trPr>
        <w:tc>
          <w:tcPr>
            <w:tcW w:w="3119" w:type="dxa"/>
          </w:tcPr>
          <w:p w14:paraId="45F3E42C" w14:textId="77777777" w:rsidR="00C53271" w:rsidRPr="00F26416" w:rsidRDefault="00C53271">
            <w:pPr>
              <w:pStyle w:val="TableBody"/>
              <w:rPr>
                <w:b/>
              </w:rPr>
            </w:pPr>
            <w:r w:rsidRPr="00F26416">
              <w:rPr>
                <w:b/>
              </w:rPr>
              <w:t>Non</w:t>
            </w:r>
            <w:r w:rsidRPr="00F26416">
              <w:rPr>
                <w:b/>
              </w:rPr>
              <w:noBreakHyphen/>
              <w:t>controllable operating expenditure</w:t>
            </w:r>
          </w:p>
        </w:tc>
        <w:tc>
          <w:tcPr>
            <w:tcW w:w="1087" w:type="dxa"/>
          </w:tcPr>
          <w:p w14:paraId="38855928" w14:textId="764AACAE" w:rsidR="00C53271" w:rsidRPr="00F26416" w:rsidRDefault="00C53271">
            <w:pPr>
              <w:pStyle w:val="TableBody"/>
              <w:ind w:right="113"/>
              <w:jc w:val="right"/>
            </w:pPr>
            <w:r w:rsidRPr="00F26416">
              <w:t>16.4</w:t>
            </w:r>
            <w:r w:rsidR="0036557A" w:rsidRPr="00F26416">
              <w:t>7</w:t>
            </w:r>
          </w:p>
        </w:tc>
        <w:tc>
          <w:tcPr>
            <w:tcW w:w="1086" w:type="dxa"/>
          </w:tcPr>
          <w:p w14:paraId="6EBA1FF5" w14:textId="29CF77E3" w:rsidR="00C53271" w:rsidRPr="00F26416" w:rsidRDefault="00C53271">
            <w:pPr>
              <w:pStyle w:val="TableBody"/>
              <w:ind w:right="113"/>
              <w:jc w:val="right"/>
            </w:pPr>
            <w:r w:rsidRPr="00F26416">
              <w:t>16.</w:t>
            </w:r>
            <w:r w:rsidR="004833DA" w:rsidRPr="00F26416">
              <w:t>40</w:t>
            </w:r>
          </w:p>
        </w:tc>
        <w:tc>
          <w:tcPr>
            <w:tcW w:w="1087" w:type="dxa"/>
          </w:tcPr>
          <w:p w14:paraId="7568DE54" w14:textId="17370FDE" w:rsidR="00C53271" w:rsidRPr="00F26416" w:rsidRDefault="00C53271">
            <w:pPr>
              <w:pStyle w:val="TableBody"/>
              <w:ind w:right="113"/>
              <w:jc w:val="right"/>
            </w:pPr>
            <w:r w:rsidRPr="00F26416">
              <w:t>16.3</w:t>
            </w:r>
            <w:r w:rsidR="004833DA" w:rsidRPr="00F26416">
              <w:t>3</w:t>
            </w:r>
          </w:p>
        </w:tc>
        <w:tc>
          <w:tcPr>
            <w:tcW w:w="1086" w:type="dxa"/>
          </w:tcPr>
          <w:p w14:paraId="5326451C" w14:textId="3668674E" w:rsidR="00C53271" w:rsidRPr="00F26416" w:rsidRDefault="00C53271">
            <w:pPr>
              <w:pStyle w:val="TableBody"/>
              <w:ind w:right="113"/>
              <w:jc w:val="right"/>
            </w:pPr>
            <w:r w:rsidRPr="00F26416">
              <w:t>16.2</w:t>
            </w:r>
            <w:r w:rsidR="004833DA" w:rsidRPr="00F26416">
              <w:t>6</w:t>
            </w:r>
          </w:p>
        </w:tc>
        <w:tc>
          <w:tcPr>
            <w:tcW w:w="1087" w:type="dxa"/>
          </w:tcPr>
          <w:p w14:paraId="7E36221A" w14:textId="5E4FE2E4" w:rsidR="00C53271" w:rsidRPr="00F26416" w:rsidRDefault="00C53271">
            <w:pPr>
              <w:pStyle w:val="TableBody"/>
              <w:ind w:right="113"/>
              <w:jc w:val="right"/>
            </w:pPr>
            <w:r w:rsidRPr="00F26416">
              <w:t>65.</w:t>
            </w:r>
            <w:r w:rsidR="004833DA" w:rsidRPr="00F26416">
              <w:t>46</w:t>
            </w:r>
          </w:p>
        </w:tc>
      </w:tr>
      <w:tr w:rsidR="00C53271" w:rsidRPr="00F26416" w14:paraId="657775D4" w14:textId="77777777">
        <w:trPr>
          <w:cnfStyle w:val="000000100000" w:firstRow="0" w:lastRow="0" w:firstColumn="0" w:lastColumn="0" w:oddVBand="0" w:evenVBand="0" w:oddHBand="1" w:evenHBand="0" w:firstRowFirstColumn="0" w:firstRowLastColumn="0" w:lastRowFirstColumn="0" w:lastRowLastColumn="0"/>
        </w:trPr>
        <w:tc>
          <w:tcPr>
            <w:tcW w:w="3119" w:type="dxa"/>
          </w:tcPr>
          <w:p w14:paraId="60ADABF1" w14:textId="77777777" w:rsidR="00C53271" w:rsidRPr="00F26416" w:rsidRDefault="00C53271">
            <w:pPr>
              <w:pStyle w:val="TableBody"/>
              <w:ind w:left="194"/>
            </w:pPr>
            <w:r w:rsidRPr="00F26416">
              <w:t>Murray Darling Basin Authority contribution</w:t>
            </w:r>
            <w:r w:rsidRPr="00F26416">
              <w:rPr>
                <w:b/>
                <w:bCs/>
                <w:vertAlign w:val="superscript"/>
              </w:rPr>
              <w:t>a</w:t>
            </w:r>
          </w:p>
        </w:tc>
        <w:tc>
          <w:tcPr>
            <w:tcW w:w="1087" w:type="dxa"/>
          </w:tcPr>
          <w:p w14:paraId="01AA3244" w14:textId="77777777" w:rsidR="00C53271" w:rsidRPr="00F26416" w:rsidRDefault="00C53271">
            <w:pPr>
              <w:pStyle w:val="TableBody"/>
              <w:ind w:right="113"/>
              <w:jc w:val="right"/>
            </w:pPr>
            <w:r w:rsidRPr="00F26416">
              <w:t>14.00</w:t>
            </w:r>
          </w:p>
        </w:tc>
        <w:tc>
          <w:tcPr>
            <w:tcW w:w="1086" w:type="dxa"/>
          </w:tcPr>
          <w:p w14:paraId="79571BE3" w14:textId="77777777" w:rsidR="00C53271" w:rsidRPr="00F26416" w:rsidRDefault="00C53271">
            <w:pPr>
              <w:pStyle w:val="TableBody"/>
              <w:ind w:right="113"/>
              <w:jc w:val="right"/>
            </w:pPr>
            <w:r w:rsidRPr="00F26416">
              <w:t>14.00</w:t>
            </w:r>
          </w:p>
        </w:tc>
        <w:tc>
          <w:tcPr>
            <w:tcW w:w="1087" w:type="dxa"/>
          </w:tcPr>
          <w:p w14:paraId="1DD5D4B8" w14:textId="77777777" w:rsidR="00C53271" w:rsidRPr="00F26416" w:rsidRDefault="00C53271">
            <w:pPr>
              <w:pStyle w:val="TableBody"/>
              <w:ind w:right="113"/>
              <w:jc w:val="right"/>
            </w:pPr>
            <w:r w:rsidRPr="00F26416">
              <w:t>14.00</w:t>
            </w:r>
          </w:p>
        </w:tc>
        <w:tc>
          <w:tcPr>
            <w:tcW w:w="1086" w:type="dxa"/>
          </w:tcPr>
          <w:p w14:paraId="2F4E6299" w14:textId="77777777" w:rsidR="00C53271" w:rsidRPr="00F26416" w:rsidRDefault="00C53271">
            <w:pPr>
              <w:pStyle w:val="TableBody"/>
              <w:ind w:right="113"/>
              <w:jc w:val="right"/>
            </w:pPr>
            <w:r w:rsidRPr="00F26416">
              <w:t>14.00</w:t>
            </w:r>
          </w:p>
        </w:tc>
        <w:tc>
          <w:tcPr>
            <w:tcW w:w="1087" w:type="dxa"/>
          </w:tcPr>
          <w:p w14:paraId="6D29538F" w14:textId="77777777" w:rsidR="00C53271" w:rsidRPr="00F26416" w:rsidRDefault="00C53271">
            <w:pPr>
              <w:pStyle w:val="TableBody"/>
              <w:ind w:right="113"/>
              <w:jc w:val="right"/>
            </w:pPr>
            <w:r w:rsidRPr="00F26416">
              <w:t>14.00</w:t>
            </w:r>
          </w:p>
        </w:tc>
      </w:tr>
      <w:tr w:rsidR="00C53271" w:rsidRPr="00F26416" w14:paraId="51C2D8E7" w14:textId="77777777">
        <w:trPr>
          <w:cnfStyle w:val="000000010000" w:firstRow="0" w:lastRow="0" w:firstColumn="0" w:lastColumn="0" w:oddVBand="0" w:evenVBand="0" w:oddHBand="0" w:evenHBand="1" w:firstRowFirstColumn="0" w:firstRowLastColumn="0" w:lastRowFirstColumn="0" w:lastRowLastColumn="0"/>
        </w:trPr>
        <w:tc>
          <w:tcPr>
            <w:tcW w:w="3119" w:type="dxa"/>
          </w:tcPr>
          <w:p w14:paraId="32F040F9" w14:textId="77777777" w:rsidR="00C53271" w:rsidRPr="00F26416" w:rsidRDefault="00C53271">
            <w:pPr>
              <w:pStyle w:val="TableBody"/>
              <w:ind w:left="194"/>
            </w:pPr>
            <w:r w:rsidRPr="00F26416">
              <w:t>Environmental contribution</w:t>
            </w:r>
            <w:r w:rsidRPr="00F26416">
              <w:rPr>
                <w:b/>
                <w:vertAlign w:val="superscript"/>
              </w:rPr>
              <w:t>b</w:t>
            </w:r>
          </w:p>
        </w:tc>
        <w:tc>
          <w:tcPr>
            <w:tcW w:w="1087" w:type="dxa"/>
          </w:tcPr>
          <w:p w14:paraId="45F96D12" w14:textId="39C03093" w:rsidR="00C53271" w:rsidRPr="00F26416" w:rsidRDefault="00C53271">
            <w:pPr>
              <w:pStyle w:val="TableBody"/>
              <w:ind w:right="113"/>
              <w:jc w:val="right"/>
            </w:pPr>
            <w:r w:rsidRPr="00F26416">
              <w:t>2.3</w:t>
            </w:r>
            <w:r w:rsidR="004833DA" w:rsidRPr="00F26416">
              <w:t>9</w:t>
            </w:r>
          </w:p>
        </w:tc>
        <w:tc>
          <w:tcPr>
            <w:tcW w:w="1086" w:type="dxa"/>
          </w:tcPr>
          <w:p w14:paraId="0CDA1280" w14:textId="1D1458E3" w:rsidR="00C53271" w:rsidRPr="00F26416" w:rsidRDefault="00C53271">
            <w:pPr>
              <w:pStyle w:val="TableBody"/>
              <w:ind w:right="113"/>
              <w:jc w:val="right"/>
            </w:pPr>
            <w:r w:rsidRPr="00F26416">
              <w:t>2.</w:t>
            </w:r>
            <w:r w:rsidR="003F2A7D" w:rsidRPr="00F26416">
              <w:t>32</w:t>
            </w:r>
          </w:p>
        </w:tc>
        <w:tc>
          <w:tcPr>
            <w:tcW w:w="1087" w:type="dxa"/>
          </w:tcPr>
          <w:p w14:paraId="25046C81" w14:textId="30A2BC01" w:rsidR="00C53271" w:rsidRPr="00F26416" w:rsidRDefault="00C53271">
            <w:pPr>
              <w:pStyle w:val="TableBody"/>
              <w:ind w:right="113"/>
              <w:jc w:val="right"/>
            </w:pPr>
            <w:r w:rsidRPr="00F26416">
              <w:t>2.2</w:t>
            </w:r>
            <w:r w:rsidR="003F2A7D" w:rsidRPr="00F26416">
              <w:t>5</w:t>
            </w:r>
          </w:p>
        </w:tc>
        <w:tc>
          <w:tcPr>
            <w:tcW w:w="1086" w:type="dxa"/>
          </w:tcPr>
          <w:p w14:paraId="35C34696" w14:textId="6E134D66" w:rsidR="00C53271" w:rsidRPr="00F26416" w:rsidRDefault="00C53271">
            <w:pPr>
              <w:pStyle w:val="TableBody"/>
              <w:ind w:right="113"/>
              <w:jc w:val="right"/>
            </w:pPr>
            <w:r w:rsidRPr="00F26416">
              <w:t>2.1</w:t>
            </w:r>
            <w:r w:rsidR="00183195" w:rsidRPr="00F26416">
              <w:t>8</w:t>
            </w:r>
          </w:p>
        </w:tc>
        <w:tc>
          <w:tcPr>
            <w:tcW w:w="1087" w:type="dxa"/>
          </w:tcPr>
          <w:p w14:paraId="1F77CB66" w14:textId="758D367E" w:rsidR="00C53271" w:rsidRPr="00F26416" w:rsidRDefault="00C53271">
            <w:pPr>
              <w:pStyle w:val="TableBody"/>
              <w:ind w:right="113"/>
              <w:jc w:val="right"/>
            </w:pPr>
            <w:r w:rsidRPr="00F26416">
              <w:t>9.</w:t>
            </w:r>
            <w:r w:rsidR="00C609C8" w:rsidRPr="00F26416">
              <w:t>14</w:t>
            </w:r>
          </w:p>
        </w:tc>
      </w:tr>
      <w:tr w:rsidR="00C53271" w:rsidRPr="00F26416" w14:paraId="22C9517F" w14:textId="77777777">
        <w:trPr>
          <w:cnfStyle w:val="000000100000" w:firstRow="0" w:lastRow="0" w:firstColumn="0" w:lastColumn="0" w:oddVBand="0" w:evenVBand="0" w:oddHBand="1" w:evenHBand="0" w:firstRowFirstColumn="0" w:firstRowLastColumn="0" w:lastRowFirstColumn="0" w:lastRowLastColumn="0"/>
        </w:trPr>
        <w:tc>
          <w:tcPr>
            <w:tcW w:w="3119" w:type="dxa"/>
          </w:tcPr>
          <w:p w14:paraId="3B07EF62" w14:textId="77777777" w:rsidR="00C53271" w:rsidRPr="00F26416" w:rsidRDefault="00C53271">
            <w:pPr>
              <w:pStyle w:val="TableBody"/>
              <w:ind w:left="194"/>
            </w:pPr>
            <w:r w:rsidRPr="00F26416">
              <w:t>Licence fees – Essential Services Commission</w:t>
            </w:r>
            <w:r w:rsidRPr="00F26416">
              <w:rPr>
                <w:b/>
                <w:bCs/>
                <w:vertAlign w:val="superscript"/>
              </w:rPr>
              <w:t>c</w:t>
            </w:r>
          </w:p>
        </w:tc>
        <w:tc>
          <w:tcPr>
            <w:tcW w:w="1087" w:type="dxa"/>
          </w:tcPr>
          <w:p w14:paraId="3A7757CC" w14:textId="77777777" w:rsidR="00C53271" w:rsidRPr="00F26416" w:rsidRDefault="00C53271">
            <w:pPr>
              <w:pStyle w:val="TableBody"/>
              <w:ind w:right="113"/>
              <w:jc w:val="right"/>
            </w:pPr>
            <w:r w:rsidRPr="00F26416">
              <w:t>0.08</w:t>
            </w:r>
          </w:p>
        </w:tc>
        <w:tc>
          <w:tcPr>
            <w:tcW w:w="1086" w:type="dxa"/>
          </w:tcPr>
          <w:p w14:paraId="0F6FF4BE" w14:textId="77777777" w:rsidR="00C53271" w:rsidRPr="00F26416" w:rsidRDefault="00C53271">
            <w:pPr>
              <w:pStyle w:val="TableBody"/>
              <w:ind w:right="113"/>
              <w:jc w:val="right"/>
            </w:pPr>
            <w:r w:rsidRPr="00F26416">
              <w:t>0.08</w:t>
            </w:r>
          </w:p>
        </w:tc>
        <w:tc>
          <w:tcPr>
            <w:tcW w:w="1087" w:type="dxa"/>
          </w:tcPr>
          <w:p w14:paraId="550CE960" w14:textId="77777777" w:rsidR="00C53271" w:rsidRPr="00F26416" w:rsidRDefault="00C53271">
            <w:pPr>
              <w:pStyle w:val="TableBody"/>
              <w:ind w:right="113"/>
              <w:jc w:val="right"/>
            </w:pPr>
            <w:r w:rsidRPr="00F26416">
              <w:t>0.08</w:t>
            </w:r>
          </w:p>
        </w:tc>
        <w:tc>
          <w:tcPr>
            <w:tcW w:w="1086" w:type="dxa"/>
          </w:tcPr>
          <w:p w14:paraId="6B61E53C" w14:textId="77777777" w:rsidR="00C53271" w:rsidRPr="00F26416" w:rsidRDefault="00C53271">
            <w:pPr>
              <w:pStyle w:val="TableBody"/>
              <w:ind w:right="113"/>
              <w:jc w:val="right"/>
            </w:pPr>
            <w:r w:rsidRPr="00F26416">
              <w:t>0.08</w:t>
            </w:r>
          </w:p>
        </w:tc>
        <w:tc>
          <w:tcPr>
            <w:tcW w:w="1087" w:type="dxa"/>
          </w:tcPr>
          <w:p w14:paraId="25A41513" w14:textId="77777777" w:rsidR="00C53271" w:rsidRPr="00F26416" w:rsidRDefault="00C53271">
            <w:pPr>
              <w:pStyle w:val="TableBody"/>
              <w:ind w:right="113"/>
              <w:jc w:val="right"/>
            </w:pPr>
            <w:r w:rsidRPr="00F26416">
              <w:t>0.32</w:t>
            </w:r>
          </w:p>
        </w:tc>
      </w:tr>
      <w:tr w:rsidR="00C53271" w:rsidRPr="00F26416" w14:paraId="56756A4C" w14:textId="77777777">
        <w:trPr>
          <w:cnfStyle w:val="000000010000" w:firstRow="0" w:lastRow="0" w:firstColumn="0" w:lastColumn="0" w:oddVBand="0" w:evenVBand="0" w:oddHBand="0" w:evenHBand="1" w:firstRowFirstColumn="0" w:firstRowLastColumn="0" w:lastRowFirstColumn="0" w:lastRowLastColumn="0"/>
        </w:trPr>
        <w:tc>
          <w:tcPr>
            <w:tcW w:w="3119" w:type="dxa"/>
          </w:tcPr>
          <w:p w14:paraId="20483594" w14:textId="77777777" w:rsidR="00C53271" w:rsidRPr="00F26416" w:rsidRDefault="00C53271">
            <w:pPr>
              <w:pStyle w:val="TableBody"/>
              <w:rPr>
                <w:b/>
              </w:rPr>
            </w:pPr>
            <w:r w:rsidRPr="00F26416">
              <w:rPr>
                <w:b/>
              </w:rPr>
              <w:t>Draft decision – operating expenditure</w:t>
            </w:r>
          </w:p>
        </w:tc>
        <w:tc>
          <w:tcPr>
            <w:tcW w:w="1087" w:type="dxa"/>
          </w:tcPr>
          <w:p w14:paraId="0D3C2A56" w14:textId="4570641A" w:rsidR="00C53271" w:rsidRPr="00F26416" w:rsidRDefault="00C53271">
            <w:pPr>
              <w:pStyle w:val="TableBody"/>
              <w:ind w:right="113"/>
              <w:jc w:val="right"/>
            </w:pPr>
            <w:r w:rsidRPr="00F26416">
              <w:t>92.2</w:t>
            </w:r>
            <w:r w:rsidR="00C609C8" w:rsidRPr="00F26416">
              <w:t>5</w:t>
            </w:r>
          </w:p>
        </w:tc>
        <w:tc>
          <w:tcPr>
            <w:tcW w:w="1086" w:type="dxa"/>
          </w:tcPr>
          <w:p w14:paraId="5830E83A" w14:textId="03BD1BAE" w:rsidR="00C53271" w:rsidRPr="00F26416" w:rsidRDefault="00C53271">
            <w:pPr>
              <w:pStyle w:val="TableBody"/>
              <w:ind w:right="113"/>
              <w:jc w:val="right"/>
            </w:pPr>
            <w:r w:rsidRPr="00F26416">
              <w:t>92.7</w:t>
            </w:r>
            <w:r w:rsidR="00DE7674" w:rsidRPr="00F26416">
              <w:t>4</w:t>
            </w:r>
          </w:p>
        </w:tc>
        <w:tc>
          <w:tcPr>
            <w:tcW w:w="1087" w:type="dxa"/>
          </w:tcPr>
          <w:p w14:paraId="6749E1BE" w14:textId="08DB9AB6" w:rsidR="00C53271" w:rsidRPr="00F26416" w:rsidRDefault="00C53271">
            <w:pPr>
              <w:pStyle w:val="TableBody"/>
              <w:ind w:right="113"/>
              <w:jc w:val="right"/>
            </w:pPr>
            <w:r w:rsidRPr="00F26416">
              <w:t>93.3</w:t>
            </w:r>
            <w:r w:rsidR="00DE7674" w:rsidRPr="00F26416">
              <w:t>8</w:t>
            </w:r>
          </w:p>
        </w:tc>
        <w:tc>
          <w:tcPr>
            <w:tcW w:w="1086" w:type="dxa"/>
          </w:tcPr>
          <w:p w14:paraId="18662CB6" w14:textId="6BCAE9F1" w:rsidR="00C53271" w:rsidRPr="00F26416" w:rsidRDefault="00C53271">
            <w:pPr>
              <w:pStyle w:val="TableBody"/>
              <w:ind w:right="113"/>
              <w:jc w:val="right"/>
            </w:pPr>
            <w:r w:rsidRPr="00F26416">
              <w:t>93.2</w:t>
            </w:r>
            <w:r w:rsidR="00141525" w:rsidRPr="00F26416">
              <w:t>7</w:t>
            </w:r>
          </w:p>
        </w:tc>
        <w:tc>
          <w:tcPr>
            <w:tcW w:w="1087" w:type="dxa"/>
          </w:tcPr>
          <w:p w14:paraId="22CE112B" w14:textId="627DBABC" w:rsidR="00C53271" w:rsidRPr="00F26416" w:rsidRDefault="00C53271">
            <w:pPr>
              <w:pStyle w:val="TableBody"/>
              <w:ind w:right="113"/>
              <w:jc w:val="right"/>
            </w:pPr>
            <w:r w:rsidRPr="00F26416">
              <w:t>371.</w:t>
            </w:r>
            <w:r w:rsidR="00141525" w:rsidRPr="00F26416">
              <w:t>64</w:t>
            </w:r>
          </w:p>
        </w:tc>
      </w:tr>
    </w:tbl>
    <w:p w14:paraId="717BD0FB" w14:textId="7EFA3BA7" w:rsidR="00C53271" w:rsidRDefault="00C53271" w:rsidP="00C53271">
      <w:pPr>
        <w:pStyle w:val="Source"/>
        <w:jc w:val="left"/>
      </w:pPr>
      <w:r w:rsidRPr="00E52047">
        <w:rPr>
          <w:b/>
          <w:bCs/>
        </w:rPr>
        <w:t>Notes:</w:t>
      </w:r>
      <w:r w:rsidRPr="00A45028">
        <w:t xml:space="preserve"> Numbers have been rounded.</w:t>
      </w:r>
      <w:r>
        <w:t xml:space="preserve"> </w:t>
      </w:r>
      <w:r w:rsidRPr="00A45028">
        <w:rPr>
          <w:b/>
          <w:bCs/>
          <w:vertAlign w:val="superscript"/>
        </w:rPr>
        <w:t>a</w:t>
      </w:r>
      <w:r>
        <w:t xml:space="preserve"> </w:t>
      </w:r>
      <w:r w:rsidRPr="00594750">
        <w:t xml:space="preserve">This contribution is paid by Goulburn-Murray Water </w:t>
      </w:r>
      <w:r w:rsidRPr="00594750">
        <w:rPr>
          <w:rStyle w:val="ui-provider"/>
        </w:rPr>
        <w:t>to the Murray Darling</w:t>
      </w:r>
      <w:r w:rsidRPr="00594750">
        <w:t xml:space="preserve"> Basin </w:t>
      </w:r>
      <w:r w:rsidRPr="00594750">
        <w:rPr>
          <w:rStyle w:val="ui-provider"/>
        </w:rPr>
        <w:t>Authority for managing works that are undertaken across the basin through the Joint Program</w:t>
      </w:r>
      <w:r w:rsidRPr="00594750">
        <w:t xml:space="preserve"> contribution.</w:t>
      </w:r>
      <w:r>
        <w:t xml:space="preserve"> </w:t>
      </w:r>
      <w:r w:rsidRPr="00A45028">
        <w:rPr>
          <w:b/>
          <w:bCs/>
          <w:vertAlign w:val="superscript"/>
        </w:rPr>
        <w:t>b</w:t>
      </w:r>
      <w:r>
        <w:rPr>
          <w:b/>
          <w:bCs/>
          <w:vertAlign w:val="superscript"/>
        </w:rPr>
        <w:t> </w:t>
      </w:r>
      <w:r>
        <w:t xml:space="preserve">Environmental contributions are funds collected from water businesses under the </w:t>
      </w:r>
      <w:r w:rsidRPr="00D52302">
        <w:rPr>
          <w:i/>
          <w:iCs w:val="0"/>
        </w:rPr>
        <w:t>Water Industry Act 1994</w:t>
      </w:r>
      <w:r>
        <w:t xml:space="preserve">. </w:t>
      </w:r>
      <w:r w:rsidRPr="00244841">
        <w:rPr>
          <w:b/>
          <w:bCs/>
          <w:vertAlign w:val="superscript"/>
        </w:rPr>
        <w:t>c</w:t>
      </w:r>
      <w:r w:rsidRPr="00244841">
        <w:t> </w:t>
      </w:r>
      <w:r w:rsidR="006E7248" w:rsidRPr="00244841">
        <w:t>Our license fee is</w:t>
      </w:r>
      <w:r w:rsidRPr="00244841">
        <w:t xml:space="preserve"> paid </w:t>
      </w:r>
      <w:r w:rsidR="008069A3" w:rsidRPr="00244841">
        <w:t xml:space="preserve">by Goulburn-Murray Water </w:t>
      </w:r>
      <w:r w:rsidRPr="00244841">
        <w:t xml:space="preserve">to cover costs incurred by </w:t>
      </w:r>
      <w:r w:rsidR="006E7248" w:rsidRPr="00244841">
        <w:t xml:space="preserve">us </w:t>
      </w:r>
      <w:r w:rsidRPr="00244841">
        <w:t xml:space="preserve">in </w:t>
      </w:r>
      <w:r w:rsidR="00E75DDC" w:rsidRPr="00244841">
        <w:t>performing our</w:t>
      </w:r>
      <w:r w:rsidRPr="00244841">
        <w:t xml:space="preserve"> regulatory activities related to the water business.</w:t>
      </w:r>
    </w:p>
    <w:p w14:paraId="01C922A0" w14:textId="0960CAA5" w:rsidR="007837E7" w:rsidRPr="002C6501" w:rsidDel="00542D81" w:rsidRDefault="007837E7" w:rsidP="007837E7">
      <w:r w:rsidRPr="002C6501" w:rsidDel="00542D81">
        <w:t xml:space="preserve">Table 4.4 summarises how our draft decision on </w:t>
      </w:r>
      <w:r w:rsidR="00D1620B" w:rsidRPr="002C6501" w:rsidDel="00542D81">
        <w:t>Goulburn-Murray Water</w:t>
      </w:r>
      <w:r w:rsidRPr="002C6501" w:rsidDel="00542D81">
        <w:t xml:space="preserve">’s operating expenditure (row D) and its two components differ from the operating expenditure proposed by </w:t>
      </w:r>
      <w:r w:rsidR="00A167A9">
        <w:br/>
      </w:r>
      <w:r w:rsidR="00D1620B" w:rsidRPr="002C6501" w:rsidDel="00542D81">
        <w:t>Goulburn-Murray Water</w:t>
      </w:r>
      <w:r w:rsidRPr="002C6501" w:rsidDel="00542D81">
        <w:t xml:space="preserve"> in its price submission (row A). Rows B and C of the table summarise our proposed adjustments to </w:t>
      </w:r>
      <w:r w:rsidR="00D1620B" w:rsidRPr="002C6501" w:rsidDel="00542D81">
        <w:t>Goulburn-Murray Water</w:t>
      </w:r>
      <w:r w:rsidRPr="002C6501" w:rsidDel="00542D81">
        <w:t>’s proposed controllable and non</w:t>
      </w:r>
      <w:r w:rsidR="006761A1" w:rsidRPr="002C6501" w:rsidDel="00542D81">
        <w:noBreakHyphen/>
      </w:r>
      <w:r w:rsidRPr="002C6501" w:rsidDel="00542D81">
        <w:t xml:space="preserve">controllable operating expenditure. </w:t>
      </w:r>
    </w:p>
    <w:p w14:paraId="360D1230" w14:textId="673F4864" w:rsidR="007837E7" w:rsidRDefault="007A565A" w:rsidP="007837E7">
      <w:r>
        <w:t>Details of our assessment</w:t>
      </w:r>
      <w:r w:rsidR="002B11A6">
        <w:t xml:space="preserve"> </w:t>
      </w:r>
      <w:r w:rsidR="00C53271" w:rsidRPr="008E4DC1">
        <w:t>of</w:t>
      </w:r>
      <w:r w:rsidR="007837E7" w:rsidRPr="008E4DC1" w:rsidDel="00542D81">
        <w:t xml:space="preserve"> </w:t>
      </w:r>
      <w:r w:rsidR="00D1620B">
        <w:t>Goulburn-Murray Water</w:t>
      </w:r>
      <w:r w:rsidR="007837E7">
        <w:t>’s proposal are included in Section</w:t>
      </w:r>
      <w:r w:rsidR="00B51B5A">
        <w:t> </w:t>
      </w:r>
      <w:r w:rsidR="007837E7">
        <w:t>4.1.1 (controllable operating costs) and Section</w:t>
      </w:r>
      <w:r w:rsidR="00B51B5A">
        <w:t> </w:t>
      </w:r>
      <w:r w:rsidR="007837E7">
        <w:t>4.1.2 (non</w:t>
      </w:r>
      <w:r w:rsidR="006761A1">
        <w:noBreakHyphen/>
      </w:r>
      <w:r w:rsidR="007837E7">
        <w:t>controllable operating costs).</w:t>
      </w:r>
    </w:p>
    <w:p w14:paraId="2E7F8F95" w14:textId="750082C1" w:rsidR="007837E7" w:rsidRDefault="007837E7" w:rsidP="007837E7">
      <w:r>
        <w:t xml:space="preserve">We consider the operating expenditure proposed in </w:t>
      </w:r>
      <w:r w:rsidR="00DB0826" w:rsidRPr="00605BBC">
        <w:t>Goulburn-Murray Water’s price submission and</w:t>
      </w:r>
      <w:r w:rsidRPr="00605BBC">
        <w:t xml:space="preserve"> </w:t>
      </w:r>
      <w:r>
        <w:t xml:space="preserve">our draft decision reflects the expenditure that a prudent service provider would incur when acting efficiently to achieve the lowest cost in delivering the outcomes specified in </w:t>
      </w:r>
      <w:r w:rsidR="00584A88">
        <w:br/>
      </w:r>
      <w:r w:rsidR="00D1620B">
        <w:t>Goulburn-Murray Water</w:t>
      </w:r>
      <w:r>
        <w:t>’s price submission.</w:t>
      </w:r>
    </w:p>
    <w:p w14:paraId="6EB4204B" w14:textId="77777777" w:rsidR="00114E0A" w:rsidRDefault="007837E7" w:rsidP="007837E7">
      <w:r>
        <w:t xml:space="preserve">The operating expenditure that we propose to adopt for </w:t>
      </w:r>
      <w:r w:rsidR="00D1620B">
        <w:t>Goulburn-Murray Water</w:t>
      </w:r>
      <w:r>
        <w:t xml:space="preserve"> does not represent the amount that </w:t>
      </w:r>
      <w:r w:rsidR="00D1620B">
        <w:t>Goulburn-Murray Water</w:t>
      </w:r>
      <w:r>
        <w:t xml:space="preserve"> is required to spend or allocate to particular operational, maintenance and administrative activities. Rather, it is a benchmark that represents assumptions about the overall level of operating expenditure (to be recovered through prices) that we consider sufficient to operate the business efficiently and to maintain services over the regulatory period.</w:t>
      </w:r>
    </w:p>
    <w:p w14:paraId="7349EB30" w14:textId="40E4C1BB" w:rsidR="00C02967" w:rsidRPr="00AD17CE" w:rsidDel="004D6188" w:rsidRDefault="00FE5064" w:rsidP="00ED4FA2">
      <w:pPr>
        <w:pStyle w:val="Figure-Table-BoxHeading"/>
        <w:spacing w:after="0" w:line="288" w:lineRule="auto"/>
        <w:ind w:left="1136" w:hanging="1136"/>
      </w:pPr>
      <w:r w:rsidRPr="00AD17CE" w:rsidDel="004D6188">
        <w:lastRenderedPageBreak/>
        <w:t>Table 4.4</w:t>
      </w:r>
      <w:r w:rsidRPr="00AD17CE" w:rsidDel="004D6188">
        <w:tab/>
        <w:t xml:space="preserve">Our proposed adjustments to </w:t>
      </w:r>
      <w:r w:rsidR="00D1620B" w:rsidRPr="00AD17CE" w:rsidDel="004D6188">
        <w:t>Goulburn-Murray Water</w:t>
      </w:r>
      <w:r w:rsidRPr="00AD17CE" w:rsidDel="004D6188">
        <w:t>’s proposed operating expenditure</w:t>
      </w:r>
    </w:p>
    <w:p w14:paraId="75D08B2B" w14:textId="77777777" w:rsidR="00603F98" w:rsidRPr="00AD17CE" w:rsidDel="004D6188" w:rsidRDefault="00603F98" w:rsidP="00ED4FA2">
      <w:pPr>
        <w:pStyle w:val="Figure-Table-BoxSubtitle"/>
        <w:spacing w:before="0" w:after="0" w:line="240" w:lineRule="auto"/>
        <w:ind w:left="1135" w:firstLine="1"/>
      </w:pPr>
      <w:r w:rsidRPr="00AD17CE" w:rsidDel="004D6188">
        <w:t>$ million 202</w:t>
      </w:r>
      <w:r w:rsidR="00ED7EE2" w:rsidRPr="00AD17CE" w:rsidDel="004D6188">
        <w:t>3</w:t>
      </w:r>
      <w:r w:rsidRPr="00AD17CE" w:rsidDel="004D6188">
        <w:t>-2</w:t>
      </w:r>
      <w:r w:rsidR="00ED7EE2" w:rsidRPr="00AD17CE" w:rsidDel="004D6188">
        <w:t>4</w:t>
      </w:r>
    </w:p>
    <w:tbl>
      <w:tblPr>
        <w:tblStyle w:val="TableGrid"/>
        <w:tblW w:w="0" w:type="auto"/>
        <w:tblLook w:val="04A0" w:firstRow="1" w:lastRow="0" w:firstColumn="1" w:lastColumn="0" w:noHBand="0" w:noVBand="1"/>
      </w:tblPr>
      <w:tblGrid>
        <w:gridCol w:w="2977"/>
        <w:gridCol w:w="1110"/>
        <w:gridCol w:w="1110"/>
        <w:gridCol w:w="1110"/>
        <w:gridCol w:w="1110"/>
        <w:gridCol w:w="1111"/>
      </w:tblGrid>
      <w:tr w:rsidR="00ED4FA2" w:rsidRPr="00AD17CE" w14:paraId="545EBB2B" w14:textId="77777777">
        <w:trPr>
          <w:cnfStyle w:val="100000000000" w:firstRow="1" w:lastRow="0" w:firstColumn="0" w:lastColumn="0" w:oddVBand="0" w:evenVBand="0" w:oddHBand="0" w:evenHBand="0" w:firstRowFirstColumn="0" w:firstRowLastColumn="0" w:lastRowFirstColumn="0" w:lastRowLastColumn="0"/>
        </w:trPr>
        <w:tc>
          <w:tcPr>
            <w:tcW w:w="2977" w:type="dxa"/>
          </w:tcPr>
          <w:p w14:paraId="5C77DED7" w14:textId="77777777" w:rsidR="00ED4FA2" w:rsidRPr="00AD17CE" w:rsidRDefault="00ED4FA2">
            <w:pPr>
              <w:pStyle w:val="TableHeading"/>
              <w:keepNext/>
              <w:keepLines/>
            </w:pPr>
          </w:p>
        </w:tc>
        <w:tc>
          <w:tcPr>
            <w:tcW w:w="1110" w:type="dxa"/>
          </w:tcPr>
          <w:p w14:paraId="7DACBF6F" w14:textId="77777777" w:rsidR="00ED4FA2" w:rsidRPr="00AD17CE" w:rsidRDefault="00ED4FA2">
            <w:pPr>
              <w:pStyle w:val="TableHeading"/>
              <w:keepNext/>
              <w:keepLines/>
              <w:ind w:right="113"/>
              <w:jc w:val="right"/>
            </w:pPr>
            <w:r w:rsidRPr="00AD17CE">
              <w:t>2024-25</w:t>
            </w:r>
          </w:p>
        </w:tc>
        <w:tc>
          <w:tcPr>
            <w:tcW w:w="1110" w:type="dxa"/>
          </w:tcPr>
          <w:p w14:paraId="673903A7" w14:textId="77777777" w:rsidR="00ED4FA2" w:rsidRPr="00AD17CE" w:rsidRDefault="00ED4FA2">
            <w:pPr>
              <w:pStyle w:val="TableHeading"/>
              <w:keepNext/>
              <w:keepLines/>
              <w:ind w:right="113"/>
              <w:jc w:val="right"/>
            </w:pPr>
            <w:r w:rsidRPr="00AD17CE">
              <w:t>2025</w:t>
            </w:r>
            <w:r w:rsidRPr="00AD17CE">
              <w:noBreakHyphen/>
              <w:t>26</w:t>
            </w:r>
          </w:p>
        </w:tc>
        <w:tc>
          <w:tcPr>
            <w:tcW w:w="1110" w:type="dxa"/>
          </w:tcPr>
          <w:p w14:paraId="114E011A" w14:textId="77777777" w:rsidR="00ED4FA2" w:rsidRPr="00AD17CE" w:rsidRDefault="00ED4FA2">
            <w:pPr>
              <w:pStyle w:val="TableHeading"/>
              <w:keepNext/>
              <w:keepLines/>
              <w:ind w:right="113"/>
              <w:jc w:val="right"/>
            </w:pPr>
            <w:r w:rsidRPr="00AD17CE">
              <w:t>2026</w:t>
            </w:r>
            <w:r w:rsidRPr="00AD17CE">
              <w:noBreakHyphen/>
              <w:t>27</w:t>
            </w:r>
          </w:p>
        </w:tc>
        <w:tc>
          <w:tcPr>
            <w:tcW w:w="1110" w:type="dxa"/>
          </w:tcPr>
          <w:p w14:paraId="788CF757" w14:textId="77777777" w:rsidR="00ED4FA2" w:rsidRPr="00AD17CE" w:rsidRDefault="00ED4FA2">
            <w:pPr>
              <w:pStyle w:val="TableHeading"/>
              <w:keepNext/>
              <w:keepLines/>
              <w:ind w:right="113"/>
              <w:jc w:val="right"/>
            </w:pPr>
            <w:r w:rsidRPr="00AD17CE">
              <w:t>2027</w:t>
            </w:r>
            <w:r w:rsidRPr="00AD17CE">
              <w:noBreakHyphen/>
              <w:t>28</w:t>
            </w:r>
          </w:p>
        </w:tc>
        <w:tc>
          <w:tcPr>
            <w:tcW w:w="1111" w:type="dxa"/>
          </w:tcPr>
          <w:p w14:paraId="52F9CDF3" w14:textId="77777777" w:rsidR="00ED4FA2" w:rsidRPr="00AD17CE" w:rsidRDefault="00ED4FA2">
            <w:pPr>
              <w:pStyle w:val="TableHeading"/>
              <w:keepNext/>
              <w:keepLines/>
              <w:ind w:right="113"/>
              <w:jc w:val="right"/>
            </w:pPr>
            <w:r w:rsidRPr="00AD17CE">
              <w:t>Total</w:t>
            </w:r>
          </w:p>
        </w:tc>
      </w:tr>
      <w:tr w:rsidR="00ED4FA2" w:rsidRPr="00AD17CE" w14:paraId="7DEE3F2B" w14:textId="77777777">
        <w:trPr>
          <w:cnfStyle w:val="000000100000" w:firstRow="0" w:lastRow="0" w:firstColumn="0" w:lastColumn="0" w:oddVBand="0" w:evenVBand="0" w:oddHBand="1" w:evenHBand="0" w:firstRowFirstColumn="0" w:firstRowLastColumn="0" w:lastRowFirstColumn="0" w:lastRowLastColumn="0"/>
        </w:trPr>
        <w:tc>
          <w:tcPr>
            <w:tcW w:w="2977" w:type="dxa"/>
          </w:tcPr>
          <w:p w14:paraId="513F3CEF" w14:textId="6C4E9939" w:rsidR="00ED4FA2" w:rsidRPr="00AD17CE" w:rsidRDefault="00ED4FA2">
            <w:pPr>
              <w:pStyle w:val="TableBody"/>
              <w:rPr>
                <w:b/>
              </w:rPr>
            </w:pPr>
            <w:r w:rsidRPr="00AD17CE">
              <w:rPr>
                <w:b/>
              </w:rPr>
              <w:t>A. Goulburn</w:t>
            </w:r>
            <w:r w:rsidR="00CF3BEF">
              <w:rPr>
                <w:b/>
              </w:rPr>
              <w:t>-</w:t>
            </w:r>
            <w:r w:rsidRPr="00AD17CE">
              <w:rPr>
                <w:b/>
              </w:rPr>
              <w:t>Murray Water’s proposed total operating expenditure</w:t>
            </w:r>
          </w:p>
        </w:tc>
        <w:tc>
          <w:tcPr>
            <w:tcW w:w="1110" w:type="dxa"/>
          </w:tcPr>
          <w:p w14:paraId="02116E46" w14:textId="53671024" w:rsidR="00ED4FA2" w:rsidRPr="00AD17CE" w:rsidRDefault="00D5008C">
            <w:pPr>
              <w:pStyle w:val="TableBody"/>
              <w:ind w:right="113"/>
              <w:jc w:val="right"/>
            </w:pPr>
            <w:r w:rsidRPr="00AD17CE">
              <w:t>92.24</w:t>
            </w:r>
          </w:p>
        </w:tc>
        <w:tc>
          <w:tcPr>
            <w:tcW w:w="1110" w:type="dxa"/>
          </w:tcPr>
          <w:p w14:paraId="71C037E9" w14:textId="5B65FF64" w:rsidR="00ED4FA2" w:rsidRPr="00AD17CE" w:rsidRDefault="0085725A">
            <w:pPr>
              <w:pStyle w:val="TableBody"/>
              <w:ind w:right="113"/>
              <w:jc w:val="right"/>
            </w:pPr>
            <w:r w:rsidRPr="00AD17CE">
              <w:t>92.72</w:t>
            </w:r>
          </w:p>
        </w:tc>
        <w:tc>
          <w:tcPr>
            <w:tcW w:w="1110" w:type="dxa"/>
          </w:tcPr>
          <w:p w14:paraId="762DE698" w14:textId="79033A64" w:rsidR="00ED4FA2" w:rsidRPr="00AD17CE" w:rsidRDefault="0085725A">
            <w:pPr>
              <w:pStyle w:val="TableBody"/>
              <w:ind w:right="113"/>
              <w:jc w:val="right"/>
            </w:pPr>
            <w:r w:rsidRPr="00AD17CE">
              <w:t>9</w:t>
            </w:r>
            <w:r w:rsidR="00CE221B" w:rsidRPr="00AD17CE">
              <w:t>3</w:t>
            </w:r>
            <w:r w:rsidRPr="00AD17CE">
              <w:t>.35</w:t>
            </w:r>
          </w:p>
        </w:tc>
        <w:tc>
          <w:tcPr>
            <w:tcW w:w="1110" w:type="dxa"/>
          </w:tcPr>
          <w:p w14:paraId="59F45D36" w14:textId="52951DB4" w:rsidR="00ED4FA2" w:rsidRPr="00AD17CE" w:rsidRDefault="009F3CAB">
            <w:pPr>
              <w:pStyle w:val="TableBody"/>
              <w:ind w:right="113"/>
              <w:jc w:val="right"/>
            </w:pPr>
            <w:r w:rsidRPr="00AD17CE">
              <w:t>9</w:t>
            </w:r>
            <w:r w:rsidR="00CE0DA3" w:rsidRPr="00AD17CE">
              <w:t>3</w:t>
            </w:r>
            <w:r w:rsidRPr="00AD17CE">
              <w:t>.</w:t>
            </w:r>
            <w:r w:rsidR="00CE221B" w:rsidRPr="00AD17CE">
              <w:t>23</w:t>
            </w:r>
          </w:p>
        </w:tc>
        <w:tc>
          <w:tcPr>
            <w:tcW w:w="1111" w:type="dxa"/>
          </w:tcPr>
          <w:p w14:paraId="0EA8D489" w14:textId="0F3EC5CC" w:rsidR="00ED4FA2" w:rsidRPr="00AD17CE" w:rsidRDefault="00CE221B">
            <w:pPr>
              <w:pStyle w:val="TableBody"/>
              <w:ind w:right="113"/>
              <w:jc w:val="right"/>
            </w:pPr>
            <w:r w:rsidRPr="00AD17CE">
              <w:t>37</w:t>
            </w:r>
            <w:r w:rsidR="00F1621C" w:rsidRPr="00AD17CE">
              <w:t>1</w:t>
            </w:r>
            <w:r w:rsidRPr="00AD17CE">
              <w:t>.54</w:t>
            </w:r>
          </w:p>
        </w:tc>
      </w:tr>
      <w:tr w:rsidR="00ED4FA2" w:rsidRPr="00AD17CE" w14:paraId="561CCE72" w14:textId="77777777">
        <w:trPr>
          <w:cnfStyle w:val="000000010000" w:firstRow="0" w:lastRow="0" w:firstColumn="0" w:lastColumn="0" w:oddVBand="0" w:evenVBand="0" w:oddHBand="0" w:evenHBand="1" w:firstRowFirstColumn="0" w:firstRowLastColumn="0" w:lastRowFirstColumn="0" w:lastRowLastColumn="0"/>
        </w:trPr>
        <w:tc>
          <w:tcPr>
            <w:tcW w:w="2977" w:type="dxa"/>
          </w:tcPr>
          <w:p w14:paraId="37FA45B0" w14:textId="2A1E7B67" w:rsidR="00ED4FA2" w:rsidRPr="00AD17CE" w:rsidRDefault="00ED4FA2">
            <w:pPr>
              <w:pStyle w:val="TableBody"/>
              <w:rPr>
                <w:b/>
              </w:rPr>
            </w:pPr>
            <w:r w:rsidRPr="00AD17CE">
              <w:rPr>
                <w:b/>
              </w:rPr>
              <w:t xml:space="preserve">B. Our total proposed adjustments to controllable operating costs </w:t>
            </w:r>
          </w:p>
        </w:tc>
        <w:tc>
          <w:tcPr>
            <w:tcW w:w="1110" w:type="dxa"/>
          </w:tcPr>
          <w:p w14:paraId="17504E87" w14:textId="0CFCAABA" w:rsidR="00ED4FA2" w:rsidRPr="00AD17CE" w:rsidRDefault="00ED4FA2">
            <w:pPr>
              <w:pStyle w:val="TableBody"/>
              <w:ind w:right="113"/>
              <w:jc w:val="right"/>
            </w:pPr>
            <w:r w:rsidRPr="00AD17CE">
              <w:t>0.00</w:t>
            </w:r>
          </w:p>
        </w:tc>
        <w:tc>
          <w:tcPr>
            <w:tcW w:w="1110" w:type="dxa"/>
          </w:tcPr>
          <w:p w14:paraId="7EE13F7F" w14:textId="0E806A18" w:rsidR="00ED4FA2" w:rsidRPr="00AD17CE" w:rsidRDefault="00ED4FA2">
            <w:pPr>
              <w:pStyle w:val="TableBody"/>
              <w:ind w:right="113"/>
              <w:jc w:val="right"/>
            </w:pPr>
            <w:r w:rsidRPr="00AD17CE">
              <w:t>0.00</w:t>
            </w:r>
          </w:p>
        </w:tc>
        <w:tc>
          <w:tcPr>
            <w:tcW w:w="1110" w:type="dxa"/>
          </w:tcPr>
          <w:p w14:paraId="224DDCA8" w14:textId="153CB18F" w:rsidR="00ED4FA2" w:rsidRPr="00AD17CE" w:rsidRDefault="00ED4FA2">
            <w:pPr>
              <w:pStyle w:val="TableBody"/>
              <w:ind w:right="113"/>
              <w:jc w:val="right"/>
            </w:pPr>
            <w:r w:rsidRPr="00AD17CE">
              <w:t>0.00</w:t>
            </w:r>
          </w:p>
        </w:tc>
        <w:tc>
          <w:tcPr>
            <w:tcW w:w="1110" w:type="dxa"/>
          </w:tcPr>
          <w:p w14:paraId="2016D3B4" w14:textId="008442D9" w:rsidR="00ED4FA2" w:rsidRPr="00AD17CE" w:rsidRDefault="00ED4FA2">
            <w:pPr>
              <w:pStyle w:val="TableBody"/>
              <w:ind w:right="113"/>
              <w:jc w:val="right"/>
            </w:pPr>
            <w:r w:rsidRPr="00AD17CE">
              <w:t>0.00</w:t>
            </w:r>
          </w:p>
        </w:tc>
        <w:tc>
          <w:tcPr>
            <w:tcW w:w="1111" w:type="dxa"/>
          </w:tcPr>
          <w:p w14:paraId="26C45C7C" w14:textId="4B64E860" w:rsidR="00ED4FA2" w:rsidRPr="00AD17CE" w:rsidRDefault="00ED4FA2">
            <w:pPr>
              <w:pStyle w:val="TableBody"/>
              <w:ind w:right="113"/>
              <w:jc w:val="right"/>
            </w:pPr>
            <w:r w:rsidRPr="00AD17CE">
              <w:t>0.00</w:t>
            </w:r>
          </w:p>
        </w:tc>
      </w:tr>
      <w:tr w:rsidR="00ED4FA2" w:rsidRPr="00AD17CE" w14:paraId="1331A959" w14:textId="77777777">
        <w:trPr>
          <w:cnfStyle w:val="000000100000" w:firstRow="0" w:lastRow="0" w:firstColumn="0" w:lastColumn="0" w:oddVBand="0" w:evenVBand="0" w:oddHBand="1" w:evenHBand="0" w:firstRowFirstColumn="0" w:firstRowLastColumn="0" w:lastRowFirstColumn="0" w:lastRowLastColumn="0"/>
        </w:trPr>
        <w:tc>
          <w:tcPr>
            <w:tcW w:w="2977" w:type="dxa"/>
          </w:tcPr>
          <w:p w14:paraId="485276FE" w14:textId="3065D233" w:rsidR="00ED4FA2" w:rsidRPr="00AD17CE" w:rsidRDefault="00ED4FA2">
            <w:pPr>
              <w:pStyle w:val="TableBody"/>
              <w:rPr>
                <w:b/>
              </w:rPr>
            </w:pPr>
            <w:r w:rsidRPr="00AD17CE">
              <w:rPr>
                <w:b/>
              </w:rPr>
              <w:t>C. Our total proposed adjustments to non</w:t>
            </w:r>
            <w:r w:rsidRPr="00AD17CE">
              <w:rPr>
                <w:b/>
              </w:rPr>
              <w:noBreakHyphen/>
              <w:t xml:space="preserve">controllable operating costs C1 </w:t>
            </w:r>
          </w:p>
        </w:tc>
        <w:tc>
          <w:tcPr>
            <w:tcW w:w="1110" w:type="dxa"/>
          </w:tcPr>
          <w:p w14:paraId="1EABD155" w14:textId="7B904B3E" w:rsidR="00ED4FA2" w:rsidRPr="00AD17CE" w:rsidRDefault="00A85F6D">
            <w:pPr>
              <w:pStyle w:val="TableBody"/>
              <w:ind w:right="113"/>
              <w:jc w:val="right"/>
            </w:pPr>
            <w:r w:rsidRPr="00AD17CE">
              <w:t>0.01</w:t>
            </w:r>
          </w:p>
        </w:tc>
        <w:tc>
          <w:tcPr>
            <w:tcW w:w="1110" w:type="dxa"/>
          </w:tcPr>
          <w:p w14:paraId="408A624D" w14:textId="06D74203" w:rsidR="00ED4FA2" w:rsidRPr="00AD17CE" w:rsidRDefault="00A85F6D">
            <w:pPr>
              <w:pStyle w:val="TableBody"/>
              <w:ind w:right="113"/>
              <w:jc w:val="right"/>
            </w:pPr>
            <w:r w:rsidRPr="00AD17CE">
              <w:t>0.02</w:t>
            </w:r>
          </w:p>
        </w:tc>
        <w:tc>
          <w:tcPr>
            <w:tcW w:w="1110" w:type="dxa"/>
          </w:tcPr>
          <w:p w14:paraId="17E9F533" w14:textId="13F02719" w:rsidR="00ED4FA2" w:rsidRPr="00AD17CE" w:rsidRDefault="00A85F6D">
            <w:pPr>
              <w:pStyle w:val="TableBody"/>
              <w:ind w:right="113"/>
              <w:jc w:val="right"/>
            </w:pPr>
            <w:r w:rsidRPr="00AD17CE">
              <w:t>0.03</w:t>
            </w:r>
          </w:p>
        </w:tc>
        <w:tc>
          <w:tcPr>
            <w:tcW w:w="1110" w:type="dxa"/>
          </w:tcPr>
          <w:p w14:paraId="0570551C" w14:textId="26B439A7" w:rsidR="00ED4FA2" w:rsidRPr="00AD17CE" w:rsidRDefault="00A85F6D">
            <w:pPr>
              <w:pStyle w:val="TableBody"/>
              <w:ind w:right="113"/>
              <w:jc w:val="right"/>
            </w:pPr>
            <w:r w:rsidRPr="00AD17CE">
              <w:t>0.04</w:t>
            </w:r>
          </w:p>
        </w:tc>
        <w:tc>
          <w:tcPr>
            <w:tcW w:w="1111" w:type="dxa"/>
          </w:tcPr>
          <w:p w14:paraId="417DD3C3" w14:textId="189CF469" w:rsidR="00ED4FA2" w:rsidRPr="00AD17CE" w:rsidRDefault="00A85F6D">
            <w:pPr>
              <w:pStyle w:val="TableBody"/>
              <w:ind w:right="113"/>
              <w:jc w:val="right"/>
            </w:pPr>
            <w:r w:rsidRPr="00AD17CE">
              <w:t>0.11</w:t>
            </w:r>
          </w:p>
        </w:tc>
      </w:tr>
      <w:tr w:rsidR="00ED4FA2" w:rsidRPr="00AD17CE" w14:paraId="72258497" w14:textId="77777777">
        <w:trPr>
          <w:cnfStyle w:val="000000010000" w:firstRow="0" w:lastRow="0" w:firstColumn="0" w:lastColumn="0" w:oddVBand="0" w:evenVBand="0" w:oddHBand="0" w:evenHBand="1" w:firstRowFirstColumn="0" w:firstRowLastColumn="0" w:lastRowFirstColumn="0" w:lastRowLastColumn="0"/>
        </w:trPr>
        <w:tc>
          <w:tcPr>
            <w:tcW w:w="2977" w:type="dxa"/>
          </w:tcPr>
          <w:p w14:paraId="733A7613" w14:textId="013877EA" w:rsidR="00ED4FA2" w:rsidRPr="00AD17CE" w:rsidRDefault="00ED4FA2">
            <w:pPr>
              <w:pStyle w:val="TableBody"/>
              <w:ind w:left="194"/>
            </w:pPr>
            <w:r w:rsidRPr="00AD17CE">
              <w:t xml:space="preserve">C1 – </w:t>
            </w:r>
            <w:r w:rsidR="007E0CC4" w:rsidRPr="00AD17CE">
              <w:t>Inflation update impact on environmental contribution forecast</w:t>
            </w:r>
          </w:p>
        </w:tc>
        <w:tc>
          <w:tcPr>
            <w:tcW w:w="1110" w:type="dxa"/>
          </w:tcPr>
          <w:p w14:paraId="24D0A054" w14:textId="643938B3" w:rsidR="00ED4FA2" w:rsidRPr="00AD17CE" w:rsidRDefault="007E0CC4">
            <w:pPr>
              <w:pStyle w:val="TableBody"/>
              <w:ind w:right="113"/>
              <w:jc w:val="right"/>
            </w:pPr>
            <w:r w:rsidRPr="00AD17CE">
              <w:t>0.01</w:t>
            </w:r>
          </w:p>
        </w:tc>
        <w:tc>
          <w:tcPr>
            <w:tcW w:w="1110" w:type="dxa"/>
          </w:tcPr>
          <w:p w14:paraId="72A37FDE" w14:textId="2021C8C4" w:rsidR="00ED4FA2" w:rsidRPr="00AD17CE" w:rsidRDefault="007E0CC4">
            <w:pPr>
              <w:pStyle w:val="TableBody"/>
              <w:ind w:right="113"/>
              <w:jc w:val="right"/>
            </w:pPr>
            <w:r w:rsidRPr="00AD17CE">
              <w:t>0.02</w:t>
            </w:r>
          </w:p>
        </w:tc>
        <w:tc>
          <w:tcPr>
            <w:tcW w:w="1110" w:type="dxa"/>
          </w:tcPr>
          <w:p w14:paraId="056D6130" w14:textId="503E9EAA" w:rsidR="00ED4FA2" w:rsidRPr="00AD17CE" w:rsidRDefault="007E0CC4">
            <w:pPr>
              <w:pStyle w:val="TableBody"/>
              <w:ind w:right="113"/>
              <w:jc w:val="right"/>
            </w:pPr>
            <w:r w:rsidRPr="00AD17CE">
              <w:t>0.03</w:t>
            </w:r>
          </w:p>
        </w:tc>
        <w:tc>
          <w:tcPr>
            <w:tcW w:w="1110" w:type="dxa"/>
          </w:tcPr>
          <w:p w14:paraId="50361387" w14:textId="277CE55F" w:rsidR="00ED4FA2" w:rsidRPr="00AD17CE" w:rsidRDefault="007E0CC4">
            <w:pPr>
              <w:pStyle w:val="TableBody"/>
              <w:ind w:right="113"/>
              <w:jc w:val="right"/>
            </w:pPr>
            <w:r w:rsidRPr="00AD17CE">
              <w:t>0.04</w:t>
            </w:r>
          </w:p>
        </w:tc>
        <w:tc>
          <w:tcPr>
            <w:tcW w:w="1111" w:type="dxa"/>
          </w:tcPr>
          <w:p w14:paraId="4597F883" w14:textId="696DDD87" w:rsidR="00ED4FA2" w:rsidRPr="00AD17CE" w:rsidRDefault="007E0CC4">
            <w:pPr>
              <w:pStyle w:val="TableBody"/>
              <w:ind w:right="113"/>
              <w:jc w:val="right"/>
            </w:pPr>
            <w:r w:rsidRPr="00AD17CE">
              <w:t>0.11</w:t>
            </w:r>
          </w:p>
        </w:tc>
      </w:tr>
      <w:tr w:rsidR="00ED4FA2" w:rsidRPr="00F1621C" w14:paraId="2DCFBD90" w14:textId="77777777">
        <w:trPr>
          <w:cnfStyle w:val="000000100000" w:firstRow="0" w:lastRow="0" w:firstColumn="0" w:lastColumn="0" w:oddVBand="0" w:evenVBand="0" w:oddHBand="1" w:evenHBand="0" w:firstRowFirstColumn="0" w:firstRowLastColumn="0" w:lastRowFirstColumn="0" w:lastRowLastColumn="0"/>
        </w:trPr>
        <w:tc>
          <w:tcPr>
            <w:tcW w:w="2977" w:type="dxa"/>
          </w:tcPr>
          <w:p w14:paraId="41C3F912" w14:textId="77777777" w:rsidR="00ED4FA2" w:rsidRPr="00AD17CE" w:rsidRDefault="00ED4FA2">
            <w:pPr>
              <w:pStyle w:val="TableBody"/>
              <w:rPr>
                <w:b/>
              </w:rPr>
            </w:pPr>
            <w:r w:rsidRPr="00AD17CE">
              <w:rPr>
                <w:b/>
              </w:rPr>
              <w:t>D. Draft decision - total operating expenditure (D = A - B - C)</w:t>
            </w:r>
          </w:p>
        </w:tc>
        <w:tc>
          <w:tcPr>
            <w:tcW w:w="1110" w:type="dxa"/>
          </w:tcPr>
          <w:p w14:paraId="1637032E" w14:textId="735FF279" w:rsidR="00ED4FA2" w:rsidRPr="00AD17CE" w:rsidRDefault="002C05AF">
            <w:pPr>
              <w:pStyle w:val="TableBody"/>
              <w:ind w:right="113"/>
              <w:jc w:val="right"/>
            </w:pPr>
            <w:r w:rsidRPr="00AD17CE">
              <w:t>92.25</w:t>
            </w:r>
          </w:p>
        </w:tc>
        <w:tc>
          <w:tcPr>
            <w:tcW w:w="1110" w:type="dxa"/>
          </w:tcPr>
          <w:p w14:paraId="5781B4CE" w14:textId="5FE19E2F" w:rsidR="00ED4FA2" w:rsidRPr="00AD17CE" w:rsidRDefault="00725E4D">
            <w:pPr>
              <w:pStyle w:val="TableBody"/>
              <w:ind w:right="113"/>
              <w:jc w:val="right"/>
            </w:pPr>
            <w:r w:rsidRPr="00AD17CE">
              <w:t>92.74</w:t>
            </w:r>
          </w:p>
        </w:tc>
        <w:tc>
          <w:tcPr>
            <w:tcW w:w="1110" w:type="dxa"/>
          </w:tcPr>
          <w:p w14:paraId="26022C69" w14:textId="4F83E9D7" w:rsidR="00ED4FA2" w:rsidRPr="00AD17CE" w:rsidRDefault="00815F92">
            <w:pPr>
              <w:pStyle w:val="TableBody"/>
              <w:ind w:right="113"/>
              <w:jc w:val="right"/>
            </w:pPr>
            <w:r w:rsidRPr="00AD17CE">
              <w:t>93.38</w:t>
            </w:r>
          </w:p>
        </w:tc>
        <w:tc>
          <w:tcPr>
            <w:tcW w:w="1110" w:type="dxa"/>
          </w:tcPr>
          <w:p w14:paraId="3C6E8F5D" w14:textId="1DCB83F4" w:rsidR="00ED4FA2" w:rsidRPr="00AD17CE" w:rsidRDefault="007456D5">
            <w:pPr>
              <w:pStyle w:val="TableBody"/>
              <w:ind w:right="113"/>
              <w:jc w:val="right"/>
            </w:pPr>
            <w:r w:rsidRPr="00AD17CE">
              <w:t>93.</w:t>
            </w:r>
            <w:r w:rsidR="00752DB4" w:rsidRPr="00AD17CE">
              <w:t>27</w:t>
            </w:r>
          </w:p>
        </w:tc>
        <w:tc>
          <w:tcPr>
            <w:tcW w:w="1111" w:type="dxa"/>
          </w:tcPr>
          <w:p w14:paraId="787EA6BE" w14:textId="6EEFAF91" w:rsidR="00ED4FA2" w:rsidRPr="00AD17CE" w:rsidRDefault="00080C55">
            <w:pPr>
              <w:pStyle w:val="TableBody"/>
              <w:ind w:right="113"/>
              <w:jc w:val="right"/>
            </w:pPr>
            <w:r w:rsidRPr="00AD17CE">
              <w:t>371.</w:t>
            </w:r>
            <w:r w:rsidR="00595FA2" w:rsidRPr="00AD17CE">
              <w:t>64</w:t>
            </w:r>
          </w:p>
        </w:tc>
      </w:tr>
    </w:tbl>
    <w:p w14:paraId="20A60B42" w14:textId="4EB495E8" w:rsidR="00523A2D" w:rsidRDefault="00ED4FA2" w:rsidP="00F25208">
      <w:pPr>
        <w:pStyle w:val="Source"/>
        <w:jc w:val="left"/>
      </w:pPr>
      <w:r w:rsidRPr="00AD17CE">
        <w:rPr>
          <w:b/>
        </w:rPr>
        <w:t xml:space="preserve">Notes: </w:t>
      </w:r>
      <w:r w:rsidRPr="00AD17CE">
        <w:t xml:space="preserve">Our proposed adjustments are the differences between our draft decision and what </w:t>
      </w:r>
      <w:r w:rsidR="00A85F6D" w:rsidRPr="00AD17CE">
        <w:t>Goulburn-Murray Water</w:t>
      </w:r>
      <w:r w:rsidRPr="00AD17CE">
        <w:t xml:space="preserve"> proposed in its price submission. Row A shows the total operating expenditure proposed by </w:t>
      </w:r>
      <w:r w:rsidR="003A3E3D" w:rsidRPr="00AD17CE">
        <w:t>Goulburn</w:t>
      </w:r>
      <w:r w:rsidR="0083224E">
        <w:t>-</w:t>
      </w:r>
      <w:r w:rsidR="003A3E3D" w:rsidRPr="00AD17CE">
        <w:t>Murray Water</w:t>
      </w:r>
      <w:r w:rsidRPr="00AD17CE">
        <w:t xml:space="preserve"> in its price submission. We have arrived at our draft decision (row D) by proposing the relevant adjustments to non</w:t>
      </w:r>
      <w:r w:rsidRPr="00AD17CE">
        <w:noBreakHyphen/>
        <w:t>controllable operating costs shown in row C (and disaggregated in rows C1). Numbers have been rounded.</w:t>
      </w:r>
    </w:p>
    <w:p w14:paraId="0F47BCEF" w14:textId="16EAEA99" w:rsidR="006500F0" w:rsidRDefault="006500F0" w:rsidP="006500F0">
      <w:pPr>
        <w:pStyle w:val="Heading3"/>
      </w:pPr>
      <w:bookmarkStart w:id="102" w:name="_Toc160038312"/>
      <w:bookmarkStart w:id="103" w:name="_Toc161400030"/>
      <w:r>
        <w:t xml:space="preserve">4.1.1 </w:t>
      </w:r>
      <w:r>
        <w:tab/>
        <w:t>Controllable operating expenditure</w:t>
      </w:r>
      <w:bookmarkEnd w:id="102"/>
      <w:bookmarkEnd w:id="103"/>
      <w:r w:rsidR="00D035A3">
        <w:t xml:space="preserve"> </w:t>
      </w:r>
    </w:p>
    <w:p w14:paraId="4E27CEA7" w14:textId="77777777" w:rsidR="00C53271" w:rsidRDefault="00C53271" w:rsidP="00C53271">
      <w:r w:rsidRPr="004B370A">
        <w:t>Goulburn-Murray Water proposed a total forecast controllable operating expenditure of $306.2 million over a four-year regulatory period. For the reasons set out below, we propose to accept Goulburn-Murray Water’s forecast operating expenditure for the 2024–28 regulatory period.</w:t>
      </w:r>
    </w:p>
    <w:p w14:paraId="682FAE7D" w14:textId="77777777" w:rsidR="006500F0" w:rsidRDefault="00D1620B" w:rsidP="006500F0">
      <w:r>
        <w:t>Goulburn-Murray Water</w:t>
      </w:r>
      <w:r w:rsidR="006500F0">
        <w:t xml:space="preserve">’s forecast controllable operating expenditure for the period from 1 July </w:t>
      </w:r>
      <w:r w:rsidR="00C15967">
        <w:t xml:space="preserve">2024 </w:t>
      </w:r>
      <w:r w:rsidR="006500F0">
        <w:t>is estimated through a series of steps:</w:t>
      </w:r>
    </w:p>
    <w:p w14:paraId="0845D8BD" w14:textId="58A70808" w:rsidR="006500F0" w:rsidRDefault="006500F0" w:rsidP="00821A3A">
      <w:pPr>
        <w:pStyle w:val="ListBullet"/>
      </w:pPr>
      <w:r>
        <w:t xml:space="preserve">Establish a controllable operating expenditure </w:t>
      </w:r>
      <w:r w:rsidR="00B666F1">
        <w:t xml:space="preserve">baseline </w:t>
      </w:r>
      <w:r>
        <w:t xml:space="preserve">– the baseline comprises the efficient recurring costs from </w:t>
      </w:r>
      <w:r w:rsidRPr="004A7E86">
        <w:t>the last full year of data (</w:t>
      </w:r>
      <w:r w:rsidR="00C53271" w:rsidRPr="004A7E86">
        <w:t>2022-23)</w:t>
      </w:r>
      <w:r w:rsidR="00C53271">
        <w:t xml:space="preserve"> after non-controllable expenditure and one-off items are removed, and</w:t>
      </w:r>
      <w:r>
        <w:t xml:space="preserve"> normally occurring items are added in.</w:t>
      </w:r>
    </w:p>
    <w:p w14:paraId="7A9890A4" w14:textId="769EA2B1" w:rsidR="00C53271" w:rsidRDefault="00C53271" w:rsidP="00821A3A">
      <w:pPr>
        <w:pStyle w:val="ListBullet"/>
      </w:pPr>
      <w:r>
        <w:t xml:space="preserve">Apply a growth rate for operating expenditure for the regulatory period – </w:t>
      </w:r>
      <w:r w:rsidRPr="004A7E86">
        <w:t>assumed by Goulburn-Murray Water to be 0.0 per cent per year.</w:t>
      </w:r>
      <w:r>
        <w:t xml:space="preserve"> </w:t>
      </w:r>
    </w:p>
    <w:p w14:paraId="2E5D51EE" w14:textId="095A7130" w:rsidR="0009737B" w:rsidRDefault="00C53271" w:rsidP="00821A3A">
      <w:pPr>
        <w:pStyle w:val="ListBullet"/>
      </w:pPr>
      <w:r>
        <w:t>Make adjustments for additional costs or cost savings expected in future years.</w:t>
      </w:r>
    </w:p>
    <w:p w14:paraId="5DBC986C" w14:textId="3472ACD6" w:rsidR="00C53271" w:rsidRDefault="00C53271" w:rsidP="00C53271">
      <w:pPr>
        <w:pStyle w:val="Heading4"/>
      </w:pPr>
      <w:r>
        <w:lastRenderedPageBreak/>
        <w:t>4.1.1.1</w:t>
      </w:r>
      <w:r>
        <w:tab/>
        <w:t>Baseline controllable operating expenditure</w:t>
      </w:r>
    </w:p>
    <w:p w14:paraId="27304C3D" w14:textId="3EB116FD" w:rsidR="00C53271" w:rsidRPr="00295CFE" w:rsidRDefault="00C53271" w:rsidP="00C53271">
      <w:pPr>
        <w:spacing w:before="0" w:line="360" w:lineRule="auto"/>
      </w:pPr>
      <w:r w:rsidRPr="00295CFE">
        <w:t>Goulburn-Murray Water proposed a controllable operating expenditure baseline of $76.9 million, after removing a net figure of $3.1 million in non-recurring operating expenditure that occurred in 2022</w:t>
      </w:r>
      <w:r w:rsidRPr="00295CFE">
        <w:noBreakHyphen/>
        <w:t>23. Goulburn-Murray Water’s proposed baseline is $0.3 million (or 0.4 per cent) lower than the benchmark figure of $77.2 million of controllable operating expenditure for 2022</w:t>
      </w:r>
      <w:r w:rsidRPr="00295CFE">
        <w:noBreakHyphen/>
        <w:t xml:space="preserve">23 used for our 2020 price determination. </w:t>
      </w:r>
    </w:p>
    <w:p w14:paraId="02E9944F" w14:textId="3C0E831E" w:rsidR="00C53271" w:rsidRPr="001A3AC4" w:rsidRDefault="004252FE" w:rsidP="00C53271">
      <w:r>
        <w:t>O</w:t>
      </w:r>
      <w:r w:rsidRPr="001A3AC4">
        <w:t>ur</w:t>
      </w:r>
      <w:r w:rsidR="00C53271" w:rsidRPr="001A3AC4">
        <w:t xml:space="preserve"> expenditure consultant sought information to verify the $3.1 million in net adjustments Goulburn-Murray Water made to </w:t>
      </w:r>
      <w:r w:rsidR="00AB3FD1" w:rsidRPr="001A3AC4">
        <w:t>confirm</w:t>
      </w:r>
      <w:r w:rsidR="00776733" w:rsidRPr="001A3AC4">
        <w:t xml:space="preserve"> the prudency and efficiency of </w:t>
      </w:r>
      <w:r w:rsidR="00C53271" w:rsidRPr="001A3AC4">
        <w:t>its baseline</w:t>
      </w:r>
      <w:r w:rsidR="00C53271">
        <w:t>.</w:t>
      </w:r>
      <w:r w:rsidR="00571333">
        <w:t xml:space="preserve"> </w:t>
      </w:r>
    </w:p>
    <w:p w14:paraId="55EB4D80" w14:textId="77777777" w:rsidR="00C53271" w:rsidRPr="00307AC8" w:rsidRDefault="00C53271" w:rsidP="00C53271">
      <w:r w:rsidRPr="00307AC8">
        <w:t>This net adjustment is comprised of an $8.8 million reduction in costs (mainly due to the removal of non-recurring costs that the business incurred during its response to the major flooding event in its region in October 2022) and the addition of $5.7 million in regular costs the business would usually incur, but that were delayed or reprioritised during its flood response. The largest component of the $5.7 million in regular costs was $3.6 million in regular labour expenses that had been redirected to the flood response.</w:t>
      </w:r>
    </w:p>
    <w:p w14:paraId="3F090730" w14:textId="6C9489BA" w:rsidR="00C53271" w:rsidRPr="007537C4" w:rsidRDefault="00C50C12" w:rsidP="00C53271">
      <w:r w:rsidRPr="007537C4" w:rsidDel="00830886">
        <w:t xml:space="preserve">Our expenditure consultant found </w:t>
      </w:r>
      <w:r w:rsidR="00D1620B" w:rsidRPr="007537C4" w:rsidDel="00830886">
        <w:t>Goulburn-Murray Water</w:t>
      </w:r>
      <w:r w:rsidR="00683872" w:rsidRPr="007537C4" w:rsidDel="00830886">
        <w:t>’s</w:t>
      </w:r>
      <w:r w:rsidRPr="007537C4" w:rsidDel="00830886">
        <w:t xml:space="preserve"> substantiation of these </w:t>
      </w:r>
      <w:r w:rsidR="00C53271" w:rsidRPr="007537C4">
        <w:t xml:space="preserve">adjustments to </w:t>
      </w:r>
      <w:r w:rsidRPr="007537C4" w:rsidDel="00830886">
        <w:t>be reasonable</w:t>
      </w:r>
      <w:r w:rsidR="00C53271" w:rsidRPr="007537C4">
        <w:t xml:space="preserve">, and confirmed the $5.7 million added back into the baseline represents recurrent </w:t>
      </w:r>
      <w:r w:rsidR="001B7E12" w:rsidRPr="007537C4">
        <w:t xml:space="preserve">prudent and efficient </w:t>
      </w:r>
      <w:r w:rsidR="00C53271" w:rsidRPr="007537C4">
        <w:t>costs.</w:t>
      </w:r>
      <w:r w:rsidR="00C53271" w:rsidRPr="007537C4">
        <w:rPr>
          <w:rStyle w:val="FootnoteReference"/>
        </w:rPr>
        <w:footnoteReference w:id="42"/>
      </w:r>
      <w:r w:rsidR="00C53271" w:rsidRPr="007537C4">
        <w:t xml:space="preserve"> </w:t>
      </w:r>
    </w:p>
    <w:p w14:paraId="58658531" w14:textId="77777777" w:rsidR="00C53271" w:rsidRPr="007537C4" w:rsidRDefault="00C50C12" w:rsidP="00C53271">
      <w:r w:rsidRPr="007537C4">
        <w:t xml:space="preserve">Accordingly, </w:t>
      </w:r>
      <w:r w:rsidR="00C53271" w:rsidRPr="007537C4">
        <w:t>our expenditure consultant recommended</w:t>
      </w:r>
      <w:r w:rsidRPr="007537C4">
        <w:t xml:space="preserve"> accepting </w:t>
      </w:r>
      <w:r w:rsidR="00D1620B" w:rsidRPr="007537C4">
        <w:t>Goulburn-Murray Water</w:t>
      </w:r>
      <w:r w:rsidR="00683872" w:rsidRPr="007537C4">
        <w:t>’</w:t>
      </w:r>
      <w:r w:rsidRPr="007537C4">
        <w:t xml:space="preserve">s proposed baseline </w:t>
      </w:r>
      <w:r w:rsidR="00C53271" w:rsidRPr="007537C4">
        <w:t xml:space="preserve">with </w:t>
      </w:r>
      <w:r w:rsidRPr="007537C4">
        <w:t xml:space="preserve">no adjustments required. </w:t>
      </w:r>
    </w:p>
    <w:p w14:paraId="49B390F3" w14:textId="77777777" w:rsidR="00256FEF" w:rsidRDefault="00C53271" w:rsidP="00256FEF">
      <w:r w:rsidRPr="007537C4">
        <w:t>We have</w:t>
      </w:r>
      <w:r w:rsidR="001C33A4" w:rsidRPr="007537C4">
        <w:t xml:space="preserve"> </w:t>
      </w:r>
      <w:r w:rsidR="00C50C12" w:rsidRPr="007537C4">
        <w:t xml:space="preserve">reviewed </w:t>
      </w:r>
      <w:r w:rsidR="00D1620B" w:rsidRPr="007537C4">
        <w:t>Goulburn-Murray Water</w:t>
      </w:r>
      <w:r w:rsidR="00C50C12" w:rsidRPr="007537C4">
        <w:t xml:space="preserve">’s proposal and </w:t>
      </w:r>
      <w:r w:rsidR="00A97F6E" w:rsidRPr="007537C4">
        <w:t xml:space="preserve">the </w:t>
      </w:r>
      <w:r w:rsidR="00C50C12" w:rsidRPr="007537C4">
        <w:t>advice from our expenditure consultant</w:t>
      </w:r>
      <w:r w:rsidRPr="007537C4">
        <w:t xml:space="preserve"> and</w:t>
      </w:r>
      <w:r w:rsidR="00C50C12" w:rsidRPr="007537C4">
        <w:t xml:space="preserve"> consider </w:t>
      </w:r>
      <w:r w:rsidR="00D1620B" w:rsidRPr="007537C4">
        <w:t>Goulburn-Murray Water</w:t>
      </w:r>
      <w:r w:rsidR="00C50C12" w:rsidRPr="007537C4">
        <w:t>’s proposal reflects an efficient baseline cost to forecast annual operating expenditure for the purpose of our draft decision.</w:t>
      </w:r>
      <w:r w:rsidR="00C50C12" w:rsidRPr="00BE6DEA">
        <w:t xml:space="preserve"> </w:t>
      </w:r>
    </w:p>
    <w:p w14:paraId="08CCA68D" w14:textId="77777777" w:rsidR="00294F31" w:rsidRPr="00BE6DEA" w:rsidRDefault="00294F31" w:rsidP="00294F31">
      <w:pPr>
        <w:keepNext/>
        <w:keepLines/>
        <w:spacing w:before="120" w:after="0"/>
        <w:outlineLvl w:val="3"/>
        <w:rPr>
          <w:rFonts w:ascii="Tahoma" w:eastAsiaTheme="majorEastAsia" w:hAnsi="Tahoma" w:cstheme="majorBidi"/>
          <w:b/>
          <w:color w:val="75787B" w:themeColor="background2"/>
        </w:rPr>
      </w:pPr>
      <w:r w:rsidRPr="00BE6DEA">
        <w:rPr>
          <w:rFonts w:ascii="Tahoma" w:eastAsiaTheme="majorEastAsia" w:hAnsi="Tahoma" w:cstheme="majorBidi"/>
          <w:b/>
          <w:color w:val="75787B" w:themeColor="background2"/>
        </w:rPr>
        <w:t>4.1.1.2</w:t>
      </w:r>
      <w:r>
        <w:tab/>
      </w:r>
      <w:r w:rsidRPr="00BE6DEA">
        <w:rPr>
          <w:rFonts w:ascii="Tahoma" w:eastAsiaTheme="majorEastAsia" w:hAnsi="Tahoma" w:cstheme="majorBidi"/>
          <w:b/>
          <w:color w:val="75787B" w:themeColor="background2"/>
        </w:rPr>
        <w:t>Efficiency improvement and growth rate</w:t>
      </w:r>
    </w:p>
    <w:p w14:paraId="5837F027" w14:textId="3D6CAA81" w:rsidR="0007670A" w:rsidRDefault="00C53271" w:rsidP="0007670A">
      <w:r w:rsidRPr="00244841">
        <w:t xml:space="preserve">Instead of proposing an </w:t>
      </w:r>
      <w:r w:rsidR="00255458" w:rsidRPr="00244841">
        <w:t xml:space="preserve">annual </w:t>
      </w:r>
      <w:r w:rsidRPr="00244841">
        <w:t>efficiency improvement and growth rate</w:t>
      </w:r>
      <w:r w:rsidR="009C33C5" w:rsidRPr="00244841">
        <w:t xml:space="preserve"> to apply to its baseline operating </w:t>
      </w:r>
      <w:r w:rsidR="00255458" w:rsidRPr="00244841">
        <w:t>expenditure</w:t>
      </w:r>
      <w:r w:rsidRPr="00244841">
        <w:t xml:space="preserve">, </w:t>
      </w:r>
      <w:r w:rsidR="009C33C5" w:rsidRPr="00244841">
        <w:t>Goulburn</w:t>
      </w:r>
      <w:r w:rsidR="007F416B">
        <w:t>-</w:t>
      </w:r>
      <w:r w:rsidR="009C33C5" w:rsidRPr="00244841">
        <w:t>Murray Water</w:t>
      </w:r>
      <w:r w:rsidRPr="00244841">
        <w:t xml:space="preserve"> has forecast increases in costs ($13 million) and expected cost savings ($14.4 million) as forecast cost adjustments over the next regulatory period.</w:t>
      </w:r>
      <w:r w:rsidRPr="008C52B8">
        <w:t xml:space="preserve"> We consider this is an appropriate approach for a rural water business with little growth movement in customer numbers. </w:t>
      </w:r>
    </w:p>
    <w:p w14:paraId="2E1E34C2" w14:textId="705E0171" w:rsidR="00C53271" w:rsidRPr="008C52B8" w:rsidRDefault="00C53271" w:rsidP="00C53271">
      <w:r w:rsidRPr="008C52B8">
        <w:lastRenderedPageBreak/>
        <w:t>Goulburn-Murray Water’s proposal effectively offsets all anticipated cost increases through identified efficiency gains, which was a stated key objective in preparing its price submission.</w:t>
      </w:r>
      <w:r w:rsidRPr="008C52B8">
        <w:rPr>
          <w:rStyle w:val="FootnoteReference"/>
        </w:rPr>
        <w:footnoteReference w:id="43"/>
      </w:r>
      <w:r w:rsidRPr="008C52B8">
        <w:t xml:space="preserve"> The proposed adjustments are discussed in more detail in section 4.1.1.3</w:t>
      </w:r>
      <w:r w:rsidR="00E66F60">
        <w:t xml:space="preserve"> </w:t>
      </w:r>
      <w:r w:rsidRPr="008C52B8">
        <w:t xml:space="preserve">below. </w:t>
      </w:r>
    </w:p>
    <w:p w14:paraId="57DABF88" w14:textId="6F9A91E4" w:rsidR="00C53271" w:rsidRPr="009E5148" w:rsidRDefault="00C53271" w:rsidP="00C53271">
      <w:r w:rsidRPr="009E5148">
        <w:t xml:space="preserve">This approach is consistent with the approach taken by Goulburn-Murray Water in its 2020 water price review, in which it applied a cost growth rate of 0.0 per cent, and proposed productivity savings of $45.7 million ($53.1 million, $23-24 real) across the 2020–24 regulatory period. Goulburn-Murray Water has achieved the controllable operating expenditure productivity savings it proposed in its 2020 price submission. </w:t>
      </w:r>
    </w:p>
    <w:p w14:paraId="7DF2A210" w14:textId="616A365F" w:rsidR="00C53271" w:rsidRDefault="00E21AB8" w:rsidP="00C53271">
      <w:r w:rsidRPr="009E5148">
        <w:t>T</w:t>
      </w:r>
      <w:r w:rsidR="00C53271" w:rsidRPr="009E5148">
        <w:t>he cost savings forecast by Goulburn-Murray Water across the 2024–28 regulatory period average $3.6 million per year, which is the equivalent of an average efficiency improvement rate of 1.2 per cent per annum.</w:t>
      </w:r>
    </w:p>
    <w:p w14:paraId="604041F6" w14:textId="77777777" w:rsidR="0061356F" w:rsidRPr="00414E99" w:rsidRDefault="0061356F" w:rsidP="0061356F">
      <w:pPr>
        <w:keepNext/>
        <w:keepLines/>
        <w:spacing w:before="120" w:after="0"/>
        <w:outlineLvl w:val="3"/>
        <w:rPr>
          <w:rFonts w:ascii="Tahoma" w:eastAsiaTheme="majorEastAsia" w:hAnsi="Tahoma" w:cstheme="majorBidi"/>
          <w:b/>
          <w:color w:val="75787B" w:themeColor="background2"/>
        </w:rPr>
      </w:pPr>
      <w:r w:rsidRPr="00414E99">
        <w:rPr>
          <w:rFonts w:ascii="Tahoma" w:eastAsiaTheme="majorEastAsia" w:hAnsi="Tahoma" w:cstheme="majorBidi"/>
          <w:b/>
          <w:color w:val="75787B" w:themeColor="background2"/>
        </w:rPr>
        <w:t>4.1.1.3</w:t>
      </w:r>
      <w:r w:rsidRPr="00414E99">
        <w:rPr>
          <w:rFonts w:ascii="Tahoma" w:eastAsiaTheme="majorEastAsia" w:hAnsi="Tahoma" w:cstheme="majorBidi"/>
          <w:b/>
          <w:color w:val="75787B" w:themeColor="background2"/>
        </w:rPr>
        <w:tab/>
        <w:t>Cost adjustments</w:t>
      </w:r>
    </w:p>
    <w:p w14:paraId="1C2F67D7" w14:textId="77777777" w:rsidR="0061356F" w:rsidRPr="00EC3790" w:rsidRDefault="00D1620B" w:rsidP="0061356F">
      <w:r w:rsidRPr="00EC3790">
        <w:t>Goulburn-Murray Water</w:t>
      </w:r>
      <w:r w:rsidR="0061356F" w:rsidRPr="00EC3790">
        <w:t xml:space="preserve"> has proposed additional forecast operating expenditure above the annual baseline, including:</w:t>
      </w:r>
    </w:p>
    <w:p w14:paraId="61AF650A" w14:textId="255F570D" w:rsidR="00C53271" w:rsidRPr="00EC3790" w:rsidRDefault="00C53271" w:rsidP="00821A3A">
      <w:pPr>
        <w:pStyle w:val="ListBullet"/>
      </w:pPr>
      <w:r w:rsidRPr="00EC3790">
        <w:t>increases in material costs ($4.2 million)</w:t>
      </w:r>
    </w:p>
    <w:p w14:paraId="20C42AD8" w14:textId="77777777" w:rsidR="00C53271" w:rsidRPr="00EC3790" w:rsidRDefault="00C53271" w:rsidP="00821A3A">
      <w:pPr>
        <w:pStyle w:val="ListBullet"/>
      </w:pPr>
      <w:r w:rsidRPr="00EC3790">
        <w:t>information technology and cyber security systems ($4.1 million)</w:t>
      </w:r>
    </w:p>
    <w:p w14:paraId="20AC5DC3" w14:textId="77777777" w:rsidR="00C53271" w:rsidRPr="00EC3790" w:rsidRDefault="00C53271" w:rsidP="00821A3A">
      <w:pPr>
        <w:pStyle w:val="ListBullet"/>
      </w:pPr>
      <w:r w:rsidRPr="00EC3790">
        <w:t>cyclical expenditure: dam safety reviews and consultant costs ($3.7 million)</w:t>
      </w:r>
    </w:p>
    <w:p w14:paraId="0F95CBA6" w14:textId="77777777" w:rsidR="00C53271" w:rsidRPr="00EC3790" w:rsidRDefault="00C53271" w:rsidP="00821A3A">
      <w:pPr>
        <w:pStyle w:val="ListBullet"/>
      </w:pPr>
      <w:r w:rsidRPr="00EC3790">
        <w:t>increases in insurance costs ($1.1 million).</w:t>
      </w:r>
    </w:p>
    <w:p w14:paraId="00B24F90" w14:textId="77777777" w:rsidR="00C53271" w:rsidRPr="00EC3790" w:rsidRDefault="00C53271" w:rsidP="00C53271">
      <w:r w:rsidRPr="00EC3790">
        <w:t>The above costs represent an additional $13.0 million over the regulatory period, or an average of $3.3 million per annum.</w:t>
      </w:r>
    </w:p>
    <w:p w14:paraId="53A2F9E3" w14:textId="73B6F021" w:rsidR="00C53271" w:rsidRPr="00EB3450" w:rsidRDefault="00C53271" w:rsidP="00C53271">
      <w:r w:rsidRPr="00EB3450">
        <w:t>Our expenditure consultant reviewed each of the proposed forecast variations above the baseline and requested further information from Goulburn-Murray Water to justify the increased costs. Our consultant considered the proposed increases were all reasonable and supported by sound rationale</w:t>
      </w:r>
      <w:r w:rsidR="00233AD9" w:rsidRPr="00EB3450">
        <w:t xml:space="preserve">. </w:t>
      </w:r>
      <w:r w:rsidR="003B6DD3" w:rsidRPr="00EB3450">
        <w:t xml:space="preserve">Our consultant </w:t>
      </w:r>
      <w:r w:rsidR="00A51960" w:rsidRPr="00EB3450">
        <w:t>found that it</w:t>
      </w:r>
      <w:r w:rsidRPr="00EB3450">
        <w:t xml:space="preserve"> represented prudent and efficient expenditure over the next regulatory period, and did not recommend any adjustments.</w:t>
      </w:r>
      <w:r w:rsidRPr="00EB3450">
        <w:rPr>
          <w:rStyle w:val="FootnoteReference"/>
        </w:rPr>
        <w:footnoteReference w:id="44"/>
      </w:r>
    </w:p>
    <w:p w14:paraId="2E596A9C" w14:textId="559B66BD" w:rsidR="00C53271" w:rsidRPr="002F57CA" w:rsidRDefault="00C53271" w:rsidP="00C53271">
      <w:r w:rsidRPr="002F57CA">
        <w:t>Further, as noted in section 4.1.1.2, Goulburn-Murray Water has also forecast $14.4 million (an average of $3.6 million per annum) in operating expenditure efficiencies to be delivered through identified costs savings over the regulatory period, including:</w:t>
      </w:r>
    </w:p>
    <w:p w14:paraId="375BAC41" w14:textId="45C13268" w:rsidR="00C53271" w:rsidRPr="00A976EE" w:rsidRDefault="00C53271" w:rsidP="00AE305A">
      <w:pPr>
        <w:pStyle w:val="ListParagraph"/>
        <w:numPr>
          <w:ilvl w:val="0"/>
          <w:numId w:val="8"/>
        </w:numPr>
      </w:pPr>
      <w:r w:rsidRPr="00A976EE">
        <w:t xml:space="preserve">labour efficiencies ($7.3 million) from the removal of the business’s two per cent staff vacancy rate assumption and weekend work </w:t>
      </w:r>
    </w:p>
    <w:p w14:paraId="42158475" w14:textId="32AD55C7" w:rsidR="00C53271" w:rsidRPr="00A976EE" w:rsidRDefault="00C53271" w:rsidP="00AE305A">
      <w:pPr>
        <w:pStyle w:val="ListParagraph"/>
        <w:numPr>
          <w:ilvl w:val="0"/>
          <w:numId w:val="8"/>
        </w:numPr>
      </w:pPr>
      <w:r w:rsidRPr="00A976EE">
        <w:lastRenderedPageBreak/>
        <w:t>labour efficiencies ($2.5 million) from reductions in the use of labour hire, contract labour, and overtime</w:t>
      </w:r>
    </w:p>
    <w:p w14:paraId="4E874628" w14:textId="7BF58A33" w:rsidR="00C53271" w:rsidRPr="00A976EE" w:rsidRDefault="00C53271" w:rsidP="00AE305A">
      <w:pPr>
        <w:pStyle w:val="ListParagraph"/>
        <w:numPr>
          <w:ilvl w:val="0"/>
          <w:numId w:val="8"/>
        </w:numPr>
      </w:pPr>
      <w:r w:rsidRPr="00A976EE">
        <w:t>a further $0.9 million to be delivered through the consolidation of operating sites, solar energy projects, reduced forecast training budgets and already realised savings.</w:t>
      </w:r>
    </w:p>
    <w:p w14:paraId="369B5B93" w14:textId="63EECFDE" w:rsidR="00C53271" w:rsidRPr="00122576" w:rsidRDefault="005675DA" w:rsidP="00C53271">
      <w:r w:rsidRPr="00244841">
        <w:t xml:space="preserve">Goulburn-Murray Water has also removed pay-on-time discounts </w:t>
      </w:r>
      <w:r w:rsidR="00857C9C" w:rsidRPr="00244841">
        <w:t>which</w:t>
      </w:r>
      <w:r w:rsidR="006246C8" w:rsidRPr="00244841">
        <w:t>,</w:t>
      </w:r>
      <w:r w:rsidR="00BD5BB8" w:rsidRPr="00244841">
        <w:t xml:space="preserve"> according to Goulburn-Murray Water,</w:t>
      </w:r>
      <w:r w:rsidR="006C196B" w:rsidRPr="00244841">
        <w:t xml:space="preserve"> will lower</w:t>
      </w:r>
      <w:r w:rsidR="00857C9C" w:rsidRPr="00244841">
        <w:t xml:space="preserve"> </w:t>
      </w:r>
      <w:r w:rsidR="007C2282" w:rsidRPr="00244841">
        <w:t xml:space="preserve">its </w:t>
      </w:r>
      <w:r w:rsidR="001E481B" w:rsidRPr="00244841">
        <w:t xml:space="preserve">forecast </w:t>
      </w:r>
      <w:r w:rsidR="00431450" w:rsidRPr="00244841">
        <w:t xml:space="preserve">controllable </w:t>
      </w:r>
      <w:r w:rsidR="001E481B" w:rsidRPr="00244841">
        <w:t>operating expenditure by $3.8 million</w:t>
      </w:r>
      <w:r w:rsidR="00431450" w:rsidRPr="00244841">
        <w:t xml:space="preserve"> across the</w:t>
      </w:r>
      <w:r w:rsidR="00EC6C2F" w:rsidRPr="00244841">
        <w:t xml:space="preserve"> next </w:t>
      </w:r>
      <w:r w:rsidR="00431450" w:rsidRPr="00244841">
        <w:t>regulatory period</w:t>
      </w:r>
      <w:r w:rsidR="00D76A73" w:rsidRPr="00244841">
        <w:t>.</w:t>
      </w:r>
      <w:r w:rsidR="001E481B" w:rsidRPr="00244841">
        <w:t xml:space="preserve"> </w:t>
      </w:r>
      <w:r w:rsidR="00C53271" w:rsidRPr="00244841">
        <w:t>Our</w:t>
      </w:r>
      <w:r w:rsidR="00C53271" w:rsidRPr="00122576">
        <w:t xml:space="preserve"> expenditure consultant reviewed information that underpinned these forecast cost savings and stated that Goulburn-Murray Water had a clear and targeted basis for forecasting each of the savings it identified above. It also noted that Goulburn-Murray Water stated it would implement a reporting framework to manage its achievement of these objectives.</w:t>
      </w:r>
      <w:r w:rsidR="00C53271" w:rsidRPr="00122576">
        <w:rPr>
          <w:rStyle w:val="FootnoteReference"/>
        </w:rPr>
        <w:footnoteReference w:id="45"/>
      </w:r>
    </w:p>
    <w:p w14:paraId="0114F797" w14:textId="46BB758E" w:rsidR="00C53271" w:rsidRDefault="00C53271" w:rsidP="00C53271">
      <w:r w:rsidRPr="00C51944">
        <w:t xml:space="preserve">We have considered the advice from our expenditure consultant, and Goulburn-Murray Water’s proposal. We consider Goulburn-Murray Water’s approach to forecasting its operating expenditure is consistent with the requirements of our guidance. Our preliminary position is </w:t>
      </w:r>
      <w:r w:rsidR="001A4115" w:rsidRPr="00C51944">
        <w:t xml:space="preserve">therefore </w:t>
      </w:r>
      <w:r w:rsidRPr="00C51944">
        <w:t>that we are satisfied that its proposed forecast represents efficient controllable operating expenditure. There is evidence that Goulburn-Murray Water has significantly tested its controllable expenditure requirements, resulting in flat (excluding inflation) controllable operating expenditure benchmarks across the 2024–28 regulatory period.</w:t>
      </w:r>
      <w:r w:rsidRPr="00FA678F">
        <w:t xml:space="preserve"> </w:t>
      </w:r>
    </w:p>
    <w:p w14:paraId="1C6AFF86" w14:textId="4E2ADD7A" w:rsidR="00C53271" w:rsidRDefault="00C53271" w:rsidP="00C53271">
      <w:pPr>
        <w:pStyle w:val="Heading3"/>
      </w:pPr>
      <w:bookmarkStart w:id="104" w:name="_Toc160038313"/>
      <w:bookmarkStart w:id="105" w:name="_Toc161400031"/>
      <w:r>
        <w:t xml:space="preserve">4.1.2 </w:t>
      </w:r>
      <w:r>
        <w:tab/>
        <w:t>Non-controllable operating expenditure</w:t>
      </w:r>
      <w:bookmarkEnd w:id="104"/>
      <w:bookmarkEnd w:id="105"/>
      <w:r>
        <w:t xml:space="preserve"> </w:t>
      </w:r>
    </w:p>
    <w:p w14:paraId="4FD97CD7" w14:textId="77777777" w:rsidR="006500F0" w:rsidRDefault="006500F0" w:rsidP="006500F0">
      <w:r>
        <w:t>Our process for establishing non</w:t>
      </w:r>
      <w:r w:rsidR="00C53271">
        <w:t>-</w:t>
      </w:r>
      <w:r>
        <w:t>controllable operating expenditure involves:</w:t>
      </w:r>
    </w:p>
    <w:p w14:paraId="65971C2F" w14:textId="77777777" w:rsidR="006500F0" w:rsidRPr="002B7CF8" w:rsidRDefault="006500F0" w:rsidP="00821A3A">
      <w:pPr>
        <w:pStyle w:val="ListBullet"/>
      </w:pPr>
      <w:r w:rsidRPr="002B7CF8">
        <w:t>obtaining the most recent information from the relevant regulatory authorities on their licence fees and the environmental contribution</w:t>
      </w:r>
    </w:p>
    <w:p w14:paraId="71211196" w14:textId="45D99BFF" w:rsidR="006500F0" w:rsidRPr="00A76F27" w:rsidRDefault="006500F0" w:rsidP="00821A3A">
      <w:pPr>
        <w:pStyle w:val="ListBullet"/>
      </w:pPr>
      <w:r w:rsidRPr="00A76F27">
        <w:t xml:space="preserve">adjusting the forecasts proposed by </w:t>
      </w:r>
      <w:r w:rsidR="00D1620B">
        <w:t>Goulburn-Murray Water</w:t>
      </w:r>
      <w:r w:rsidRPr="00A76F27">
        <w:t xml:space="preserve"> where required. </w:t>
      </w:r>
    </w:p>
    <w:p w14:paraId="1CAC9185" w14:textId="77777777" w:rsidR="006500F0" w:rsidRDefault="006500F0" w:rsidP="006500F0">
      <w:r>
        <w:t xml:space="preserve">The values we have adopted for our draft decision are set out above in </w:t>
      </w:r>
      <w:r w:rsidRPr="00E36C90">
        <w:t>Table 4.3.</w:t>
      </w:r>
    </w:p>
    <w:p w14:paraId="23574FB2" w14:textId="271FDACC" w:rsidR="00C53271" w:rsidRPr="00A43414" w:rsidRDefault="00C53271" w:rsidP="00C53271">
      <w:r w:rsidRPr="00A43414">
        <w:t>Goulburn-Murray Water has proposed $65.4 million in non-controllable operating expenditure over the 2024–28 regulatory period. This is a decrease of $3.7 million compared to the 2020–24 regulatory period, driven by a $2.1 million decrease in the Murray Darling Basin Authority contribution, and a decrease of $1.6 million due to forecast decreases in the real value of the environmental contribution.</w:t>
      </w:r>
    </w:p>
    <w:p w14:paraId="679911DD" w14:textId="77777777" w:rsidR="00C53271" w:rsidRPr="007E27D4" w:rsidRDefault="00C53271" w:rsidP="00C53271">
      <w:r w:rsidRPr="007E27D4">
        <w:t>Our guidance paper sets out our approach for Goulburn-Murray Water to forecast its non-controllable operating costs. We consider the business</w:t>
      </w:r>
      <w:r w:rsidRPr="007E27D4" w:rsidDel="00C3082B">
        <w:t xml:space="preserve"> should forecast </w:t>
      </w:r>
      <w:r w:rsidRPr="007E27D4">
        <w:t xml:space="preserve">its Essential Services Commission </w:t>
      </w:r>
      <w:r w:rsidRPr="007E27D4" w:rsidDel="00C3082B">
        <w:t xml:space="preserve">licence fee to remain flat in real terms, and for the environmental contribution to </w:t>
      </w:r>
      <w:r w:rsidRPr="007E27D4" w:rsidDel="00C3082B">
        <w:lastRenderedPageBreak/>
        <w:t>remain flat in nominal terms (decline in real terms) across the 202</w:t>
      </w:r>
      <w:r w:rsidRPr="007E27D4">
        <w:t>4</w:t>
      </w:r>
      <w:r w:rsidRPr="007E27D4" w:rsidDel="00C3082B">
        <w:t>–28 regulatory period.</w:t>
      </w:r>
      <w:r w:rsidRPr="007E27D4" w:rsidDel="004B3786">
        <w:t xml:space="preserve"> </w:t>
      </w:r>
      <w:r w:rsidRPr="007E27D4">
        <w:t xml:space="preserve">Goulburn-Murray Water has followed this approach in its price submission. </w:t>
      </w:r>
    </w:p>
    <w:p w14:paraId="67DBEB29" w14:textId="5BA96066" w:rsidR="00C320C0" w:rsidRPr="00C320C0" w:rsidRDefault="00C320C0" w:rsidP="00C53271">
      <w:pPr>
        <w:rPr>
          <w:highlight w:val="yellow"/>
        </w:rPr>
      </w:pPr>
      <w:r w:rsidRPr="00B855A3">
        <w:t xml:space="preserve">Prior to our draft decision we have updated our forecast inflation rate from 3.5 per cent per annum, to 3.0 per cent per annum. This has increased the forecast </w:t>
      </w:r>
      <w:r w:rsidR="001B28F3" w:rsidRPr="00B855A3">
        <w:t>real</w:t>
      </w:r>
      <w:r w:rsidRPr="00B855A3">
        <w:t xml:space="preserve"> value of the environmental contribution by $</w:t>
      </w:r>
      <w:r w:rsidR="00E6709E" w:rsidRPr="00B855A3">
        <w:t>0</w:t>
      </w:r>
      <w:r w:rsidRPr="00B855A3">
        <w:t>.</w:t>
      </w:r>
      <w:r w:rsidR="00E6709E" w:rsidRPr="00B855A3">
        <w:t>1</w:t>
      </w:r>
      <w:r w:rsidRPr="00B855A3">
        <w:t> million (</w:t>
      </w:r>
      <w:r w:rsidR="00E6709E" w:rsidRPr="00B855A3">
        <w:t>1</w:t>
      </w:r>
      <w:r w:rsidRPr="00B855A3">
        <w:t>.</w:t>
      </w:r>
      <w:r w:rsidR="00E6709E" w:rsidRPr="00B855A3">
        <w:t>2</w:t>
      </w:r>
      <w:r w:rsidRPr="00B855A3">
        <w:t> per cent) across the next regulatory period.</w:t>
      </w:r>
      <w:r w:rsidR="00846AFB" w:rsidRPr="0070454C">
        <w:rPr>
          <w:rStyle w:val="FootnoteReference"/>
        </w:rPr>
        <w:footnoteReference w:id="46"/>
      </w:r>
      <w:r w:rsidRPr="0070454C">
        <w:t xml:space="preserve"> </w:t>
      </w:r>
      <w:r w:rsidRPr="00B855A3">
        <w:t xml:space="preserve">We have adopted this updated figure for our draft decision </w:t>
      </w:r>
      <w:r w:rsidRPr="009963EC">
        <w:t xml:space="preserve">(see </w:t>
      </w:r>
      <w:r w:rsidR="00AF297F">
        <w:t>T</w:t>
      </w:r>
      <w:r w:rsidRPr="009963EC">
        <w:t>able 4.4).</w:t>
      </w:r>
    </w:p>
    <w:p w14:paraId="764F3FF2" w14:textId="15C3B559" w:rsidR="00C53271" w:rsidRPr="00380968" w:rsidRDefault="00C53271" w:rsidP="00C53271">
      <w:r w:rsidRPr="00380968">
        <w:t>For the Murray Darling Basin Authority contribution, Goulburn-Murray Water has stated that it has agreed with the Department of Energy, Environment and Climate Action that a forecast fixed annual amount of $14.0 million (real) per annum will provide a predictable price path for customers.</w:t>
      </w:r>
      <w:r w:rsidRPr="00380968">
        <w:rPr>
          <w:rStyle w:val="FootnoteReference"/>
        </w:rPr>
        <w:footnoteReference w:id="47"/>
      </w:r>
      <w:r w:rsidRPr="00380968">
        <w:t xml:space="preserve"> </w:t>
      </w:r>
    </w:p>
    <w:p w14:paraId="59551FFF" w14:textId="58FA8F4E" w:rsidR="00C53271" w:rsidRDefault="00047659" w:rsidP="00C53271">
      <w:r w:rsidRPr="00380968">
        <w:t xml:space="preserve">For the purpose of calculating the revenue requirement for our draft decision, we have accepted </w:t>
      </w:r>
      <w:r w:rsidR="00D1620B" w:rsidRPr="00380968">
        <w:t>Goulburn-Murray Water</w:t>
      </w:r>
      <w:r w:rsidRPr="00380968">
        <w:t xml:space="preserve">’s proposed non-controllable operating </w:t>
      </w:r>
      <w:r w:rsidRPr="008B127E">
        <w:t>expenditure</w:t>
      </w:r>
      <w:r w:rsidR="004A6709" w:rsidRPr="008B127E">
        <w:t xml:space="preserve">, noting </w:t>
      </w:r>
      <w:r w:rsidR="00C0729C">
        <w:t>the impact of our update to long-term</w:t>
      </w:r>
      <w:r w:rsidR="004A6709" w:rsidRPr="008B127E">
        <w:t xml:space="preserve"> inflation on Greater Western Water’s forecast environmental contribution</w:t>
      </w:r>
      <w:r w:rsidR="00C53271" w:rsidRPr="008B127E">
        <w:t>.</w:t>
      </w:r>
      <w:r w:rsidR="004A6709">
        <w:t xml:space="preserve"> </w:t>
      </w:r>
      <w:r w:rsidR="00C53271" w:rsidRPr="00BF5911">
        <w:t xml:space="preserve"> </w:t>
      </w:r>
    </w:p>
    <w:p w14:paraId="7122B2E0" w14:textId="0FF45471" w:rsidR="00517AF1" w:rsidRPr="0075406E" w:rsidRDefault="00C53271" w:rsidP="006500F0">
      <w:r>
        <w:t>P</w:t>
      </w:r>
      <w:r w:rsidRPr="00473DD3">
        <w:t>rior</w:t>
      </w:r>
      <w:r w:rsidR="00A16D8C" w:rsidRPr="00473DD3">
        <w:t xml:space="preserve"> to making our final decision, we will update the forecast </w:t>
      </w:r>
      <w:r>
        <w:t xml:space="preserve">Essential Services Commission </w:t>
      </w:r>
      <w:r w:rsidR="00A16D8C" w:rsidRPr="00473DD3">
        <w:t>licence fee</w:t>
      </w:r>
      <w:r>
        <w:t>,</w:t>
      </w:r>
      <w:r w:rsidR="00A16D8C" w:rsidRPr="00473DD3">
        <w:t xml:space="preserve"> environmental contribution </w:t>
      </w:r>
      <w:r>
        <w:t xml:space="preserve">and Murray Darling Basin Authority contribution </w:t>
      </w:r>
      <w:r w:rsidR="00A16D8C" w:rsidRPr="00473DD3">
        <w:t>values with the relevant regulatory bodies and adjust where necessary for the latest inflation and external bulk charges data.</w:t>
      </w:r>
      <w:r w:rsidR="00AA42EC" w:rsidRPr="008B127E">
        <w:rPr>
          <w:rStyle w:val="FootnoteReference"/>
        </w:rPr>
        <w:footnoteReference w:id="48"/>
      </w:r>
      <w:r w:rsidR="00A16D8C" w:rsidRPr="00473DD3">
        <w:t xml:space="preserve">  </w:t>
      </w:r>
    </w:p>
    <w:p w14:paraId="5B3540F9" w14:textId="6501C216" w:rsidR="006500F0" w:rsidRDefault="006500F0" w:rsidP="00D10CF7">
      <w:pPr>
        <w:pStyle w:val="Heading2"/>
      </w:pPr>
      <w:bookmarkStart w:id="106" w:name="_Toc161400032"/>
      <w:r>
        <w:t xml:space="preserve">4.2 </w:t>
      </w:r>
      <w:r w:rsidR="00D10CF7">
        <w:tab/>
      </w:r>
      <w:r>
        <w:t>Capital expenditure</w:t>
      </w:r>
      <w:bookmarkEnd w:id="106"/>
      <w:r w:rsidR="00D35C56">
        <w:t xml:space="preserve"> </w:t>
      </w:r>
    </w:p>
    <w:p w14:paraId="250A6534" w14:textId="09769127" w:rsidR="006500F0" w:rsidRDefault="006500F0" w:rsidP="00B801BA">
      <w:pPr>
        <w:pStyle w:val="Pull-out"/>
      </w:pPr>
      <w:r w:rsidRPr="00283C67">
        <w:t xml:space="preserve">Our draft decision is to accept </w:t>
      </w:r>
      <w:r w:rsidR="00D1620B" w:rsidRPr="00283C67">
        <w:t>Goulburn-Murray Water</w:t>
      </w:r>
      <w:r w:rsidRPr="00283C67">
        <w:t>’s proposed forecast capital expenditure of $</w:t>
      </w:r>
      <w:r w:rsidR="001500B8" w:rsidRPr="00283C67">
        <w:t>114.6</w:t>
      </w:r>
      <w:r w:rsidR="006761A1" w:rsidRPr="00283C67">
        <w:t> million</w:t>
      </w:r>
      <w:r w:rsidR="00AE1158">
        <w:t>.</w:t>
      </w:r>
      <w:r w:rsidRPr="00283C67">
        <w:t xml:space="preserve"> </w:t>
      </w:r>
    </w:p>
    <w:p w14:paraId="3589D548" w14:textId="77777777" w:rsidR="006500F0" w:rsidRDefault="006500F0" w:rsidP="006500F0">
      <w:r>
        <w:t xml:space="preserve">Capital expenditure is an input to estimating the regulatory asset base, which is an input to the revenue requirement. </w:t>
      </w:r>
      <w:r w:rsidR="00D1620B">
        <w:t>Goulburn-Murray Water</w:t>
      </w:r>
      <w:r>
        <w:t xml:space="preserve">’s forecast capital expenditure and supporting information is provided </w:t>
      </w:r>
      <w:r w:rsidR="00197933" w:rsidRPr="00283C67">
        <w:t>on</w:t>
      </w:r>
      <w:r>
        <w:t xml:space="preserve"> pages </w:t>
      </w:r>
      <w:r w:rsidR="00197933" w:rsidRPr="00283C67">
        <w:t>58</w:t>
      </w:r>
      <w:r w:rsidRPr="00283C67">
        <w:t xml:space="preserve"> to </w:t>
      </w:r>
      <w:r w:rsidR="00197933" w:rsidRPr="00283C67">
        <w:t>67</w:t>
      </w:r>
      <w:r>
        <w:t xml:space="preserve"> of its price submission. Figure 4.</w:t>
      </w:r>
      <w:r w:rsidR="00197933" w:rsidRPr="00283C67">
        <w:t>2</w:t>
      </w:r>
      <w:r>
        <w:t xml:space="preserve"> shows </w:t>
      </w:r>
      <w:r w:rsidR="00D1620B">
        <w:t>Goulburn-Murray Water</w:t>
      </w:r>
      <w:r>
        <w:t xml:space="preserve">’s actual gross capital expenditure </w:t>
      </w:r>
      <w:r w:rsidR="008968E0" w:rsidRPr="00040A90">
        <w:t xml:space="preserve">for </w:t>
      </w:r>
      <w:r w:rsidR="00197933" w:rsidRPr="00040A90">
        <w:t>201</w:t>
      </w:r>
      <w:r w:rsidR="00197933">
        <w:t>9</w:t>
      </w:r>
      <w:r w:rsidR="00197933" w:rsidRPr="00040A90">
        <w:noBreakHyphen/>
      </w:r>
      <w:r w:rsidR="00197933">
        <w:t>20</w:t>
      </w:r>
      <w:r w:rsidR="008968E0" w:rsidRPr="00040A90">
        <w:t xml:space="preserve"> and the first </w:t>
      </w:r>
      <w:r w:rsidR="00197933" w:rsidRPr="00283C67">
        <w:t>three</w:t>
      </w:r>
      <w:r w:rsidR="008968E0" w:rsidRPr="00040A90">
        <w:t xml:space="preserve"> years of the current </w:t>
      </w:r>
      <w:r w:rsidR="00471548">
        <w:t xml:space="preserve">regulatory </w:t>
      </w:r>
      <w:r w:rsidR="008968E0" w:rsidRPr="00040A90">
        <w:t>period</w:t>
      </w:r>
      <w:r>
        <w:t xml:space="preserve"> </w:t>
      </w:r>
      <w:r w:rsidR="00AC5B4F" w:rsidRPr="00283C67">
        <w:t>(</w:t>
      </w:r>
      <w:r w:rsidR="00197933" w:rsidRPr="00283C67">
        <w:t>2020</w:t>
      </w:r>
      <w:r w:rsidR="00197933" w:rsidRPr="00283C67">
        <w:noBreakHyphen/>
        <w:t>21</w:t>
      </w:r>
      <w:r w:rsidRPr="00283C67">
        <w:t xml:space="preserve"> </w:t>
      </w:r>
      <w:r w:rsidR="00044F1D" w:rsidRPr="00283C67">
        <w:t>to</w:t>
      </w:r>
      <w:r w:rsidRPr="00283C67">
        <w:t xml:space="preserve"> </w:t>
      </w:r>
      <w:r w:rsidR="00197933" w:rsidRPr="00283C67">
        <w:t>2022</w:t>
      </w:r>
      <w:r w:rsidR="00197933" w:rsidRPr="00283C67">
        <w:noBreakHyphen/>
        <w:t>23</w:t>
      </w:r>
      <w:r w:rsidR="00044F1D" w:rsidRPr="00283C67">
        <w:t>)</w:t>
      </w:r>
      <w:r>
        <w:t xml:space="preserve"> and forecast gross capital expenditure from </w:t>
      </w:r>
      <w:r w:rsidR="00D55B06" w:rsidRPr="00283C67">
        <w:t>2023</w:t>
      </w:r>
      <w:r w:rsidR="006761A1" w:rsidRPr="00283C67">
        <w:noBreakHyphen/>
      </w:r>
      <w:r w:rsidR="00D55B06" w:rsidRPr="00283C67">
        <w:t xml:space="preserve">24 </w:t>
      </w:r>
      <w:r w:rsidRPr="00283C67">
        <w:t xml:space="preserve">to </w:t>
      </w:r>
      <w:r w:rsidRPr="00283C67">
        <w:lastRenderedPageBreak/>
        <w:t>2027</w:t>
      </w:r>
      <w:r w:rsidR="006761A1" w:rsidRPr="00283C67">
        <w:noBreakHyphen/>
      </w:r>
      <w:r w:rsidRPr="00283C67">
        <w:t>28</w:t>
      </w:r>
      <w:r w:rsidRPr="00CF562F">
        <w:t>.</w:t>
      </w:r>
      <w:r>
        <w:t xml:space="preserve"> </w:t>
      </w:r>
      <w:r w:rsidRPr="00283C67">
        <w:t xml:space="preserve">The first </w:t>
      </w:r>
      <w:r w:rsidR="00D54A68" w:rsidRPr="00283C67">
        <w:t xml:space="preserve">four </w:t>
      </w:r>
      <w:r w:rsidRPr="00283C67">
        <w:t xml:space="preserve">years </w:t>
      </w:r>
      <w:r w:rsidR="005614B4" w:rsidRPr="00283C67">
        <w:t xml:space="preserve">of </w:t>
      </w:r>
      <w:r w:rsidR="005614B4">
        <w:t xml:space="preserve">actual expenditure </w:t>
      </w:r>
      <w:r>
        <w:t>shown in Figure 4.</w:t>
      </w:r>
      <w:r w:rsidR="00D54A68" w:rsidRPr="00283C67">
        <w:t>2</w:t>
      </w:r>
      <w:r w:rsidR="00D54A68">
        <w:t xml:space="preserve"> </w:t>
      </w:r>
      <w:r w:rsidR="00D54A68" w:rsidRPr="00283C67">
        <w:t>(2019</w:t>
      </w:r>
      <w:r w:rsidR="00D54A68" w:rsidRPr="00283C67">
        <w:noBreakHyphen/>
        <w:t>20</w:t>
      </w:r>
      <w:r w:rsidRPr="00283C67">
        <w:t xml:space="preserve"> to </w:t>
      </w:r>
      <w:r w:rsidR="00D54A68" w:rsidRPr="00283C67">
        <w:t>2022</w:t>
      </w:r>
      <w:r w:rsidR="00D54A68" w:rsidRPr="00283C67">
        <w:noBreakHyphen/>
        <w:t>23</w:t>
      </w:r>
      <w:r w:rsidRPr="00283C67">
        <w:t>)</w:t>
      </w:r>
      <w:r w:rsidR="00B010A7">
        <w:t xml:space="preserve"> </w:t>
      </w:r>
      <w:r w:rsidR="009C4AA3">
        <w:t>is</w:t>
      </w:r>
      <w:r>
        <w:t xml:space="preserve"> relevant to the calculation of the closing regulatory asset base discussed in Section 4.3.1. </w:t>
      </w:r>
      <w:r w:rsidR="00B010A7">
        <w:t xml:space="preserve"> </w:t>
      </w:r>
    </w:p>
    <w:p w14:paraId="03C7FF61" w14:textId="77777777" w:rsidR="006500F0" w:rsidRDefault="006500F0" w:rsidP="00D54A68">
      <w:pPr>
        <w:pStyle w:val="Figure-Table-BoxHeading"/>
        <w:keepNext/>
        <w:spacing w:after="0" w:line="288" w:lineRule="auto"/>
      </w:pPr>
      <w:r>
        <w:t>Figure 4.2</w:t>
      </w:r>
      <w:r>
        <w:tab/>
        <w:t>Gross capital expenditure by service category</w:t>
      </w:r>
    </w:p>
    <w:p w14:paraId="2A9CE602" w14:textId="77777777" w:rsidR="006500F0" w:rsidRDefault="006500F0" w:rsidP="00D54A68">
      <w:pPr>
        <w:pStyle w:val="Figure-Table-BoxSubtitle"/>
        <w:keepNext/>
        <w:spacing w:before="0" w:after="0" w:line="240" w:lineRule="auto"/>
        <w:ind w:left="1418"/>
      </w:pPr>
      <w:r>
        <w:tab/>
        <w:t>$</w:t>
      </w:r>
      <w:r w:rsidR="006761A1">
        <w:t> million</w:t>
      </w:r>
      <w:r>
        <w:t xml:space="preserve"> 202</w:t>
      </w:r>
      <w:r w:rsidR="007A6975">
        <w:t>3</w:t>
      </w:r>
      <w:r w:rsidR="006761A1">
        <w:noBreakHyphen/>
      </w:r>
      <w:r>
        <w:t>2</w:t>
      </w:r>
      <w:r w:rsidR="007A6975">
        <w:t>4</w:t>
      </w:r>
    </w:p>
    <w:p w14:paraId="6030B64A" w14:textId="77777777" w:rsidR="00D54A68" w:rsidRDefault="00D54A68" w:rsidP="00D54A68">
      <w:pPr>
        <w:pStyle w:val="Source"/>
        <w:jc w:val="left"/>
        <w:rPr>
          <w:iCs w:val="0"/>
          <w:color w:val="auto"/>
          <w:sz w:val="22"/>
          <w:szCs w:val="22"/>
        </w:rPr>
      </w:pPr>
      <w:r>
        <w:rPr>
          <w:noProof/>
        </w:rPr>
        <w:drawing>
          <wp:inline distT="0" distB="0" distL="0" distR="0" wp14:anchorId="4BD16990" wp14:editId="3BCB9E17">
            <wp:extent cx="6120130" cy="3718560"/>
            <wp:effectExtent l="0" t="0" r="0" b="0"/>
            <wp:docPr id="1556941013" name="Chart 1">
              <a:extLst xmlns:a="http://schemas.openxmlformats.org/drawingml/2006/main">
                <a:ext uri="{FF2B5EF4-FFF2-40B4-BE49-F238E27FC236}">
                  <a16:creationId xmlns:a16="http://schemas.microsoft.com/office/drawing/2014/main" id="{674C71B1-B65C-4B70-A2A3-DAB654C5A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7CE0D5F" w14:textId="77777777" w:rsidR="00D54A68" w:rsidRDefault="00D54A68" w:rsidP="00D54A68">
      <w:pPr>
        <w:pStyle w:val="Source"/>
        <w:jc w:val="left"/>
      </w:pPr>
      <w:r w:rsidRPr="00B801BA">
        <w:rPr>
          <w:b/>
          <w:bCs/>
        </w:rPr>
        <w:t>Note:</w:t>
      </w:r>
      <w:r>
        <w:t xml:space="preserve"> </w:t>
      </w:r>
      <w:r w:rsidRPr="00803253">
        <w:t>This graph shows actual figures for 201</w:t>
      </w:r>
      <w:r>
        <w:t>9–20</w:t>
      </w:r>
      <w:r w:rsidRPr="00803253">
        <w:t xml:space="preserve"> to 202</w:t>
      </w:r>
      <w:r>
        <w:t>2–</w:t>
      </w:r>
      <w:r w:rsidRPr="00803253">
        <w:t>2</w:t>
      </w:r>
      <w:r>
        <w:t>3</w:t>
      </w:r>
      <w:r w:rsidRPr="00803253">
        <w:t xml:space="preserve">, and </w:t>
      </w:r>
      <w:r>
        <w:t>Goulburn-Murray Water’s</w:t>
      </w:r>
      <w:r w:rsidRPr="00803253">
        <w:t xml:space="preserve"> forecasts for 202</w:t>
      </w:r>
      <w:r>
        <w:t>3–</w:t>
      </w:r>
      <w:r w:rsidRPr="00803253">
        <w:t>2</w:t>
      </w:r>
      <w:r>
        <w:t>4</w:t>
      </w:r>
      <w:r w:rsidRPr="00803253">
        <w:t xml:space="preserve"> to 2027</w:t>
      </w:r>
      <w:r>
        <w:t>–</w:t>
      </w:r>
      <w:r w:rsidRPr="00803253">
        <w:t>28.</w:t>
      </w:r>
    </w:p>
    <w:p w14:paraId="46E3E335" w14:textId="26888040" w:rsidR="00471548" w:rsidRDefault="00471548" w:rsidP="00471548">
      <w:r w:rsidRPr="00C1479B">
        <w:t xml:space="preserve">We engaged FTI Consulting to provide expert advice to inform our assessment of </w:t>
      </w:r>
      <w:r w:rsidR="0006521D" w:rsidRPr="00C1479B">
        <w:t>Goulburn</w:t>
      </w:r>
      <w:r w:rsidR="00BF7B86" w:rsidRPr="00C1479B">
        <w:t xml:space="preserve">-Murray Water’s </w:t>
      </w:r>
      <w:r w:rsidRPr="00C1479B">
        <w:t xml:space="preserve">capital expenditure. FTI Consulting’s report on its assessment of </w:t>
      </w:r>
      <w:r w:rsidR="00D1620B" w:rsidRPr="00C1479B">
        <w:t>Goulburn-Murray Water</w:t>
      </w:r>
      <w:r w:rsidRPr="00C1479B">
        <w:t>’s expenditure forecast is available on our website.</w:t>
      </w:r>
      <w:r w:rsidRPr="00C1479B">
        <w:rPr>
          <w:rStyle w:val="FootnoteReference"/>
        </w:rPr>
        <w:footnoteReference w:id="49"/>
      </w:r>
      <w:r>
        <w:t xml:space="preserve"> </w:t>
      </w:r>
    </w:p>
    <w:p w14:paraId="3BA3C38B" w14:textId="4C56B3A5" w:rsidR="00A63E0D" w:rsidRPr="00EA02BE" w:rsidRDefault="00A63E0D" w:rsidP="00A63E0D">
      <w:pPr>
        <w:pStyle w:val="Heading3"/>
      </w:pPr>
      <w:bookmarkStart w:id="107" w:name="_Toc160038316"/>
      <w:bookmarkStart w:id="108" w:name="_Toc161400033"/>
      <w:r w:rsidRPr="00EA02BE">
        <w:t>4.2.2</w:t>
      </w:r>
      <w:r w:rsidRPr="00EA02BE">
        <w:tab/>
      </w:r>
      <w:r w:rsidR="00222F6F">
        <w:tab/>
      </w:r>
      <w:r w:rsidRPr="00EA02BE">
        <w:t>Forecast Capital Expenditure</w:t>
      </w:r>
      <w:bookmarkEnd w:id="107"/>
      <w:bookmarkEnd w:id="108"/>
    </w:p>
    <w:p w14:paraId="436B534A" w14:textId="6CCAF42F" w:rsidR="00707733" w:rsidRDefault="00707733" w:rsidP="00707733">
      <w:r w:rsidRPr="00CD3FB2">
        <w:t>For the reasons set out below, our draft decision is to accept the forecast capital expenditure of $114.6 million proposed by Goulburn-Murray Water for the purpose of calculating its revenue requirement</w:t>
      </w:r>
      <w:r w:rsidR="007A3D1C">
        <w:t>.</w:t>
      </w:r>
      <w:r w:rsidR="0046351E">
        <w:t xml:space="preserve"> </w:t>
      </w:r>
    </w:p>
    <w:p w14:paraId="7846BB3D" w14:textId="152047D2" w:rsidR="0046351E" w:rsidRDefault="0046351E" w:rsidP="00707733">
      <w:r w:rsidRPr="0046351E">
        <w:t xml:space="preserve">Goulburn-Murray Water’s price submission provided evidence that its forecasts for capital expenditure are prudent and efficient. Its total proposed capital expenditure is $6.7 million (6.2 per cent) higher than capital expenditure in the current 2020–24 period. This is linked to proposed </w:t>
      </w:r>
      <w:r w:rsidRPr="0046351E">
        <w:lastRenderedPageBreak/>
        <w:t xml:space="preserve">increases in improvement/compliance expenditure compared to the current period (including expenditure on digital and cyber security strategies) and expenditure to deliver renewals of existing assets. </w:t>
      </w:r>
    </w:p>
    <w:p w14:paraId="15BEFAFA" w14:textId="5A52881E" w:rsidR="0034432E" w:rsidRDefault="0046351E" w:rsidP="0023329D">
      <w:r w:rsidRPr="0046351E">
        <w:t xml:space="preserve">Goulburn-Murray Water’s price submission provided evidence that its forecasts for capital expenditure are prudent and efficient. Its total proposed capital expenditure is $6.7 million (6.2 per cent) higher than capital expenditure in the current 2020–24 period. This is linked to proposed increases in improvement/compliance expenditure compared to the current period (including expenditure on digital and cyber security strategies) and expenditure to deliver renewals of existing assets. </w:t>
      </w:r>
    </w:p>
    <w:p w14:paraId="2F8882A6" w14:textId="77777777" w:rsidR="0023329D" w:rsidRDefault="0023329D" w:rsidP="0023329D">
      <w:r w:rsidRPr="0023329D">
        <w:t>Our expenditure consultant requested selected documents from Goulburn-Murray Water as a representative sample to demonstrate its asset management processes and justification for its capital expenditure program, including its asset management strategy, Digital and Cyber Security Strategies, and major project and program business cases.</w:t>
      </w:r>
      <w:r w:rsidRPr="0023329D">
        <w:rPr>
          <w:vertAlign w:val="superscript"/>
        </w:rPr>
        <w:footnoteReference w:id="50"/>
      </w:r>
      <w:r w:rsidRPr="0023329D">
        <w:t xml:space="preserve"> Based on the sample of documents reviewed, FTI’s workshop with the business, and Goulburn-Murray Water’s responses to questions, our consultant found that Goulburn-Murray Water has a robust approach for developing project scope, the timing of works and cost estimates. </w:t>
      </w:r>
    </w:p>
    <w:p w14:paraId="0C863266" w14:textId="77777777" w:rsidR="000B195E" w:rsidRPr="000B195E" w:rsidRDefault="000B195E" w:rsidP="000B195E">
      <w:r w:rsidRPr="000B195E">
        <w:t>Our consultant reviewed information for four major projects and six major programs, and recommended no adjustments to Goulburn-Murray Water’s forecast capital expenditure.</w:t>
      </w:r>
      <w:r w:rsidRPr="000B195E">
        <w:rPr>
          <w:vertAlign w:val="superscript"/>
        </w:rPr>
        <w:footnoteReference w:id="51"/>
      </w:r>
      <w:r w:rsidRPr="000B195E">
        <w:t xml:space="preserve"> We agree with our consultant’s view and we consider that, for the purposes of our draft decision, the prudency and efficiency of the expenditure has been justified, consistent with our guidance.</w:t>
      </w:r>
    </w:p>
    <w:p w14:paraId="41DF14F6" w14:textId="1CDA86BF" w:rsidR="000B195E" w:rsidRPr="000B195E" w:rsidRDefault="000B195E" w:rsidP="000B195E">
      <w:r w:rsidRPr="000B195E">
        <w:t xml:space="preserve">Our preliminary view is that the planned capital expenditure program is achievable given </w:t>
      </w:r>
      <w:r w:rsidRPr="000B195E">
        <w:br/>
        <w:t xml:space="preserve">Goulburn-Murray Water’s past track record </w:t>
      </w:r>
      <w:r w:rsidR="001C20D0" w:rsidRPr="0070454C">
        <w:t>in</w:t>
      </w:r>
      <w:r w:rsidR="001C20D0">
        <w:t xml:space="preserve"> </w:t>
      </w:r>
      <w:r w:rsidRPr="000B195E">
        <w:t>delivering its capital expenditure program. Over the current 2020–24 regulatory period, Goulburn-Murray Water is expected to deliver most of its planned major projects to schedule.</w:t>
      </w:r>
      <w:r w:rsidRPr="000B195E">
        <w:rPr>
          <w:vertAlign w:val="superscript"/>
        </w:rPr>
        <w:footnoteReference w:id="52"/>
      </w:r>
      <w:r w:rsidRPr="000B195E">
        <w:t xml:space="preserve"> </w:t>
      </w:r>
    </w:p>
    <w:p w14:paraId="69AFA522" w14:textId="6DB4076A" w:rsidR="00DE3FB3" w:rsidRPr="00473B3C" w:rsidRDefault="00DE3FB3" w:rsidP="00D107C3">
      <w:pPr>
        <w:pStyle w:val="ListBullet2"/>
        <w:numPr>
          <w:ilvl w:val="0"/>
          <w:numId w:val="0"/>
        </w:numPr>
        <w:spacing w:after="120"/>
        <w:contextualSpacing w:val="0"/>
      </w:pPr>
      <w:r w:rsidRPr="00473B3C">
        <w:t xml:space="preserve">Goulburn-Murray Water has </w:t>
      </w:r>
      <w:r w:rsidR="009A33D4" w:rsidRPr="00473B3C">
        <w:t xml:space="preserve">identified that it has excluded uncertain projects from its </w:t>
      </w:r>
      <w:r w:rsidR="00077977" w:rsidRPr="00473B3C">
        <w:t>forecast capital</w:t>
      </w:r>
      <w:r w:rsidR="00595847" w:rsidRPr="00473B3C">
        <w:t xml:space="preserve"> program for 2024–28 period</w:t>
      </w:r>
      <w:r w:rsidR="00C00189">
        <w:t>.</w:t>
      </w:r>
      <w:r w:rsidR="00077977" w:rsidRPr="00473B3C">
        <w:t xml:space="preserve"> </w:t>
      </w:r>
      <w:r w:rsidR="00C00189" w:rsidRPr="0070454C">
        <w:t>B</w:t>
      </w:r>
      <w:r w:rsidR="00077977" w:rsidRPr="0070454C">
        <w:t>ut</w:t>
      </w:r>
      <w:r w:rsidR="00C00189">
        <w:t xml:space="preserve"> it</w:t>
      </w:r>
      <w:r w:rsidR="00077977" w:rsidRPr="00473B3C">
        <w:t xml:space="preserve"> has</w:t>
      </w:r>
      <w:r w:rsidRPr="00473B3C">
        <w:t xml:space="preserve"> not identified any </w:t>
      </w:r>
      <w:r w:rsidR="00077977" w:rsidRPr="00473B3C">
        <w:t xml:space="preserve">specific </w:t>
      </w:r>
      <w:r w:rsidRPr="00473B3C">
        <w:t xml:space="preserve">project costs it has excluded where there is uncertainty in timing, cost, scope and benefits of capital expenditure. For any </w:t>
      </w:r>
      <w:r w:rsidR="00EC51CE" w:rsidRPr="00473B3C">
        <w:t>material</w:t>
      </w:r>
      <w:r w:rsidRPr="00473B3C">
        <w:t xml:space="preserve"> additional capital expenditure above the benchmark allowance in the 2024–28 </w:t>
      </w:r>
      <w:r w:rsidRPr="00473B3C">
        <w:lastRenderedPageBreak/>
        <w:t>regulatory period that Goulburn-Murray Water proposes to include in the regulatory asset base at the end of the regulatory period, it should note the following:</w:t>
      </w:r>
    </w:p>
    <w:p w14:paraId="125F073C" w14:textId="4584FA2D" w:rsidR="00DE3FB3" w:rsidRPr="00473B3C" w:rsidRDefault="00DE3FB3" w:rsidP="00821A3A">
      <w:pPr>
        <w:pStyle w:val="ListBullet"/>
      </w:pPr>
      <w:r w:rsidRPr="00473B3C">
        <w:t>Goulburn-Murray Water will need to demonstrate the prudency and efficiency of these costs if they are indeed incurred during the 2024–28 regulatory period if seeking to include them in the regulatory asset base for the 2028–32 price review.</w:t>
      </w:r>
    </w:p>
    <w:p w14:paraId="62A54244" w14:textId="77777777" w:rsidR="00DE3FB3" w:rsidRPr="00473B3C" w:rsidRDefault="00DE3FB3" w:rsidP="00821A3A">
      <w:pPr>
        <w:pStyle w:val="ListBullet"/>
      </w:pPr>
      <w:r w:rsidRPr="00473B3C">
        <w:t>Deviations from forecasted capital expenditure during the 2024–28 regulatory period will form a key part of our assessment of the ‘Performance’ element of PREMO at the next price review.</w:t>
      </w:r>
    </w:p>
    <w:p w14:paraId="78EC10C1" w14:textId="77777777" w:rsidR="006500F0" w:rsidRPr="00473B3C" w:rsidRDefault="00A21D7C" w:rsidP="006500F0">
      <w:r w:rsidRPr="00473B3C">
        <w:t xml:space="preserve">We have reviewed </w:t>
      </w:r>
      <w:r w:rsidR="00D1620B" w:rsidRPr="00473B3C">
        <w:t>Goulburn-Murray Water</w:t>
      </w:r>
      <w:r w:rsidRPr="00473B3C">
        <w:t xml:space="preserve">’s proposals and </w:t>
      </w:r>
      <w:r w:rsidR="00DE3FB3" w:rsidRPr="00473B3C">
        <w:t xml:space="preserve">the </w:t>
      </w:r>
      <w:r w:rsidRPr="00473B3C">
        <w:t xml:space="preserve">advice from FTI </w:t>
      </w:r>
      <w:r w:rsidR="00DE3FB3" w:rsidRPr="00473B3C">
        <w:t>Consulting.</w:t>
      </w:r>
      <w:r w:rsidRPr="00473B3C">
        <w:t xml:space="preserve"> </w:t>
      </w:r>
      <w:r w:rsidR="006500F0" w:rsidRPr="00473B3C">
        <w:t>We agree</w:t>
      </w:r>
      <w:r w:rsidR="00DE3FB3" w:rsidRPr="00473B3C">
        <w:t xml:space="preserve"> with our consultant’s</w:t>
      </w:r>
      <w:r w:rsidR="006500F0" w:rsidRPr="00473B3C">
        <w:t xml:space="preserve"> assessment and consider </w:t>
      </w:r>
      <w:r w:rsidR="00D1620B" w:rsidRPr="00473B3C">
        <w:t>Goulburn-Murray Water</w:t>
      </w:r>
      <w:r w:rsidR="006500F0" w:rsidRPr="00473B3C">
        <w:t>’s approach to forecasting its capital expenditure is consistent</w:t>
      </w:r>
      <w:r w:rsidR="007A565A" w:rsidRPr="00473B3C">
        <w:t xml:space="preserve"> with the requirements of our guidance and the principles in the Water Industry Regulatory Order 2014</w:t>
      </w:r>
      <w:r w:rsidR="00DE3FB3" w:rsidRPr="00473B3C">
        <w:t>.</w:t>
      </w:r>
      <w:r w:rsidR="007A565A" w:rsidRPr="00473B3C">
        <w:rPr>
          <w:rStyle w:val="FootnoteReference"/>
        </w:rPr>
        <w:footnoteReference w:id="53"/>
      </w:r>
      <w:r w:rsidR="007A565A" w:rsidRPr="00473B3C">
        <w:t xml:space="preserve"> </w:t>
      </w:r>
    </w:p>
    <w:p w14:paraId="134BA517" w14:textId="606E4F0F" w:rsidR="006500F0" w:rsidRDefault="00EE1759" w:rsidP="006500F0">
      <w:r w:rsidRPr="00676969">
        <w:t>Based on this, o</w:t>
      </w:r>
      <w:r w:rsidR="006500F0" w:rsidRPr="00676969">
        <w:t>ur</w:t>
      </w:r>
      <w:r w:rsidR="006500F0" w:rsidRPr="00211E4E">
        <w:t xml:space="preserve"> draft decision for total gross capital expenditure is to accept</w:t>
      </w:r>
      <w:r w:rsidR="007A565A" w:rsidRPr="00211E4E">
        <w:t xml:space="preserve"> Goulburn-Murray Water’s proposed benchmark.</w:t>
      </w:r>
      <w:r w:rsidR="006500F0" w:rsidRPr="00211E4E">
        <w:t xml:space="preserve"> The benchmark we propose to adopt is set out in </w:t>
      </w:r>
      <w:r w:rsidR="006500F0" w:rsidRPr="00676969">
        <w:t xml:space="preserve">Table </w:t>
      </w:r>
      <w:r w:rsidR="0047382F" w:rsidRPr="00676969">
        <w:t>4</w:t>
      </w:r>
      <w:r w:rsidR="006500F0" w:rsidRPr="00676969">
        <w:t>.6.</w:t>
      </w:r>
      <w:r w:rsidR="006500F0">
        <w:t xml:space="preserve"> </w:t>
      </w:r>
    </w:p>
    <w:p w14:paraId="58092943" w14:textId="77777777" w:rsidR="00DE3FB3" w:rsidRDefault="00DE3FB3" w:rsidP="00DE3FB3">
      <w:r w:rsidRPr="00211E4E">
        <w:t>The benchmark that we propose to adopt for Goulburn-Murray Water does not represent the amount that Goulburn-Murray Water is required to spend or allocate to particular projects. Rather, it represents assumptions about the overall level of expenditure (to be recovered through prices) that we consider sufficient to operate the business and to maintain or improve services over the regulatory period. Goulburn-Murray Water determines how to best manage the allocation of its revenue and priority of its expenditure within a regulatory period.</w:t>
      </w:r>
    </w:p>
    <w:p w14:paraId="3F93642A" w14:textId="30F16C3C" w:rsidR="006500F0" w:rsidRDefault="006500F0" w:rsidP="000E4936">
      <w:pPr>
        <w:pStyle w:val="Heading2"/>
      </w:pPr>
      <w:bookmarkStart w:id="109" w:name="_Toc161400034"/>
      <w:r>
        <w:t>4.3</w:t>
      </w:r>
      <w:r>
        <w:tab/>
        <w:t>Regulatory asset base</w:t>
      </w:r>
      <w:bookmarkEnd w:id="109"/>
      <w:r w:rsidR="00D3636E">
        <w:t xml:space="preserve"> </w:t>
      </w:r>
    </w:p>
    <w:p w14:paraId="61F983A6" w14:textId="679041F6" w:rsidR="00684656" w:rsidRPr="00CC1E3E" w:rsidRDefault="00684656" w:rsidP="00684656">
      <w:r w:rsidRPr="00CC1E3E">
        <w:t>A water corporation’s regulatory asset base is the value of the corporation’s assets for regulatory purposes.</w:t>
      </w:r>
      <w:r w:rsidR="00276BDB" w:rsidRPr="00CC1E3E">
        <w:rPr>
          <w:rStyle w:val="FootnoteReference"/>
        </w:rPr>
        <w:footnoteReference w:id="54"/>
      </w:r>
      <w:r w:rsidRPr="00CC1E3E">
        <w:t xml:space="preserve"> The regulatory asset base is used to estimate the return on assets (discussed in Section 4.4), and regulatory depreciation (discussed in Section 4.5). Both the return on assets and regulatory depreciation are components of the revenue requirement. </w:t>
      </w:r>
    </w:p>
    <w:p w14:paraId="3C3C648D" w14:textId="77777777" w:rsidR="00684656" w:rsidRPr="00CC1E3E" w:rsidRDefault="00684656" w:rsidP="00684656">
      <w:r w:rsidRPr="00CC1E3E">
        <w:t>Our guidance required Goulburn-Murray Water to propose:</w:t>
      </w:r>
    </w:p>
    <w:p w14:paraId="73EA489D" w14:textId="22BFA98A" w:rsidR="00684656" w:rsidRPr="00CC1E3E" w:rsidRDefault="00684656" w:rsidP="00821A3A">
      <w:pPr>
        <w:pStyle w:val="ListBullet"/>
      </w:pPr>
      <w:r w:rsidRPr="00CC1E3E">
        <w:t xml:space="preserve">the closing value of its regulatory asset base at 30 June 2023 (using actual data) </w:t>
      </w:r>
    </w:p>
    <w:p w14:paraId="7DF0B59A" w14:textId="613C10A8" w:rsidR="00684656" w:rsidRPr="00CC1E3E" w:rsidRDefault="00684656" w:rsidP="00821A3A">
      <w:pPr>
        <w:pStyle w:val="ListBullet"/>
      </w:pPr>
      <w:r w:rsidRPr="00CC1E3E">
        <w:t xml:space="preserve">the opening value of its regulatory asset base at 1 July 2024 (calculated according to the criteria outlined in the guidance) </w:t>
      </w:r>
    </w:p>
    <w:p w14:paraId="1673DDD8" w14:textId="77777777" w:rsidR="00684656" w:rsidRPr="00CC1E3E" w:rsidRDefault="00684656" w:rsidP="00821A3A">
      <w:pPr>
        <w:pStyle w:val="ListBullet"/>
      </w:pPr>
      <w:r w:rsidRPr="00CC1E3E">
        <w:lastRenderedPageBreak/>
        <w:t>the forecast value of its regulatory asset base for each year of the regulatory period (2024–25 to 2027–28), in accordance with the prudency criteria outlined in the guidance.</w:t>
      </w:r>
    </w:p>
    <w:p w14:paraId="7612558C" w14:textId="2737D025" w:rsidR="00684656" w:rsidRDefault="00684656" w:rsidP="0071231B">
      <w:pPr>
        <w:pStyle w:val="Heading3"/>
      </w:pPr>
      <w:bookmarkStart w:id="110" w:name="_Toc160038318"/>
      <w:bookmarkStart w:id="111" w:name="_Toc161400035"/>
      <w:r>
        <w:t xml:space="preserve">4.3.1 </w:t>
      </w:r>
      <w:r>
        <w:tab/>
        <w:t>Closing regulatory asset base</w:t>
      </w:r>
      <w:bookmarkEnd w:id="110"/>
      <w:bookmarkEnd w:id="111"/>
      <w:r>
        <w:t xml:space="preserve"> </w:t>
      </w:r>
    </w:p>
    <w:p w14:paraId="3868D0E6" w14:textId="77777777" w:rsidR="00684656" w:rsidRDefault="00684656" w:rsidP="00124BBB">
      <w:pPr>
        <w:pStyle w:val="Pull-out"/>
      </w:pPr>
      <w:r>
        <w:t xml:space="preserve">Our draft decision is to </w:t>
      </w:r>
      <w:r w:rsidRPr="00B05B00">
        <w:t>accept</w:t>
      </w:r>
      <w:r>
        <w:t xml:space="preserve"> Goulburn-Murray Water’s closing regulatory asset base.</w:t>
      </w:r>
    </w:p>
    <w:p w14:paraId="2822D6E8" w14:textId="6ED7BCDB" w:rsidR="00684656" w:rsidRPr="00F01AEF" w:rsidRDefault="00684656" w:rsidP="00684656">
      <w:r w:rsidRPr="00F01AEF">
        <w:t>We update the regulatory asset base to reflect actual gross capital expenditure, less government and customer contributions, and asset disposals for the period from 2019–20 to 2022–23.</w:t>
      </w:r>
      <w:r w:rsidR="00992E12" w:rsidRPr="00F01AEF">
        <w:rPr>
          <w:rStyle w:val="FootnoteReference"/>
        </w:rPr>
        <w:footnoteReference w:id="55"/>
      </w:r>
      <w:r w:rsidRPr="00F01AEF">
        <w:t xml:space="preserve"> This helps to ensure prices reflect the actual net expenditure of a water corporation.</w:t>
      </w:r>
      <w:r w:rsidR="00E33CF2" w:rsidRPr="00F01AEF">
        <w:rPr>
          <w:rStyle w:val="FootnoteReference"/>
        </w:rPr>
        <w:footnoteReference w:id="56"/>
      </w:r>
      <w:r w:rsidRPr="00F01AEF">
        <w:t xml:space="preserve">  </w:t>
      </w:r>
    </w:p>
    <w:p w14:paraId="5B9B4378" w14:textId="36F4767B" w:rsidR="00684656" w:rsidRPr="00BD3D8C" w:rsidRDefault="00684656" w:rsidP="00684656">
      <w:r w:rsidRPr="00BD3D8C">
        <w:t xml:space="preserve">Goulburn-Murray Water’s proposed closing asset base at 30 June 2023 </w:t>
      </w:r>
      <w:r w:rsidR="00EB4201">
        <w:t>and supporting calculations are</w:t>
      </w:r>
      <w:r w:rsidRPr="00BD3D8C">
        <w:t xml:space="preserve"> provided on page 49 of its price submission.</w:t>
      </w:r>
      <w:r w:rsidR="0006205B" w:rsidRPr="00BD3D8C">
        <w:rPr>
          <w:rStyle w:val="FootnoteReference"/>
        </w:rPr>
        <w:footnoteReference w:id="57"/>
      </w:r>
      <w:r w:rsidRPr="00BD3D8C">
        <w:t xml:space="preserve"> Goulburn-Murray Water’s proposed closing regulatory asset base </w:t>
      </w:r>
      <w:r w:rsidR="00EB4201">
        <w:t xml:space="preserve">is consistent with </w:t>
      </w:r>
      <w:r w:rsidRPr="00BD3D8C">
        <w:t>its audited regulatory accounts information over the period 2019–20 to 2022–23.</w:t>
      </w:r>
    </w:p>
    <w:p w14:paraId="6E782D7B" w14:textId="0172F6C4" w:rsidR="00684656" w:rsidRDefault="00684656" w:rsidP="00684656">
      <w:r w:rsidRPr="004E3088">
        <w:t xml:space="preserve">We compared Goulburn-Murray Water’s actual net capital expenditure for 2019–20 to 2022–23 with the forecast used to approve maximum prices for the period from 1 July 2020. </w:t>
      </w:r>
      <w:r w:rsidR="0087730A">
        <w:t>Typically, we undertake a prudency and efficiency review where a water business’s net capital expenditure is more than 10 per cent above the forecast used to approve maximum prices</w:t>
      </w:r>
      <w:r w:rsidRPr="004E3088">
        <w:t>.</w:t>
      </w:r>
      <w:r w:rsidRPr="004E3088" w:rsidDel="00F80DBD">
        <w:t xml:space="preserve"> </w:t>
      </w:r>
      <w:r w:rsidRPr="004E3088">
        <w:t xml:space="preserve">We consider this approach is reasonable given capital expenditure can be </w:t>
      </w:r>
      <w:r w:rsidR="007D1D88" w:rsidRPr="004E3088">
        <w:t>‘</w:t>
      </w:r>
      <w:r w:rsidRPr="004E3088">
        <w:t>lumpy</w:t>
      </w:r>
      <w:r w:rsidR="007D1D88" w:rsidRPr="004E3088">
        <w:t>’</w:t>
      </w:r>
      <w:r w:rsidRPr="004E3088">
        <w:t xml:space="preserve"> in nature.</w:t>
      </w:r>
    </w:p>
    <w:p w14:paraId="0572D582" w14:textId="63C54F62" w:rsidR="00D56D61" w:rsidRDefault="004C2CA3" w:rsidP="004C2CA3">
      <w:r w:rsidRPr="00A0666B">
        <w:t>Goulburn-Murray Water’s net capital expenditure over the period from 2019–20 to 2022–23 was $73.1 million. This is $22.5 million or 23.5 per cent lower than the forecast used to approve maximum prices for the period from 1 July 2020.</w:t>
      </w:r>
      <w:r>
        <w:t xml:space="preserve"> </w:t>
      </w:r>
    </w:p>
    <w:p w14:paraId="459A80EA" w14:textId="374DD376" w:rsidR="006E17EF" w:rsidRPr="00244841" w:rsidRDefault="002A0749" w:rsidP="004C2CA3">
      <w:r w:rsidRPr="00244841">
        <w:t xml:space="preserve">Goulburn-Murray Water </w:t>
      </w:r>
      <w:r w:rsidR="00B7224F" w:rsidRPr="00244841">
        <w:t>explained</w:t>
      </w:r>
      <w:r w:rsidRPr="00244841">
        <w:t xml:space="preserve"> </w:t>
      </w:r>
      <w:r w:rsidR="006E17EF" w:rsidRPr="00244841">
        <w:t xml:space="preserve">this variance was </w:t>
      </w:r>
      <w:r w:rsidR="00C63DFE" w:rsidRPr="00244841">
        <w:t>caused by</w:t>
      </w:r>
      <w:r w:rsidR="002406FB" w:rsidRPr="00244841">
        <w:t xml:space="preserve"> </w:t>
      </w:r>
      <w:r w:rsidR="00CD2BDB" w:rsidRPr="00244841">
        <w:t>its</w:t>
      </w:r>
      <w:r w:rsidR="002406FB" w:rsidRPr="00244841">
        <w:t xml:space="preserve"> deferral of some </w:t>
      </w:r>
      <w:r w:rsidR="00A32E65" w:rsidRPr="00244841">
        <w:t xml:space="preserve">customer funded </w:t>
      </w:r>
      <w:r w:rsidR="002406FB" w:rsidRPr="00244841">
        <w:t xml:space="preserve">bulk water projects </w:t>
      </w:r>
      <w:r w:rsidR="00E53263" w:rsidRPr="00244841">
        <w:t xml:space="preserve">due to </w:t>
      </w:r>
      <w:r w:rsidR="00A32E65" w:rsidRPr="00244841">
        <w:t xml:space="preserve">the coronavirus pandemic </w:t>
      </w:r>
      <w:r w:rsidR="00A710D3" w:rsidRPr="00244841">
        <w:t>and</w:t>
      </w:r>
      <w:r w:rsidR="003E115C" w:rsidRPr="00244841">
        <w:t xml:space="preserve"> </w:t>
      </w:r>
      <w:r w:rsidR="008A5D3B" w:rsidRPr="00244841">
        <w:t>flooding events</w:t>
      </w:r>
      <w:r w:rsidR="00A710D3" w:rsidRPr="00244841">
        <w:t xml:space="preserve"> in the regulatory period</w:t>
      </w:r>
      <w:r w:rsidR="008C40B9" w:rsidRPr="00244841">
        <w:t xml:space="preserve">. </w:t>
      </w:r>
      <w:r w:rsidR="00F11DED" w:rsidRPr="00244841">
        <w:t>With</w:t>
      </w:r>
      <w:r w:rsidR="00FC12CC" w:rsidRPr="00244841">
        <w:t xml:space="preserve"> the availability of government partner funding, Goulburn-Murray Water </w:t>
      </w:r>
      <w:r w:rsidR="008F1521" w:rsidRPr="00244841">
        <w:t>then</w:t>
      </w:r>
      <w:r w:rsidR="007F2AA8" w:rsidRPr="00244841">
        <w:t xml:space="preserve"> </w:t>
      </w:r>
      <w:r w:rsidR="00FC12CC" w:rsidRPr="00244841">
        <w:t>brought forward the construction of fishways at Taylors and Teagarden Cree</w:t>
      </w:r>
      <w:r w:rsidR="00D70600" w:rsidRPr="00244841">
        <w:t>k</w:t>
      </w:r>
      <w:r w:rsidR="00FC12CC" w:rsidRPr="00244841">
        <w:t>.</w:t>
      </w:r>
      <w:r w:rsidR="009903A2" w:rsidRPr="00244841">
        <w:rPr>
          <w:rStyle w:val="FootnoteReference"/>
        </w:rPr>
        <w:footnoteReference w:id="58"/>
      </w:r>
      <w:r w:rsidR="00FC12CC" w:rsidRPr="00244841">
        <w:t xml:space="preserve"> Goulburn</w:t>
      </w:r>
      <w:r w:rsidR="00D70600" w:rsidRPr="00244841">
        <w:t>-Murray</w:t>
      </w:r>
      <w:r w:rsidR="006A14D0" w:rsidRPr="00244841">
        <w:t xml:space="preserve"> Water</w:t>
      </w:r>
      <w:r w:rsidR="000E4965" w:rsidRPr="00244841">
        <w:t xml:space="preserve"> </w:t>
      </w:r>
      <w:r w:rsidR="004514CC" w:rsidRPr="00244841">
        <w:t>asserted</w:t>
      </w:r>
      <w:r w:rsidR="000E4965" w:rsidRPr="00244841">
        <w:t xml:space="preserve"> t</w:t>
      </w:r>
      <w:r w:rsidR="007A5DA1" w:rsidRPr="00244841">
        <w:t xml:space="preserve">his </w:t>
      </w:r>
      <w:r w:rsidR="006A14D0" w:rsidRPr="00244841">
        <w:t>variation</w:t>
      </w:r>
      <w:r w:rsidR="007F2AA8" w:rsidRPr="00244841">
        <w:t xml:space="preserve"> in net capital expenditure</w:t>
      </w:r>
      <w:r w:rsidR="006A14D0" w:rsidRPr="00244841">
        <w:t xml:space="preserve"> did not result </w:t>
      </w:r>
      <w:r w:rsidR="00797A0B" w:rsidRPr="00244841">
        <w:t xml:space="preserve">in </w:t>
      </w:r>
      <w:r w:rsidR="0012708D" w:rsidRPr="00244841">
        <w:t>any over recovery of revenue in the current period.</w:t>
      </w:r>
      <w:r w:rsidR="0012708D" w:rsidRPr="00244841">
        <w:rPr>
          <w:rStyle w:val="FootnoteReference"/>
        </w:rPr>
        <w:footnoteReference w:id="59"/>
      </w:r>
    </w:p>
    <w:p w14:paraId="2D4C0143" w14:textId="6B1642C0" w:rsidR="004C2CA3" w:rsidRPr="007629C6" w:rsidRDefault="00F90994" w:rsidP="004C2CA3">
      <w:r w:rsidRPr="00244841">
        <w:lastRenderedPageBreak/>
        <w:t xml:space="preserve">We acknowledge </w:t>
      </w:r>
      <w:r w:rsidR="001E1D3B" w:rsidRPr="00244841">
        <w:t>Goulburn-Murray Water’s explanation</w:t>
      </w:r>
      <w:r w:rsidR="00F75E67" w:rsidRPr="00244841">
        <w:t>,</w:t>
      </w:r>
      <w:r w:rsidR="007F2AA8" w:rsidRPr="00244841">
        <w:t xml:space="preserve"> and a</w:t>
      </w:r>
      <w:r w:rsidR="00953C94" w:rsidRPr="00244841">
        <w:t>s th</w:t>
      </w:r>
      <w:r w:rsidR="00EA608B" w:rsidRPr="00244841">
        <w:t>is</w:t>
      </w:r>
      <w:r w:rsidR="00953C94" w:rsidRPr="00244841">
        <w:t xml:space="preserve"> variance </w:t>
      </w:r>
      <w:r w:rsidR="00851AAA" w:rsidRPr="00244841">
        <w:t>is</w:t>
      </w:r>
      <w:r w:rsidR="00851AAA">
        <w:t xml:space="preserve"> well below the 10 per cent threshold noted above</w:t>
      </w:r>
      <w:r w:rsidR="00F76175">
        <w:t>,</w:t>
      </w:r>
      <w:r w:rsidR="00851AAA">
        <w:t xml:space="preserve"> our draft decision proposes to reflect the $</w:t>
      </w:r>
      <w:r w:rsidR="003E3A27">
        <w:t>7</w:t>
      </w:r>
      <w:r w:rsidR="007C5EC8">
        <w:t>3.1</w:t>
      </w:r>
      <w:r w:rsidR="00851AAA">
        <w:t xml:space="preserve"> million in the closing regulatory asset base.</w:t>
      </w:r>
    </w:p>
    <w:p w14:paraId="24A82D7F" w14:textId="7D65066D" w:rsidR="00684656" w:rsidRDefault="00684656" w:rsidP="00684656">
      <w:r w:rsidRPr="00E26227">
        <w:t xml:space="preserve">We consider Goulburn-Murray Water calculated its closing regulatory asset base in accordance with the requirements of our guidance. For these reasons, our draft decision is to accept </w:t>
      </w:r>
      <w:r w:rsidR="00E26227" w:rsidRPr="00E26227">
        <w:br/>
      </w:r>
      <w:r w:rsidRPr="00E26227">
        <w:t>Goulburn-Murray Water’s proposed closing regulatory asset base for 30 June 2023 of $459.7 million.</w:t>
      </w:r>
    </w:p>
    <w:p w14:paraId="62E6349B" w14:textId="77777777" w:rsidR="00684656" w:rsidRDefault="00684656" w:rsidP="00684656">
      <w:r>
        <w:t xml:space="preserve">Table </w:t>
      </w:r>
      <w:r w:rsidRPr="00E26227">
        <w:t>4.5</w:t>
      </w:r>
      <w:r>
        <w:t xml:space="preserve"> sets out our draft decision on Goulburn-Murray Water’s closing regulatory asset base at 30 June 2023.</w:t>
      </w:r>
    </w:p>
    <w:p w14:paraId="554F65DE" w14:textId="7B56BA9B" w:rsidR="006500F0" w:rsidRDefault="006500F0" w:rsidP="006500F0"/>
    <w:p w14:paraId="736D5992" w14:textId="2952890E" w:rsidR="00153067" w:rsidRDefault="00153067">
      <w:pPr>
        <w:spacing w:before="0" w:line="259" w:lineRule="auto"/>
      </w:pPr>
      <w:r>
        <w:br w:type="page"/>
      </w:r>
    </w:p>
    <w:p w14:paraId="6203D122" w14:textId="77777777" w:rsidR="006500F0" w:rsidRDefault="006500F0" w:rsidP="00822E76">
      <w:pPr>
        <w:pStyle w:val="Figure-Table-BoxHeading"/>
        <w:spacing w:after="0" w:line="288" w:lineRule="auto"/>
      </w:pPr>
      <w:r>
        <w:lastRenderedPageBreak/>
        <w:t xml:space="preserve">Table </w:t>
      </w:r>
      <w:r w:rsidRPr="00730F28">
        <w:t>4.5</w:t>
      </w:r>
      <w:r>
        <w:tab/>
        <w:t>Draft decision – closing regulatory asset base (RAB)</w:t>
      </w:r>
    </w:p>
    <w:p w14:paraId="72BB08C5" w14:textId="25416963" w:rsidR="007837E7" w:rsidRDefault="006500F0" w:rsidP="00822E76">
      <w:pPr>
        <w:pStyle w:val="Figure-Table-BoxSubtitle"/>
        <w:spacing w:before="0" w:after="0" w:line="240" w:lineRule="auto"/>
        <w:ind w:left="1418"/>
      </w:pPr>
      <w:r>
        <w:t>$</w:t>
      </w:r>
      <w:r w:rsidR="006761A1">
        <w:t> million</w:t>
      </w:r>
      <w:r>
        <w:t xml:space="preserve"> 202</w:t>
      </w:r>
      <w:r w:rsidR="001A70D3">
        <w:t>3</w:t>
      </w:r>
      <w:r w:rsidR="00C51BB5">
        <w:t>–</w:t>
      </w:r>
      <w:r>
        <w:t>2</w:t>
      </w:r>
      <w:r w:rsidR="001A70D3">
        <w:t>4</w:t>
      </w:r>
    </w:p>
    <w:tbl>
      <w:tblPr>
        <w:tblStyle w:val="TableGrid"/>
        <w:tblW w:w="0" w:type="auto"/>
        <w:tblLook w:val="04A0" w:firstRow="1" w:lastRow="0" w:firstColumn="1" w:lastColumn="0" w:noHBand="0" w:noVBand="1"/>
      </w:tblPr>
      <w:tblGrid>
        <w:gridCol w:w="2742"/>
        <w:gridCol w:w="1379"/>
        <w:gridCol w:w="1379"/>
        <w:gridCol w:w="1379"/>
        <w:gridCol w:w="1379"/>
      </w:tblGrid>
      <w:tr w:rsidR="00103E5D" w14:paraId="298F224E" w14:textId="77777777">
        <w:trPr>
          <w:cnfStyle w:val="100000000000" w:firstRow="1" w:lastRow="0" w:firstColumn="0" w:lastColumn="0" w:oddVBand="0" w:evenVBand="0" w:oddHBand="0" w:evenHBand="0" w:firstRowFirstColumn="0" w:firstRowLastColumn="0" w:lastRowFirstColumn="0" w:lastRowLastColumn="0"/>
        </w:trPr>
        <w:tc>
          <w:tcPr>
            <w:tcW w:w="2742" w:type="dxa"/>
          </w:tcPr>
          <w:p w14:paraId="72A2190E" w14:textId="77777777" w:rsidR="00103E5D" w:rsidRDefault="00103E5D" w:rsidP="00226720">
            <w:pPr>
              <w:pStyle w:val="TableHeading"/>
            </w:pPr>
          </w:p>
        </w:tc>
        <w:tc>
          <w:tcPr>
            <w:tcW w:w="1379" w:type="dxa"/>
            <w:vAlign w:val="center"/>
          </w:tcPr>
          <w:p w14:paraId="4464300B" w14:textId="0C918E3A" w:rsidR="0020424E" w:rsidRPr="0020424E" w:rsidRDefault="0020424E" w:rsidP="00226720">
            <w:pPr>
              <w:pStyle w:val="TableHeading"/>
              <w:ind w:right="113"/>
              <w:jc w:val="right"/>
              <w:rPr>
                <w:rFonts w:ascii="Arial" w:hAnsi="Arial" w:cs="Arial"/>
                <w:color w:val="FFFFFF"/>
              </w:rPr>
            </w:pPr>
            <w:r w:rsidRPr="0020424E">
              <w:rPr>
                <w:rFonts w:ascii="Arial" w:hAnsi="Arial" w:cs="Arial"/>
                <w:color w:val="FFFFFF"/>
              </w:rPr>
              <w:t>2019</w:t>
            </w:r>
            <w:r w:rsidRPr="0020424E">
              <w:rPr>
                <w:rFonts w:ascii="Arial" w:hAnsi="Arial" w:cs="Arial"/>
                <w:color w:val="FFFFFF"/>
              </w:rPr>
              <w:noBreakHyphen/>
              <w:t>20</w:t>
            </w:r>
          </w:p>
        </w:tc>
        <w:tc>
          <w:tcPr>
            <w:tcW w:w="1379" w:type="dxa"/>
          </w:tcPr>
          <w:p w14:paraId="7DC8EF75" w14:textId="0CEEE8C3" w:rsidR="00103E5D" w:rsidRPr="00971632" w:rsidRDefault="00103E5D" w:rsidP="00226720">
            <w:pPr>
              <w:pStyle w:val="TableHeading"/>
              <w:ind w:right="113"/>
              <w:jc w:val="right"/>
            </w:pPr>
            <w:r w:rsidRPr="00971632">
              <w:t>2020</w:t>
            </w:r>
            <w:r w:rsidRPr="00971632">
              <w:noBreakHyphen/>
              <w:t>21</w:t>
            </w:r>
          </w:p>
        </w:tc>
        <w:tc>
          <w:tcPr>
            <w:tcW w:w="1379" w:type="dxa"/>
          </w:tcPr>
          <w:p w14:paraId="209755F0" w14:textId="731CE58B" w:rsidR="00103E5D" w:rsidRPr="00971632" w:rsidRDefault="00103E5D" w:rsidP="00226720">
            <w:pPr>
              <w:pStyle w:val="TableHeading"/>
              <w:ind w:right="113"/>
              <w:jc w:val="right"/>
            </w:pPr>
            <w:r w:rsidRPr="00971632">
              <w:t>2021</w:t>
            </w:r>
            <w:r w:rsidRPr="00971632">
              <w:noBreakHyphen/>
              <w:t>22</w:t>
            </w:r>
          </w:p>
        </w:tc>
        <w:tc>
          <w:tcPr>
            <w:tcW w:w="1379" w:type="dxa"/>
          </w:tcPr>
          <w:p w14:paraId="68C8AA88" w14:textId="0DD873B5" w:rsidR="00103E5D" w:rsidRPr="00971632" w:rsidRDefault="00103E5D" w:rsidP="00226720">
            <w:pPr>
              <w:pStyle w:val="TableHeading"/>
              <w:ind w:right="113"/>
              <w:jc w:val="right"/>
            </w:pPr>
            <w:r w:rsidRPr="00971632">
              <w:t>20</w:t>
            </w:r>
            <w:r>
              <w:t>22</w:t>
            </w:r>
            <w:r w:rsidRPr="00971632">
              <w:noBreakHyphen/>
            </w:r>
            <w:r>
              <w:t>23</w:t>
            </w:r>
          </w:p>
        </w:tc>
      </w:tr>
      <w:tr w:rsidR="005F13C7" w:rsidRPr="008E4DC1" w14:paraId="359A2A94" w14:textId="77777777">
        <w:trPr>
          <w:cnfStyle w:val="000000100000" w:firstRow="0" w:lastRow="0" w:firstColumn="0" w:lastColumn="0" w:oddVBand="0" w:evenVBand="0" w:oddHBand="1" w:evenHBand="0" w:firstRowFirstColumn="0" w:firstRowLastColumn="0" w:lastRowFirstColumn="0" w:lastRowLastColumn="0"/>
        </w:trPr>
        <w:tc>
          <w:tcPr>
            <w:tcW w:w="2742" w:type="dxa"/>
          </w:tcPr>
          <w:p w14:paraId="7323D988" w14:textId="5C6A1647" w:rsidR="005F13C7" w:rsidRDefault="005F13C7" w:rsidP="005F13C7">
            <w:pPr>
              <w:pStyle w:val="TableBody"/>
            </w:pPr>
            <w:r w:rsidRPr="005A6E10">
              <w:t>Opening RAB 1 July</w:t>
            </w:r>
          </w:p>
        </w:tc>
        <w:tc>
          <w:tcPr>
            <w:tcW w:w="1379" w:type="dxa"/>
            <w:vAlign w:val="center"/>
          </w:tcPr>
          <w:p w14:paraId="17FFA7CC" w14:textId="4709F633" w:rsidR="0020424E" w:rsidRPr="00730F28" w:rsidRDefault="0020424E" w:rsidP="00E42FD4">
            <w:pPr>
              <w:pStyle w:val="TableBody"/>
              <w:ind w:right="113"/>
              <w:jc w:val="right"/>
              <w:rPr>
                <w:rFonts w:ascii="Arial" w:hAnsi="Arial" w:cs="Arial"/>
                <w:color w:val="000000"/>
              </w:rPr>
            </w:pPr>
            <w:r w:rsidRPr="00730F28">
              <w:rPr>
                <w:rFonts w:ascii="Arial" w:hAnsi="Arial" w:cs="Arial"/>
                <w:color w:val="000000"/>
              </w:rPr>
              <w:t xml:space="preserve">     434.2 </w:t>
            </w:r>
          </w:p>
        </w:tc>
        <w:tc>
          <w:tcPr>
            <w:tcW w:w="1379" w:type="dxa"/>
            <w:vAlign w:val="center"/>
          </w:tcPr>
          <w:p w14:paraId="2FFC30BC" w14:textId="23C6ADA0" w:rsidR="005F13C7" w:rsidRPr="00730F28" w:rsidRDefault="005F13C7" w:rsidP="005F13C7">
            <w:pPr>
              <w:pStyle w:val="TableBody"/>
              <w:ind w:right="113"/>
              <w:jc w:val="right"/>
            </w:pPr>
            <w:r w:rsidRPr="00730F28">
              <w:rPr>
                <w:rFonts w:ascii="Arial" w:hAnsi="Arial" w:cs="Arial"/>
                <w:color w:val="000000"/>
              </w:rPr>
              <w:t xml:space="preserve">     432.6 </w:t>
            </w:r>
          </w:p>
        </w:tc>
        <w:tc>
          <w:tcPr>
            <w:tcW w:w="1379" w:type="dxa"/>
            <w:vAlign w:val="center"/>
          </w:tcPr>
          <w:p w14:paraId="78E65BAF" w14:textId="0EA446D9" w:rsidR="005F13C7" w:rsidRPr="00730F28" w:rsidRDefault="005F13C7" w:rsidP="005F13C7">
            <w:pPr>
              <w:pStyle w:val="TableBody"/>
              <w:ind w:right="113"/>
              <w:jc w:val="right"/>
            </w:pPr>
            <w:r w:rsidRPr="00730F28">
              <w:rPr>
                <w:rFonts w:ascii="Arial" w:hAnsi="Arial" w:cs="Arial"/>
                <w:color w:val="000000"/>
              </w:rPr>
              <w:t xml:space="preserve">     446.0 </w:t>
            </w:r>
          </w:p>
        </w:tc>
        <w:tc>
          <w:tcPr>
            <w:tcW w:w="1379" w:type="dxa"/>
            <w:vAlign w:val="center"/>
          </w:tcPr>
          <w:p w14:paraId="38583C0A" w14:textId="4F3EB9CA" w:rsidR="005F13C7" w:rsidRPr="00730F28" w:rsidRDefault="005F13C7" w:rsidP="005F13C7">
            <w:pPr>
              <w:pStyle w:val="TableBody"/>
              <w:ind w:right="113"/>
              <w:jc w:val="right"/>
            </w:pPr>
            <w:r w:rsidRPr="00730F28">
              <w:rPr>
                <w:rFonts w:ascii="Arial" w:hAnsi="Arial" w:cs="Arial"/>
                <w:color w:val="000000"/>
              </w:rPr>
              <w:t xml:space="preserve">     455.0 </w:t>
            </w:r>
          </w:p>
        </w:tc>
      </w:tr>
      <w:tr w:rsidR="005F13C7" w:rsidRPr="008E4DC1" w14:paraId="76E5D18F" w14:textId="77777777">
        <w:trPr>
          <w:cnfStyle w:val="000000010000" w:firstRow="0" w:lastRow="0" w:firstColumn="0" w:lastColumn="0" w:oddVBand="0" w:evenVBand="0" w:oddHBand="0" w:evenHBand="1" w:firstRowFirstColumn="0" w:firstRowLastColumn="0" w:lastRowFirstColumn="0" w:lastRowLastColumn="0"/>
        </w:trPr>
        <w:tc>
          <w:tcPr>
            <w:tcW w:w="2742" w:type="dxa"/>
          </w:tcPr>
          <w:p w14:paraId="766046E7" w14:textId="6CE58E5D" w:rsidR="005F13C7" w:rsidRDefault="005F13C7" w:rsidP="005F13C7">
            <w:pPr>
              <w:pStyle w:val="TableBody"/>
            </w:pPr>
            <w:r w:rsidRPr="005A6E10">
              <w:t>Plus gross capital expenditure</w:t>
            </w:r>
          </w:p>
        </w:tc>
        <w:tc>
          <w:tcPr>
            <w:tcW w:w="1379" w:type="dxa"/>
            <w:vAlign w:val="center"/>
          </w:tcPr>
          <w:p w14:paraId="0FADD8E5" w14:textId="6436E608" w:rsidR="0020424E" w:rsidRPr="00730F28" w:rsidRDefault="0020424E" w:rsidP="00E42FD4">
            <w:pPr>
              <w:pStyle w:val="TableBody"/>
              <w:ind w:right="113"/>
              <w:jc w:val="right"/>
              <w:rPr>
                <w:rFonts w:ascii="Arial" w:hAnsi="Arial" w:cs="Arial"/>
                <w:color w:val="000000"/>
              </w:rPr>
            </w:pPr>
            <w:r w:rsidRPr="00730F28">
              <w:rPr>
                <w:rFonts w:ascii="Arial" w:hAnsi="Arial" w:cs="Arial"/>
                <w:color w:val="000000"/>
              </w:rPr>
              <w:t xml:space="preserve">       13.2 </w:t>
            </w:r>
          </w:p>
        </w:tc>
        <w:tc>
          <w:tcPr>
            <w:tcW w:w="1379" w:type="dxa"/>
            <w:vAlign w:val="center"/>
          </w:tcPr>
          <w:p w14:paraId="4D83E2A9" w14:textId="4D4FF66F" w:rsidR="005F13C7" w:rsidRPr="00730F28" w:rsidRDefault="005F13C7" w:rsidP="005F13C7">
            <w:pPr>
              <w:pStyle w:val="TableBody"/>
              <w:ind w:right="113"/>
              <w:jc w:val="right"/>
            </w:pPr>
            <w:r w:rsidRPr="00730F28">
              <w:rPr>
                <w:rFonts w:ascii="Arial" w:hAnsi="Arial" w:cs="Arial"/>
                <w:color w:val="000000"/>
              </w:rPr>
              <w:t xml:space="preserve">       28.6 </w:t>
            </w:r>
          </w:p>
        </w:tc>
        <w:tc>
          <w:tcPr>
            <w:tcW w:w="1379" w:type="dxa"/>
            <w:vAlign w:val="center"/>
          </w:tcPr>
          <w:p w14:paraId="579B3C11" w14:textId="74F2A7DC" w:rsidR="005F13C7" w:rsidRPr="00730F28" w:rsidRDefault="005F13C7" w:rsidP="005F13C7">
            <w:pPr>
              <w:pStyle w:val="TableBody"/>
              <w:ind w:right="113"/>
              <w:jc w:val="right"/>
            </w:pPr>
            <w:r w:rsidRPr="00730F28">
              <w:rPr>
                <w:rFonts w:ascii="Arial" w:hAnsi="Arial" w:cs="Arial"/>
                <w:color w:val="000000"/>
              </w:rPr>
              <w:t xml:space="preserve">       23.1 </w:t>
            </w:r>
          </w:p>
        </w:tc>
        <w:tc>
          <w:tcPr>
            <w:tcW w:w="1379" w:type="dxa"/>
            <w:vAlign w:val="center"/>
          </w:tcPr>
          <w:p w14:paraId="795C4DBC" w14:textId="1C1E9A23" w:rsidR="005F13C7" w:rsidRPr="00730F28" w:rsidRDefault="005F13C7" w:rsidP="005F13C7">
            <w:pPr>
              <w:pStyle w:val="TableBody"/>
              <w:ind w:right="113"/>
              <w:jc w:val="right"/>
            </w:pPr>
            <w:r w:rsidRPr="00730F28">
              <w:rPr>
                <w:rFonts w:ascii="Arial" w:hAnsi="Arial" w:cs="Arial"/>
                <w:color w:val="000000"/>
              </w:rPr>
              <w:t xml:space="preserve">       24.5 </w:t>
            </w:r>
          </w:p>
        </w:tc>
      </w:tr>
      <w:tr w:rsidR="005F13C7" w:rsidRPr="008E4DC1" w14:paraId="1F7B2E6C" w14:textId="77777777">
        <w:trPr>
          <w:cnfStyle w:val="000000100000" w:firstRow="0" w:lastRow="0" w:firstColumn="0" w:lastColumn="0" w:oddVBand="0" w:evenVBand="0" w:oddHBand="1" w:evenHBand="0" w:firstRowFirstColumn="0" w:firstRowLastColumn="0" w:lastRowFirstColumn="0" w:lastRowLastColumn="0"/>
        </w:trPr>
        <w:tc>
          <w:tcPr>
            <w:tcW w:w="2742" w:type="dxa"/>
          </w:tcPr>
          <w:p w14:paraId="69A540B3" w14:textId="3D936731" w:rsidR="005F13C7" w:rsidRDefault="005F13C7" w:rsidP="005F13C7">
            <w:pPr>
              <w:pStyle w:val="TableBody"/>
            </w:pPr>
            <w:r w:rsidRPr="005A6E10">
              <w:t>Less government contributions</w:t>
            </w:r>
          </w:p>
        </w:tc>
        <w:tc>
          <w:tcPr>
            <w:tcW w:w="1379" w:type="dxa"/>
            <w:vAlign w:val="center"/>
          </w:tcPr>
          <w:p w14:paraId="399C03B7" w14:textId="2923A324" w:rsidR="0020424E" w:rsidRPr="00730F28" w:rsidRDefault="0020424E" w:rsidP="00E42FD4">
            <w:pPr>
              <w:pStyle w:val="TableBody"/>
              <w:ind w:right="113"/>
              <w:jc w:val="right"/>
              <w:rPr>
                <w:rFonts w:ascii="Arial" w:hAnsi="Arial" w:cs="Arial"/>
                <w:color w:val="000000"/>
              </w:rPr>
            </w:pPr>
            <w:r w:rsidRPr="00730F28">
              <w:rPr>
                <w:rFonts w:ascii="Arial" w:hAnsi="Arial" w:cs="Arial"/>
                <w:color w:val="000000"/>
              </w:rPr>
              <w:t xml:space="preserve">         0.3 </w:t>
            </w:r>
          </w:p>
        </w:tc>
        <w:tc>
          <w:tcPr>
            <w:tcW w:w="1379" w:type="dxa"/>
            <w:vAlign w:val="center"/>
          </w:tcPr>
          <w:p w14:paraId="12FBA5D6" w14:textId="078FFAFA" w:rsidR="005F13C7" w:rsidRPr="00730F28" w:rsidRDefault="005F13C7" w:rsidP="005F13C7">
            <w:pPr>
              <w:pStyle w:val="TableBody"/>
              <w:ind w:right="113"/>
              <w:jc w:val="right"/>
            </w:pPr>
            <w:r w:rsidRPr="00730F28">
              <w:rPr>
                <w:rFonts w:ascii="Arial" w:hAnsi="Arial" w:cs="Arial"/>
                <w:color w:val="000000"/>
              </w:rPr>
              <w:t xml:space="preserve">         0.0 </w:t>
            </w:r>
          </w:p>
        </w:tc>
        <w:tc>
          <w:tcPr>
            <w:tcW w:w="1379" w:type="dxa"/>
            <w:vAlign w:val="center"/>
          </w:tcPr>
          <w:p w14:paraId="5B15B791" w14:textId="28183CC9" w:rsidR="005F13C7" w:rsidRPr="00730F28" w:rsidRDefault="005F13C7" w:rsidP="005F13C7">
            <w:pPr>
              <w:pStyle w:val="TableBody"/>
              <w:ind w:right="113"/>
              <w:jc w:val="right"/>
            </w:pPr>
            <w:r w:rsidRPr="00730F28">
              <w:rPr>
                <w:rFonts w:ascii="Arial" w:hAnsi="Arial" w:cs="Arial"/>
                <w:color w:val="000000"/>
              </w:rPr>
              <w:t xml:space="preserve">         2.8 </w:t>
            </w:r>
          </w:p>
        </w:tc>
        <w:tc>
          <w:tcPr>
            <w:tcW w:w="1379" w:type="dxa"/>
            <w:vAlign w:val="center"/>
          </w:tcPr>
          <w:p w14:paraId="6B3011AF" w14:textId="44E0B7BF" w:rsidR="005F13C7" w:rsidRPr="00730F28" w:rsidRDefault="005F13C7" w:rsidP="005F13C7">
            <w:pPr>
              <w:pStyle w:val="TableBody"/>
              <w:ind w:right="113"/>
              <w:jc w:val="right"/>
            </w:pPr>
            <w:r w:rsidRPr="00730F28">
              <w:rPr>
                <w:rFonts w:ascii="Arial" w:hAnsi="Arial" w:cs="Arial"/>
                <w:color w:val="000000"/>
              </w:rPr>
              <w:t xml:space="preserve">         8.7 </w:t>
            </w:r>
          </w:p>
        </w:tc>
      </w:tr>
      <w:tr w:rsidR="005F13C7" w:rsidRPr="008E4DC1" w14:paraId="1A6E1ED7" w14:textId="77777777">
        <w:trPr>
          <w:cnfStyle w:val="000000010000" w:firstRow="0" w:lastRow="0" w:firstColumn="0" w:lastColumn="0" w:oddVBand="0" w:evenVBand="0" w:oddHBand="0" w:evenHBand="1" w:firstRowFirstColumn="0" w:firstRowLastColumn="0" w:lastRowFirstColumn="0" w:lastRowLastColumn="0"/>
        </w:trPr>
        <w:tc>
          <w:tcPr>
            <w:tcW w:w="2742" w:type="dxa"/>
          </w:tcPr>
          <w:p w14:paraId="53B09EEE" w14:textId="5AEAA1BC" w:rsidR="005F13C7" w:rsidRDefault="005F13C7" w:rsidP="005F13C7">
            <w:pPr>
              <w:pStyle w:val="TableBody"/>
            </w:pPr>
            <w:r w:rsidRPr="005A6E10">
              <w:t>Less customer contributions</w:t>
            </w:r>
          </w:p>
        </w:tc>
        <w:tc>
          <w:tcPr>
            <w:tcW w:w="1379" w:type="dxa"/>
            <w:vAlign w:val="center"/>
          </w:tcPr>
          <w:p w14:paraId="4AE32646" w14:textId="57365493" w:rsidR="0020424E" w:rsidRPr="00730F28" w:rsidRDefault="0020424E" w:rsidP="00E42FD4">
            <w:pPr>
              <w:pStyle w:val="TableBody"/>
              <w:ind w:right="113"/>
              <w:jc w:val="right"/>
              <w:rPr>
                <w:rFonts w:ascii="Arial" w:hAnsi="Arial" w:cs="Arial"/>
                <w:color w:val="000000"/>
              </w:rPr>
            </w:pPr>
            <w:r w:rsidRPr="00730F28">
              <w:rPr>
                <w:rFonts w:ascii="Arial" w:hAnsi="Arial" w:cs="Arial"/>
                <w:color w:val="000000"/>
              </w:rPr>
              <w:t xml:space="preserve">         0.2 </w:t>
            </w:r>
          </w:p>
        </w:tc>
        <w:tc>
          <w:tcPr>
            <w:tcW w:w="1379" w:type="dxa"/>
            <w:vAlign w:val="center"/>
          </w:tcPr>
          <w:p w14:paraId="2AD926B3" w14:textId="1C7B8D29" w:rsidR="005F13C7" w:rsidRPr="00730F28" w:rsidRDefault="005F13C7" w:rsidP="005F13C7">
            <w:pPr>
              <w:pStyle w:val="TableBody"/>
              <w:ind w:right="113"/>
              <w:jc w:val="right"/>
            </w:pPr>
            <w:r w:rsidRPr="00730F28">
              <w:rPr>
                <w:rFonts w:ascii="Arial" w:hAnsi="Arial" w:cs="Arial"/>
                <w:color w:val="000000"/>
              </w:rPr>
              <w:t xml:space="preserve">         4.1 </w:t>
            </w:r>
          </w:p>
        </w:tc>
        <w:tc>
          <w:tcPr>
            <w:tcW w:w="1379" w:type="dxa"/>
            <w:vAlign w:val="center"/>
          </w:tcPr>
          <w:p w14:paraId="67AE67FB" w14:textId="18862091" w:rsidR="005F13C7" w:rsidRPr="00730F28" w:rsidRDefault="005F13C7" w:rsidP="005F13C7">
            <w:pPr>
              <w:pStyle w:val="TableBody"/>
              <w:ind w:right="113"/>
              <w:jc w:val="right"/>
            </w:pPr>
            <w:r w:rsidRPr="00730F28">
              <w:rPr>
                <w:rFonts w:ascii="Arial" w:hAnsi="Arial" w:cs="Arial"/>
                <w:color w:val="000000"/>
              </w:rPr>
              <w:t xml:space="preserve">         0.1 </w:t>
            </w:r>
          </w:p>
        </w:tc>
        <w:tc>
          <w:tcPr>
            <w:tcW w:w="1379" w:type="dxa"/>
            <w:vAlign w:val="center"/>
          </w:tcPr>
          <w:p w14:paraId="28D808EA" w14:textId="6C9C1079" w:rsidR="005F13C7" w:rsidRPr="00730F28" w:rsidRDefault="005F13C7" w:rsidP="005F13C7">
            <w:pPr>
              <w:pStyle w:val="TableBody"/>
              <w:ind w:right="113"/>
              <w:jc w:val="right"/>
            </w:pPr>
            <w:r w:rsidRPr="00730F28">
              <w:rPr>
                <w:rFonts w:ascii="Arial" w:hAnsi="Arial" w:cs="Arial"/>
                <w:color w:val="000000"/>
              </w:rPr>
              <w:t xml:space="preserve">          -   </w:t>
            </w:r>
          </w:p>
        </w:tc>
      </w:tr>
      <w:tr w:rsidR="005F13C7" w:rsidRPr="008E4DC1" w14:paraId="63BB08B2" w14:textId="77777777">
        <w:trPr>
          <w:cnfStyle w:val="000000100000" w:firstRow="0" w:lastRow="0" w:firstColumn="0" w:lastColumn="0" w:oddVBand="0" w:evenVBand="0" w:oddHBand="1" w:evenHBand="0" w:firstRowFirstColumn="0" w:firstRowLastColumn="0" w:lastRowFirstColumn="0" w:lastRowLastColumn="0"/>
        </w:trPr>
        <w:tc>
          <w:tcPr>
            <w:tcW w:w="2742" w:type="dxa"/>
          </w:tcPr>
          <w:p w14:paraId="0DA1EEF5" w14:textId="764B8874" w:rsidR="005F13C7" w:rsidRDefault="005F13C7" w:rsidP="005F13C7">
            <w:pPr>
              <w:pStyle w:val="TableBody"/>
            </w:pPr>
            <w:r w:rsidRPr="005A6E10">
              <w:t>Less proceeds from disposals</w:t>
            </w:r>
          </w:p>
        </w:tc>
        <w:tc>
          <w:tcPr>
            <w:tcW w:w="1379" w:type="dxa"/>
            <w:vAlign w:val="center"/>
          </w:tcPr>
          <w:p w14:paraId="1C5D6E35" w14:textId="5A576397" w:rsidR="0020424E" w:rsidRPr="00730F28" w:rsidRDefault="0020424E" w:rsidP="00E42FD4">
            <w:pPr>
              <w:pStyle w:val="TableBody"/>
              <w:ind w:right="113"/>
              <w:jc w:val="right"/>
              <w:rPr>
                <w:rFonts w:ascii="Arial" w:hAnsi="Arial" w:cs="Arial"/>
                <w:color w:val="000000"/>
              </w:rPr>
            </w:pPr>
            <w:r w:rsidRPr="00730F28">
              <w:rPr>
                <w:rFonts w:ascii="Arial" w:hAnsi="Arial" w:cs="Arial"/>
                <w:color w:val="000000"/>
              </w:rPr>
              <w:t xml:space="preserve">         0.0 </w:t>
            </w:r>
          </w:p>
        </w:tc>
        <w:tc>
          <w:tcPr>
            <w:tcW w:w="1379" w:type="dxa"/>
            <w:vAlign w:val="center"/>
          </w:tcPr>
          <w:p w14:paraId="280CB94D" w14:textId="0FA73308" w:rsidR="005F13C7" w:rsidRPr="00730F28" w:rsidRDefault="005F13C7" w:rsidP="005F13C7">
            <w:pPr>
              <w:pStyle w:val="TableBody"/>
              <w:ind w:right="113"/>
              <w:jc w:val="right"/>
            </w:pPr>
            <w:r w:rsidRPr="00730F28">
              <w:rPr>
                <w:rFonts w:ascii="Arial" w:hAnsi="Arial" w:cs="Arial"/>
                <w:color w:val="000000"/>
              </w:rPr>
              <w:t xml:space="preserve">         0.1 </w:t>
            </w:r>
          </w:p>
        </w:tc>
        <w:tc>
          <w:tcPr>
            <w:tcW w:w="1379" w:type="dxa"/>
            <w:vAlign w:val="center"/>
          </w:tcPr>
          <w:p w14:paraId="0B2D876F" w14:textId="44AD9085" w:rsidR="005F13C7" w:rsidRPr="00730F28" w:rsidRDefault="005F13C7" w:rsidP="005F13C7">
            <w:pPr>
              <w:pStyle w:val="TableBody"/>
              <w:ind w:right="113"/>
              <w:jc w:val="right"/>
            </w:pPr>
            <w:r w:rsidRPr="00730F28">
              <w:rPr>
                <w:rFonts w:ascii="Arial" w:hAnsi="Arial" w:cs="Arial"/>
                <w:color w:val="000000"/>
              </w:rPr>
              <w:t xml:space="preserve">         0.2 </w:t>
            </w:r>
          </w:p>
        </w:tc>
        <w:tc>
          <w:tcPr>
            <w:tcW w:w="1379" w:type="dxa"/>
            <w:vAlign w:val="center"/>
          </w:tcPr>
          <w:p w14:paraId="6CB1533C" w14:textId="02196420" w:rsidR="005F13C7" w:rsidRPr="00730F28" w:rsidRDefault="005F13C7" w:rsidP="005F13C7">
            <w:pPr>
              <w:pStyle w:val="TableBody"/>
              <w:ind w:right="113"/>
              <w:jc w:val="right"/>
            </w:pPr>
            <w:r w:rsidRPr="00730F28">
              <w:rPr>
                <w:rFonts w:ascii="Arial" w:hAnsi="Arial" w:cs="Arial"/>
                <w:color w:val="000000"/>
              </w:rPr>
              <w:t xml:space="preserve">         0.0 </w:t>
            </w:r>
          </w:p>
        </w:tc>
      </w:tr>
      <w:tr w:rsidR="005F13C7" w:rsidRPr="008E4DC1" w14:paraId="58B1D589" w14:textId="77777777">
        <w:trPr>
          <w:cnfStyle w:val="000000010000" w:firstRow="0" w:lastRow="0" w:firstColumn="0" w:lastColumn="0" w:oddVBand="0" w:evenVBand="0" w:oddHBand="0" w:evenHBand="1" w:firstRowFirstColumn="0" w:firstRowLastColumn="0" w:lastRowFirstColumn="0" w:lastRowLastColumn="0"/>
        </w:trPr>
        <w:tc>
          <w:tcPr>
            <w:tcW w:w="2742" w:type="dxa"/>
          </w:tcPr>
          <w:p w14:paraId="194972C7" w14:textId="4ABEBE34" w:rsidR="005F13C7" w:rsidRDefault="005F13C7" w:rsidP="005F13C7">
            <w:pPr>
              <w:pStyle w:val="TableBody"/>
            </w:pPr>
            <w:r w:rsidRPr="005A6E10">
              <w:t>Less regulatory depreciation</w:t>
            </w:r>
          </w:p>
        </w:tc>
        <w:tc>
          <w:tcPr>
            <w:tcW w:w="1379" w:type="dxa"/>
            <w:vAlign w:val="center"/>
          </w:tcPr>
          <w:p w14:paraId="35C64AC4" w14:textId="6594900A" w:rsidR="0020424E" w:rsidRPr="00730F28" w:rsidRDefault="0020424E" w:rsidP="00E42FD4">
            <w:pPr>
              <w:pStyle w:val="TableBody"/>
              <w:ind w:right="113"/>
              <w:jc w:val="right"/>
              <w:rPr>
                <w:rFonts w:ascii="Arial" w:hAnsi="Arial" w:cs="Arial"/>
                <w:color w:val="000000"/>
              </w:rPr>
            </w:pPr>
            <w:r w:rsidRPr="00730F28">
              <w:rPr>
                <w:rFonts w:ascii="Arial" w:hAnsi="Arial" w:cs="Arial"/>
                <w:color w:val="000000"/>
              </w:rPr>
              <w:t xml:space="preserve">       14.3 </w:t>
            </w:r>
          </w:p>
        </w:tc>
        <w:tc>
          <w:tcPr>
            <w:tcW w:w="1379" w:type="dxa"/>
            <w:vAlign w:val="center"/>
          </w:tcPr>
          <w:p w14:paraId="6BFE20ED" w14:textId="458260BF" w:rsidR="005F13C7" w:rsidRPr="00730F28" w:rsidRDefault="005F13C7" w:rsidP="005F13C7">
            <w:pPr>
              <w:pStyle w:val="TableBody"/>
              <w:ind w:right="113"/>
              <w:jc w:val="right"/>
            </w:pPr>
            <w:r w:rsidRPr="00730F28">
              <w:rPr>
                <w:rFonts w:ascii="Arial" w:hAnsi="Arial" w:cs="Arial"/>
                <w:color w:val="000000"/>
              </w:rPr>
              <w:t xml:space="preserve">       11.0 </w:t>
            </w:r>
          </w:p>
        </w:tc>
        <w:tc>
          <w:tcPr>
            <w:tcW w:w="1379" w:type="dxa"/>
            <w:vAlign w:val="center"/>
          </w:tcPr>
          <w:p w14:paraId="0F4207AE" w14:textId="1CE79321" w:rsidR="005F13C7" w:rsidRPr="00730F28" w:rsidRDefault="005F13C7" w:rsidP="005F13C7">
            <w:pPr>
              <w:pStyle w:val="TableBody"/>
              <w:ind w:right="113"/>
              <w:jc w:val="right"/>
            </w:pPr>
            <w:r w:rsidRPr="00730F28">
              <w:rPr>
                <w:rFonts w:ascii="Arial" w:hAnsi="Arial" w:cs="Arial"/>
                <w:color w:val="000000"/>
              </w:rPr>
              <w:t xml:space="preserve">       10.9 </w:t>
            </w:r>
          </w:p>
        </w:tc>
        <w:tc>
          <w:tcPr>
            <w:tcW w:w="1379" w:type="dxa"/>
            <w:vAlign w:val="center"/>
          </w:tcPr>
          <w:p w14:paraId="732D611E" w14:textId="7B0426D6" w:rsidR="005F13C7" w:rsidRPr="00730F28" w:rsidRDefault="005F13C7" w:rsidP="005F13C7">
            <w:pPr>
              <w:pStyle w:val="TableBody"/>
              <w:ind w:right="113"/>
              <w:jc w:val="right"/>
            </w:pPr>
            <w:r w:rsidRPr="00730F28">
              <w:rPr>
                <w:rFonts w:ascii="Arial" w:hAnsi="Arial" w:cs="Arial"/>
                <w:color w:val="000000"/>
              </w:rPr>
              <w:t xml:space="preserve">       11.0 </w:t>
            </w:r>
          </w:p>
        </w:tc>
      </w:tr>
      <w:tr w:rsidR="005F13C7" w:rsidRPr="008E4DC1" w14:paraId="2534014B" w14:textId="77777777">
        <w:trPr>
          <w:cnfStyle w:val="000000100000" w:firstRow="0" w:lastRow="0" w:firstColumn="0" w:lastColumn="0" w:oddVBand="0" w:evenVBand="0" w:oddHBand="1" w:evenHBand="0" w:firstRowFirstColumn="0" w:firstRowLastColumn="0" w:lastRowFirstColumn="0" w:lastRowLastColumn="0"/>
        </w:trPr>
        <w:tc>
          <w:tcPr>
            <w:tcW w:w="2742" w:type="dxa"/>
          </w:tcPr>
          <w:p w14:paraId="3959DDCF" w14:textId="1293B8AB" w:rsidR="005F13C7" w:rsidRPr="00040B8E" w:rsidRDefault="005F13C7" w:rsidP="005F13C7">
            <w:pPr>
              <w:pStyle w:val="TableBody"/>
              <w:rPr>
                <w:b/>
                <w:bCs/>
              </w:rPr>
            </w:pPr>
            <w:r w:rsidRPr="00040B8E">
              <w:rPr>
                <w:b/>
                <w:bCs/>
              </w:rPr>
              <w:t>Closing RAB 30 June</w:t>
            </w:r>
          </w:p>
        </w:tc>
        <w:tc>
          <w:tcPr>
            <w:tcW w:w="1379" w:type="dxa"/>
            <w:vAlign w:val="center"/>
          </w:tcPr>
          <w:p w14:paraId="0A271ED6" w14:textId="0F66B6F6" w:rsidR="0020424E" w:rsidRPr="00730F28" w:rsidRDefault="0020424E" w:rsidP="00E42FD4">
            <w:pPr>
              <w:pStyle w:val="TableBody"/>
              <w:ind w:right="113"/>
              <w:jc w:val="right"/>
              <w:rPr>
                <w:rFonts w:ascii="Arial" w:hAnsi="Arial" w:cs="Arial"/>
                <w:color w:val="000000"/>
              </w:rPr>
            </w:pPr>
            <w:r w:rsidRPr="00730F28">
              <w:rPr>
                <w:rFonts w:ascii="Arial" w:hAnsi="Arial" w:cs="Arial"/>
                <w:color w:val="000000"/>
              </w:rPr>
              <w:t xml:space="preserve">     432.6 </w:t>
            </w:r>
          </w:p>
        </w:tc>
        <w:tc>
          <w:tcPr>
            <w:tcW w:w="1379" w:type="dxa"/>
            <w:vAlign w:val="center"/>
          </w:tcPr>
          <w:p w14:paraId="3E37ABAB" w14:textId="1F07D29A" w:rsidR="005F13C7" w:rsidRPr="00730F28" w:rsidRDefault="005F13C7" w:rsidP="005F13C7">
            <w:pPr>
              <w:pStyle w:val="TableBody"/>
              <w:ind w:right="113"/>
              <w:jc w:val="right"/>
              <w:rPr>
                <w:b/>
              </w:rPr>
            </w:pPr>
            <w:r w:rsidRPr="00730F28">
              <w:rPr>
                <w:rFonts w:ascii="Arial" w:hAnsi="Arial" w:cs="Arial"/>
                <w:color w:val="000000"/>
              </w:rPr>
              <w:t xml:space="preserve">     446.0 </w:t>
            </w:r>
          </w:p>
        </w:tc>
        <w:tc>
          <w:tcPr>
            <w:tcW w:w="1379" w:type="dxa"/>
            <w:vAlign w:val="center"/>
          </w:tcPr>
          <w:p w14:paraId="78C1A240" w14:textId="4A07790A" w:rsidR="005F13C7" w:rsidRPr="00730F28" w:rsidRDefault="005F13C7" w:rsidP="005F13C7">
            <w:pPr>
              <w:pStyle w:val="TableBody"/>
              <w:ind w:right="113"/>
              <w:jc w:val="right"/>
              <w:rPr>
                <w:b/>
              </w:rPr>
            </w:pPr>
            <w:r w:rsidRPr="00730F28">
              <w:rPr>
                <w:rFonts w:ascii="Arial" w:hAnsi="Arial" w:cs="Arial"/>
                <w:color w:val="000000"/>
              </w:rPr>
              <w:t xml:space="preserve">     455.0 </w:t>
            </w:r>
          </w:p>
        </w:tc>
        <w:tc>
          <w:tcPr>
            <w:tcW w:w="1379" w:type="dxa"/>
            <w:vAlign w:val="center"/>
          </w:tcPr>
          <w:p w14:paraId="377A5701" w14:textId="1BBB5285" w:rsidR="005F13C7" w:rsidRPr="00730F28" w:rsidRDefault="005F13C7" w:rsidP="005F13C7">
            <w:pPr>
              <w:pStyle w:val="TableBody"/>
              <w:ind w:right="113"/>
              <w:jc w:val="right"/>
              <w:rPr>
                <w:b/>
              </w:rPr>
            </w:pPr>
            <w:r w:rsidRPr="00730F28">
              <w:rPr>
                <w:rFonts w:ascii="Arial" w:hAnsi="Arial" w:cs="Arial"/>
                <w:color w:val="000000"/>
              </w:rPr>
              <w:t xml:space="preserve">     459.7 </w:t>
            </w:r>
          </w:p>
        </w:tc>
      </w:tr>
    </w:tbl>
    <w:p w14:paraId="1C3166B5" w14:textId="4E0DC917" w:rsidR="00EE5C2B" w:rsidRDefault="00EE5C2B" w:rsidP="00EE5C2B">
      <w:pPr>
        <w:pStyle w:val="Source"/>
        <w:jc w:val="left"/>
      </w:pPr>
      <w:r w:rsidRPr="00BD3293">
        <w:rPr>
          <w:b/>
          <w:bCs/>
        </w:rPr>
        <w:t>Note:</w:t>
      </w:r>
      <w:r>
        <w:t xml:space="preserve"> Numbers have been rounded</w:t>
      </w:r>
      <w:r w:rsidR="00887156">
        <w:t>.</w:t>
      </w:r>
    </w:p>
    <w:p w14:paraId="2E3DED85" w14:textId="72A93B0B" w:rsidR="00EE5C2B" w:rsidRDefault="00EE5C2B" w:rsidP="00BC6EAD">
      <w:pPr>
        <w:pStyle w:val="Heading3"/>
      </w:pPr>
      <w:bookmarkStart w:id="112" w:name="_Toc160038319"/>
      <w:bookmarkStart w:id="113" w:name="_Toc161400036"/>
      <w:bookmarkStart w:id="114" w:name="_Toc122514865"/>
      <w:bookmarkStart w:id="115" w:name="_Toc149223939"/>
      <w:bookmarkStart w:id="116" w:name="_Toc149560265"/>
      <w:bookmarkStart w:id="117" w:name="_Toc150866249"/>
      <w:r>
        <w:t xml:space="preserve">4.3.2 </w:t>
      </w:r>
      <w:r w:rsidR="00BC6EAD">
        <w:tab/>
      </w:r>
      <w:r>
        <w:t>Forecast regulatory asset base</w:t>
      </w:r>
      <w:bookmarkEnd w:id="112"/>
      <w:bookmarkEnd w:id="113"/>
      <w:r w:rsidR="00D3636E">
        <w:t xml:space="preserve"> </w:t>
      </w:r>
      <w:bookmarkEnd w:id="114"/>
      <w:bookmarkEnd w:id="115"/>
      <w:bookmarkEnd w:id="116"/>
      <w:bookmarkEnd w:id="117"/>
    </w:p>
    <w:p w14:paraId="42270234" w14:textId="77777777" w:rsidR="00C2260C" w:rsidRDefault="00C2260C" w:rsidP="00627EB3">
      <w:pPr>
        <w:pStyle w:val="Pull-out"/>
      </w:pPr>
      <w:r w:rsidRPr="00CF03AE">
        <w:t>Our draft decision is to accept Goulburn-Murray Water’s proposed forecast regulatory asset base.</w:t>
      </w:r>
    </w:p>
    <w:p w14:paraId="322C6B44" w14:textId="11C37AD4" w:rsidR="00A16D7B" w:rsidRDefault="00C2260C" w:rsidP="00947C9A">
      <w:r>
        <w:t xml:space="preserve">The forecast regulatory asset base is calculated </w:t>
      </w:r>
      <w:r w:rsidR="00D2703A">
        <w:t>having</w:t>
      </w:r>
      <w:r>
        <w:t xml:space="preserve"> regard to the closing regulatory asset base, and forecasts for capital expenditure, government and customer contributions, and asset disposals. </w:t>
      </w:r>
    </w:p>
    <w:p w14:paraId="3C9C834C" w14:textId="511E21D3" w:rsidR="00C2260C" w:rsidRDefault="0090358B" w:rsidP="00947C9A">
      <w:r w:rsidRPr="00CC4641">
        <w:t xml:space="preserve">Our draft decision is to accept Goulburn-Murray Water’s proposed forecast regulatory asset base because it was calculated consistently with the requirements of our guidance. </w:t>
      </w:r>
      <w:r w:rsidR="00C2260C">
        <w:t>Table 4.6 sets out our draft decision on Goulburn-Murray Water’s forecast regulatory asset base from 1 July 2024.</w:t>
      </w:r>
      <w:r w:rsidR="00FF78F4">
        <w:rPr>
          <w:rStyle w:val="FootnoteReference"/>
        </w:rPr>
        <w:footnoteReference w:id="60"/>
      </w:r>
      <w:r w:rsidR="00C2260C">
        <w:t xml:space="preserve">  Our assessments of the components of the forecast regulatory asset base are outlined in different sections of this draft decision paper as follows:</w:t>
      </w:r>
    </w:p>
    <w:p w14:paraId="5B65C9A8" w14:textId="77777777" w:rsidR="00C2260C" w:rsidRDefault="00C2260C" w:rsidP="00821A3A">
      <w:pPr>
        <w:pStyle w:val="ListBullet"/>
      </w:pPr>
      <w:r>
        <w:t>Section 4.2 (capital expenditure)</w:t>
      </w:r>
    </w:p>
    <w:p w14:paraId="57D01056" w14:textId="2A6265D6" w:rsidR="00EE5C2B" w:rsidRDefault="00C2260C" w:rsidP="00821A3A">
      <w:pPr>
        <w:pStyle w:val="ListBullet"/>
      </w:pPr>
      <w:r>
        <w:t xml:space="preserve">Section 4.5 (regulatory depreciation). </w:t>
      </w:r>
      <w:r w:rsidR="00EE5C2B">
        <w:t xml:space="preserve"> </w:t>
      </w:r>
    </w:p>
    <w:p w14:paraId="7AF8D02B" w14:textId="77777777" w:rsidR="007B4E81" w:rsidRDefault="007B4E81" w:rsidP="007B4E81"/>
    <w:p w14:paraId="640FA3A2" w14:textId="77777777" w:rsidR="00EE5C2B" w:rsidRDefault="00EE5C2B" w:rsidP="00852139">
      <w:pPr>
        <w:pStyle w:val="Figure-Table-BoxHeading"/>
        <w:keepNext/>
        <w:spacing w:after="0" w:line="288" w:lineRule="auto"/>
      </w:pPr>
      <w:r>
        <w:t xml:space="preserve">Table </w:t>
      </w:r>
      <w:r w:rsidRPr="00CC4641">
        <w:t>4.6</w:t>
      </w:r>
      <w:r>
        <w:tab/>
        <w:t>Draft decision – forecast regulatory asset base (RAB)</w:t>
      </w:r>
    </w:p>
    <w:p w14:paraId="67281DD5" w14:textId="40E97428" w:rsidR="00CB0093" w:rsidRDefault="00EE5C2B" w:rsidP="00852139">
      <w:pPr>
        <w:pStyle w:val="Figure-Table-BoxSubtitle"/>
        <w:keepNext/>
        <w:spacing w:before="0" w:after="0" w:line="240" w:lineRule="auto"/>
        <w:ind w:left="1418"/>
      </w:pPr>
      <w:r>
        <w:t>$</w:t>
      </w:r>
      <w:r w:rsidR="006761A1">
        <w:t> million</w:t>
      </w:r>
      <w:r>
        <w:t xml:space="preserve"> </w:t>
      </w:r>
      <w:r w:rsidR="00C51BEB">
        <w:t>2023</w:t>
      </w:r>
      <w:r w:rsidR="00852139">
        <w:t>–</w:t>
      </w:r>
      <w:r w:rsidR="00C51BEB">
        <w:t>24</w:t>
      </w:r>
    </w:p>
    <w:tbl>
      <w:tblPr>
        <w:tblStyle w:val="TableGrid"/>
        <w:tblW w:w="9393" w:type="dxa"/>
        <w:tblLook w:val="04A0" w:firstRow="1" w:lastRow="0" w:firstColumn="1" w:lastColumn="0" w:noHBand="0" w:noVBand="1"/>
      </w:tblPr>
      <w:tblGrid>
        <w:gridCol w:w="2825"/>
        <w:gridCol w:w="1313"/>
        <w:gridCol w:w="1313"/>
        <w:gridCol w:w="1314"/>
        <w:gridCol w:w="1314"/>
        <w:gridCol w:w="1314"/>
      </w:tblGrid>
      <w:tr w:rsidR="008B243B" w14:paraId="71A3683B" w14:textId="77777777" w:rsidTr="00AA505C">
        <w:trPr>
          <w:cnfStyle w:val="100000000000" w:firstRow="1" w:lastRow="0" w:firstColumn="0" w:lastColumn="0" w:oddVBand="0" w:evenVBand="0" w:oddHBand="0" w:evenHBand="0" w:firstRowFirstColumn="0" w:firstRowLastColumn="0" w:lastRowFirstColumn="0" w:lastRowLastColumn="0"/>
        </w:trPr>
        <w:tc>
          <w:tcPr>
            <w:tcW w:w="2825" w:type="dxa"/>
          </w:tcPr>
          <w:p w14:paraId="2AFDD232" w14:textId="77777777" w:rsidR="008B243B" w:rsidRDefault="008B243B" w:rsidP="008B243B"/>
        </w:tc>
        <w:tc>
          <w:tcPr>
            <w:tcW w:w="1313" w:type="dxa"/>
          </w:tcPr>
          <w:p w14:paraId="1C025470" w14:textId="20A27C0C" w:rsidR="00CE7634" w:rsidRPr="00971632" w:rsidRDefault="00CE7634" w:rsidP="00CE7634">
            <w:pPr>
              <w:ind w:right="113"/>
              <w:jc w:val="right"/>
            </w:pPr>
            <w:r w:rsidRPr="00971632">
              <w:t>202</w:t>
            </w:r>
            <w:r>
              <w:t>3</w:t>
            </w:r>
            <w:r w:rsidRPr="00971632">
              <w:noBreakHyphen/>
              <w:t>2</w:t>
            </w:r>
            <w:r>
              <w:t>4</w:t>
            </w:r>
          </w:p>
        </w:tc>
        <w:tc>
          <w:tcPr>
            <w:tcW w:w="1313" w:type="dxa"/>
          </w:tcPr>
          <w:p w14:paraId="40077CB7" w14:textId="306ACFBD" w:rsidR="008B243B" w:rsidRDefault="008B243B" w:rsidP="008B243B">
            <w:pPr>
              <w:ind w:right="113"/>
              <w:jc w:val="right"/>
            </w:pPr>
            <w:r w:rsidRPr="00E522AE">
              <w:t>2024</w:t>
            </w:r>
            <w:r>
              <w:noBreakHyphen/>
            </w:r>
            <w:r w:rsidRPr="00E522AE">
              <w:t>25</w:t>
            </w:r>
          </w:p>
        </w:tc>
        <w:tc>
          <w:tcPr>
            <w:tcW w:w="1314" w:type="dxa"/>
          </w:tcPr>
          <w:p w14:paraId="7A484102" w14:textId="3316E294" w:rsidR="008B243B" w:rsidRDefault="008B243B" w:rsidP="008B243B">
            <w:pPr>
              <w:ind w:right="113"/>
              <w:jc w:val="right"/>
            </w:pPr>
            <w:r w:rsidRPr="00E522AE">
              <w:t>2025</w:t>
            </w:r>
            <w:r>
              <w:noBreakHyphen/>
            </w:r>
            <w:r w:rsidRPr="00E522AE">
              <w:t>26</w:t>
            </w:r>
          </w:p>
        </w:tc>
        <w:tc>
          <w:tcPr>
            <w:tcW w:w="1314" w:type="dxa"/>
          </w:tcPr>
          <w:p w14:paraId="40F2E356" w14:textId="4A658138" w:rsidR="008B243B" w:rsidRDefault="008B243B" w:rsidP="008B243B">
            <w:pPr>
              <w:ind w:right="113"/>
              <w:jc w:val="right"/>
            </w:pPr>
            <w:r w:rsidRPr="00E522AE">
              <w:t>2026</w:t>
            </w:r>
            <w:r>
              <w:noBreakHyphen/>
            </w:r>
            <w:r w:rsidRPr="00E522AE">
              <w:t>27</w:t>
            </w:r>
          </w:p>
        </w:tc>
        <w:tc>
          <w:tcPr>
            <w:tcW w:w="1314" w:type="dxa"/>
          </w:tcPr>
          <w:p w14:paraId="41082C97" w14:textId="350DC7CB" w:rsidR="008B243B" w:rsidRDefault="008B243B" w:rsidP="008B243B">
            <w:pPr>
              <w:ind w:right="113"/>
              <w:jc w:val="right"/>
            </w:pPr>
            <w:r w:rsidRPr="00E522AE">
              <w:t>2027</w:t>
            </w:r>
            <w:r>
              <w:noBreakHyphen/>
            </w:r>
            <w:r w:rsidRPr="00E522AE">
              <w:t>28</w:t>
            </w:r>
          </w:p>
        </w:tc>
      </w:tr>
      <w:tr w:rsidR="008B243B" w:rsidRPr="00875D65" w14:paraId="327ED5A3" w14:textId="77777777" w:rsidTr="00AA505C">
        <w:trPr>
          <w:cnfStyle w:val="000000100000" w:firstRow="0" w:lastRow="0" w:firstColumn="0" w:lastColumn="0" w:oddVBand="0" w:evenVBand="0" w:oddHBand="1" w:evenHBand="0" w:firstRowFirstColumn="0" w:firstRowLastColumn="0" w:lastRowFirstColumn="0" w:lastRowLastColumn="0"/>
        </w:trPr>
        <w:tc>
          <w:tcPr>
            <w:tcW w:w="2825" w:type="dxa"/>
          </w:tcPr>
          <w:p w14:paraId="24E2954C" w14:textId="71A4BFDF" w:rsidR="008B243B" w:rsidRPr="00FB598F" w:rsidRDefault="008B243B" w:rsidP="008B243B">
            <w:pPr>
              <w:pStyle w:val="TableBody"/>
              <w:rPr>
                <w:b/>
                <w:bCs/>
              </w:rPr>
            </w:pPr>
            <w:r w:rsidRPr="00FB598F">
              <w:rPr>
                <w:b/>
                <w:bCs/>
              </w:rPr>
              <w:t>Opening RAB 1 July</w:t>
            </w:r>
          </w:p>
        </w:tc>
        <w:tc>
          <w:tcPr>
            <w:tcW w:w="1313" w:type="dxa"/>
          </w:tcPr>
          <w:p w14:paraId="5A12A182" w14:textId="147DAA8F" w:rsidR="00CE7634" w:rsidRPr="00CC4641" w:rsidRDefault="00CE7634" w:rsidP="00CE7634">
            <w:pPr>
              <w:pStyle w:val="TableBody"/>
              <w:ind w:right="113"/>
              <w:jc w:val="right"/>
            </w:pPr>
            <w:r w:rsidRPr="00CC4641">
              <w:t xml:space="preserve">      459.7 </w:t>
            </w:r>
          </w:p>
        </w:tc>
        <w:tc>
          <w:tcPr>
            <w:tcW w:w="1313" w:type="dxa"/>
          </w:tcPr>
          <w:p w14:paraId="79CDDFB0" w14:textId="2B706E8C" w:rsidR="008B243B" w:rsidRPr="00CC4641" w:rsidRDefault="008B243B" w:rsidP="008B243B">
            <w:pPr>
              <w:pStyle w:val="TableBody"/>
              <w:ind w:right="113"/>
              <w:jc w:val="right"/>
              <w:rPr>
                <w:b/>
              </w:rPr>
            </w:pPr>
            <w:r w:rsidRPr="00CC4641">
              <w:t xml:space="preserve">     471.7 </w:t>
            </w:r>
          </w:p>
        </w:tc>
        <w:tc>
          <w:tcPr>
            <w:tcW w:w="1314" w:type="dxa"/>
          </w:tcPr>
          <w:p w14:paraId="6A0B6F20" w14:textId="17055FF6" w:rsidR="008B243B" w:rsidRPr="00CC4641" w:rsidRDefault="008B243B" w:rsidP="008B243B">
            <w:pPr>
              <w:pStyle w:val="TableBody"/>
              <w:ind w:right="113"/>
              <w:jc w:val="right"/>
              <w:rPr>
                <w:b/>
              </w:rPr>
            </w:pPr>
            <w:r w:rsidRPr="00CC4641">
              <w:t xml:space="preserve">     486.8 </w:t>
            </w:r>
          </w:p>
        </w:tc>
        <w:tc>
          <w:tcPr>
            <w:tcW w:w="1314" w:type="dxa"/>
          </w:tcPr>
          <w:p w14:paraId="53B31922" w14:textId="42481E62" w:rsidR="008B243B" w:rsidRPr="00CC4641" w:rsidRDefault="008B243B" w:rsidP="008B243B">
            <w:pPr>
              <w:pStyle w:val="TableBody"/>
              <w:ind w:right="113"/>
              <w:jc w:val="right"/>
              <w:rPr>
                <w:b/>
              </w:rPr>
            </w:pPr>
            <w:r w:rsidRPr="00CC4641">
              <w:t xml:space="preserve">     502.0 </w:t>
            </w:r>
          </w:p>
        </w:tc>
        <w:tc>
          <w:tcPr>
            <w:tcW w:w="1314" w:type="dxa"/>
          </w:tcPr>
          <w:p w14:paraId="18D80685" w14:textId="353FD377" w:rsidR="008B243B" w:rsidRPr="00CC4641" w:rsidRDefault="008B243B" w:rsidP="008B243B">
            <w:pPr>
              <w:pStyle w:val="TableBody"/>
              <w:ind w:right="113"/>
              <w:jc w:val="right"/>
              <w:rPr>
                <w:b/>
              </w:rPr>
            </w:pPr>
            <w:r w:rsidRPr="00CC4641">
              <w:t xml:space="preserve">      513.5 </w:t>
            </w:r>
          </w:p>
        </w:tc>
      </w:tr>
      <w:tr w:rsidR="008B243B" w:rsidRPr="00875D65" w14:paraId="6DFFBF52" w14:textId="77777777" w:rsidTr="00AA505C">
        <w:trPr>
          <w:cnfStyle w:val="000000010000" w:firstRow="0" w:lastRow="0" w:firstColumn="0" w:lastColumn="0" w:oddVBand="0" w:evenVBand="0" w:oddHBand="0" w:evenHBand="1" w:firstRowFirstColumn="0" w:firstRowLastColumn="0" w:lastRowFirstColumn="0" w:lastRowLastColumn="0"/>
        </w:trPr>
        <w:tc>
          <w:tcPr>
            <w:tcW w:w="2825" w:type="dxa"/>
          </w:tcPr>
          <w:p w14:paraId="46D6A655" w14:textId="5861BFC0" w:rsidR="008B243B" w:rsidRDefault="008B243B" w:rsidP="008B243B">
            <w:pPr>
              <w:pStyle w:val="TableBody"/>
            </w:pPr>
            <w:r w:rsidRPr="001C2F7B">
              <w:t>Plus gross capital expenditure</w:t>
            </w:r>
          </w:p>
        </w:tc>
        <w:tc>
          <w:tcPr>
            <w:tcW w:w="1313" w:type="dxa"/>
          </w:tcPr>
          <w:p w14:paraId="426166DB" w14:textId="3404ED64" w:rsidR="00CE7634" w:rsidRPr="00CC4641" w:rsidRDefault="00CE7634" w:rsidP="00CE7634">
            <w:pPr>
              <w:pStyle w:val="TableBody"/>
              <w:ind w:right="113"/>
              <w:jc w:val="right"/>
            </w:pPr>
            <w:r w:rsidRPr="00CC4641">
              <w:t xml:space="preserve">        26.2 </w:t>
            </w:r>
          </w:p>
        </w:tc>
        <w:tc>
          <w:tcPr>
            <w:tcW w:w="1313" w:type="dxa"/>
          </w:tcPr>
          <w:p w14:paraId="4B583F36" w14:textId="6F00F24F" w:rsidR="008B243B" w:rsidRPr="00CC4641" w:rsidRDefault="008B243B" w:rsidP="008B243B">
            <w:pPr>
              <w:pStyle w:val="TableBody"/>
              <w:ind w:right="113"/>
              <w:jc w:val="right"/>
            </w:pPr>
            <w:r w:rsidRPr="00CC4641">
              <w:t xml:space="preserve">       32.4 </w:t>
            </w:r>
          </w:p>
        </w:tc>
        <w:tc>
          <w:tcPr>
            <w:tcW w:w="1314" w:type="dxa"/>
          </w:tcPr>
          <w:p w14:paraId="137DCAA5" w14:textId="02D4622D" w:rsidR="008B243B" w:rsidRPr="00CC4641" w:rsidRDefault="008B243B" w:rsidP="008B243B">
            <w:pPr>
              <w:pStyle w:val="TableBody"/>
              <w:ind w:right="113"/>
              <w:jc w:val="right"/>
            </w:pPr>
            <w:r w:rsidRPr="00CC4641">
              <w:t xml:space="preserve">       30.0 </w:t>
            </w:r>
          </w:p>
        </w:tc>
        <w:tc>
          <w:tcPr>
            <w:tcW w:w="1314" w:type="dxa"/>
          </w:tcPr>
          <w:p w14:paraId="5BD3CF1E" w14:textId="777F2AED" w:rsidR="008B243B" w:rsidRPr="00CC4641" w:rsidRDefault="008B243B" w:rsidP="008B243B">
            <w:pPr>
              <w:pStyle w:val="TableBody"/>
              <w:ind w:right="113"/>
              <w:jc w:val="right"/>
            </w:pPr>
            <w:r w:rsidRPr="00CC4641">
              <w:t xml:space="preserve">       27.1 </w:t>
            </w:r>
          </w:p>
        </w:tc>
        <w:tc>
          <w:tcPr>
            <w:tcW w:w="1314" w:type="dxa"/>
          </w:tcPr>
          <w:p w14:paraId="67BD8E0F" w14:textId="39CB6E10" w:rsidR="008B243B" w:rsidRPr="00CC4641" w:rsidRDefault="008B243B" w:rsidP="008B243B">
            <w:pPr>
              <w:pStyle w:val="TableBody"/>
              <w:ind w:right="113"/>
              <w:jc w:val="right"/>
            </w:pPr>
            <w:r w:rsidRPr="00CC4641">
              <w:t xml:space="preserve">        25.1 </w:t>
            </w:r>
          </w:p>
        </w:tc>
      </w:tr>
      <w:tr w:rsidR="008B243B" w:rsidRPr="00875D65" w14:paraId="1F6CDAE7" w14:textId="77777777" w:rsidTr="00AA505C">
        <w:trPr>
          <w:cnfStyle w:val="000000100000" w:firstRow="0" w:lastRow="0" w:firstColumn="0" w:lastColumn="0" w:oddVBand="0" w:evenVBand="0" w:oddHBand="1" w:evenHBand="0" w:firstRowFirstColumn="0" w:firstRowLastColumn="0" w:lastRowFirstColumn="0" w:lastRowLastColumn="0"/>
        </w:trPr>
        <w:tc>
          <w:tcPr>
            <w:tcW w:w="2825" w:type="dxa"/>
          </w:tcPr>
          <w:p w14:paraId="075B9FE2" w14:textId="39061EC3" w:rsidR="008B243B" w:rsidRDefault="008B243B" w:rsidP="008B243B">
            <w:pPr>
              <w:pStyle w:val="TableBody"/>
            </w:pPr>
            <w:r w:rsidRPr="001C2F7B">
              <w:t>Less government contributions</w:t>
            </w:r>
          </w:p>
        </w:tc>
        <w:tc>
          <w:tcPr>
            <w:tcW w:w="1313" w:type="dxa"/>
          </w:tcPr>
          <w:p w14:paraId="0C98606C" w14:textId="3C13ED12" w:rsidR="00CE7634" w:rsidRPr="00CC4641" w:rsidRDefault="00CE7634" w:rsidP="00CE7634">
            <w:pPr>
              <w:pStyle w:val="TableBody"/>
              <w:ind w:right="113"/>
              <w:jc w:val="right"/>
            </w:pPr>
            <w:r w:rsidRPr="00CC4641">
              <w:t xml:space="preserve">          2.9 </w:t>
            </w:r>
          </w:p>
        </w:tc>
        <w:tc>
          <w:tcPr>
            <w:tcW w:w="1313" w:type="dxa"/>
          </w:tcPr>
          <w:p w14:paraId="564D3913" w14:textId="657059E4" w:rsidR="008B243B" w:rsidRPr="00CC4641" w:rsidRDefault="008B243B" w:rsidP="008B243B">
            <w:pPr>
              <w:pStyle w:val="TableBody"/>
              <w:ind w:right="113"/>
              <w:jc w:val="right"/>
            </w:pPr>
            <w:r w:rsidRPr="00CC4641">
              <w:t xml:space="preserve">         4.6 </w:t>
            </w:r>
          </w:p>
        </w:tc>
        <w:tc>
          <w:tcPr>
            <w:tcW w:w="1314" w:type="dxa"/>
          </w:tcPr>
          <w:p w14:paraId="6B938290" w14:textId="2B63251E" w:rsidR="008B243B" w:rsidRPr="00CC4641" w:rsidRDefault="008B243B" w:rsidP="008B243B">
            <w:pPr>
              <w:pStyle w:val="TableBody"/>
              <w:ind w:right="113"/>
              <w:jc w:val="right"/>
            </w:pPr>
            <w:r w:rsidRPr="00CC4641">
              <w:t xml:space="preserve">         1.5 </w:t>
            </w:r>
          </w:p>
        </w:tc>
        <w:tc>
          <w:tcPr>
            <w:tcW w:w="1314" w:type="dxa"/>
          </w:tcPr>
          <w:p w14:paraId="1504C766" w14:textId="5ECF4A70" w:rsidR="008B243B" w:rsidRPr="00CC4641" w:rsidRDefault="008B243B" w:rsidP="008B243B">
            <w:pPr>
              <w:pStyle w:val="TableBody"/>
              <w:ind w:right="113"/>
              <w:jc w:val="right"/>
            </w:pPr>
            <w:r w:rsidRPr="00CC4641">
              <w:t xml:space="preserve">         1.5 </w:t>
            </w:r>
          </w:p>
        </w:tc>
        <w:tc>
          <w:tcPr>
            <w:tcW w:w="1314" w:type="dxa"/>
          </w:tcPr>
          <w:p w14:paraId="73625BE8" w14:textId="0E22A063" w:rsidR="008B243B" w:rsidRPr="00CC4641" w:rsidRDefault="008B243B" w:rsidP="008B243B">
            <w:pPr>
              <w:pStyle w:val="TableBody"/>
              <w:ind w:right="113"/>
              <w:jc w:val="right"/>
            </w:pPr>
            <w:r w:rsidRPr="00CC4641">
              <w:t xml:space="preserve">          1.5 </w:t>
            </w:r>
          </w:p>
        </w:tc>
      </w:tr>
      <w:tr w:rsidR="008B243B" w:rsidRPr="00875D65" w14:paraId="7E5B0721" w14:textId="77777777" w:rsidTr="00AA505C">
        <w:trPr>
          <w:cnfStyle w:val="000000010000" w:firstRow="0" w:lastRow="0" w:firstColumn="0" w:lastColumn="0" w:oddVBand="0" w:evenVBand="0" w:oddHBand="0" w:evenHBand="1" w:firstRowFirstColumn="0" w:firstRowLastColumn="0" w:lastRowFirstColumn="0" w:lastRowLastColumn="0"/>
        </w:trPr>
        <w:tc>
          <w:tcPr>
            <w:tcW w:w="2825" w:type="dxa"/>
          </w:tcPr>
          <w:p w14:paraId="2E16A111" w14:textId="3AD6FBE7" w:rsidR="008B243B" w:rsidRDefault="008B243B" w:rsidP="008B243B">
            <w:pPr>
              <w:pStyle w:val="TableBody"/>
            </w:pPr>
            <w:r w:rsidRPr="001C2F7B">
              <w:t>Less customer contributions</w:t>
            </w:r>
          </w:p>
        </w:tc>
        <w:tc>
          <w:tcPr>
            <w:tcW w:w="1313" w:type="dxa"/>
          </w:tcPr>
          <w:p w14:paraId="1C285CC5" w14:textId="637A99EA" w:rsidR="00CE7634" w:rsidRPr="00CC4641" w:rsidRDefault="00CE7634" w:rsidP="00CE7634">
            <w:pPr>
              <w:pStyle w:val="TableBody"/>
              <w:ind w:right="113"/>
              <w:jc w:val="right"/>
            </w:pPr>
            <w:r w:rsidRPr="00CC4641">
              <w:t xml:space="preserve">          0.0  </w:t>
            </w:r>
          </w:p>
        </w:tc>
        <w:tc>
          <w:tcPr>
            <w:tcW w:w="1313" w:type="dxa"/>
          </w:tcPr>
          <w:p w14:paraId="758FC4DE" w14:textId="318154DD" w:rsidR="008B243B" w:rsidRPr="00CC4641" w:rsidRDefault="008B243B" w:rsidP="008B243B">
            <w:pPr>
              <w:pStyle w:val="TableBody"/>
              <w:ind w:right="113"/>
              <w:jc w:val="right"/>
            </w:pPr>
            <w:r w:rsidRPr="00CC4641">
              <w:t xml:space="preserve">          -   </w:t>
            </w:r>
          </w:p>
        </w:tc>
        <w:tc>
          <w:tcPr>
            <w:tcW w:w="1314" w:type="dxa"/>
          </w:tcPr>
          <w:p w14:paraId="27805D47" w14:textId="4E242098" w:rsidR="008B243B" w:rsidRPr="00CC4641" w:rsidRDefault="008B243B" w:rsidP="008B243B">
            <w:pPr>
              <w:pStyle w:val="TableBody"/>
              <w:ind w:right="113"/>
              <w:jc w:val="right"/>
            </w:pPr>
            <w:r w:rsidRPr="00CC4641">
              <w:t xml:space="preserve">          -   </w:t>
            </w:r>
          </w:p>
        </w:tc>
        <w:tc>
          <w:tcPr>
            <w:tcW w:w="1314" w:type="dxa"/>
          </w:tcPr>
          <w:p w14:paraId="0287448A" w14:textId="29229442" w:rsidR="008B243B" w:rsidRPr="00CC4641" w:rsidRDefault="008B243B" w:rsidP="008B243B">
            <w:pPr>
              <w:pStyle w:val="TableBody"/>
              <w:ind w:right="113"/>
              <w:jc w:val="right"/>
            </w:pPr>
            <w:r w:rsidRPr="00CC4641">
              <w:t xml:space="preserve">          -   </w:t>
            </w:r>
          </w:p>
        </w:tc>
        <w:tc>
          <w:tcPr>
            <w:tcW w:w="1314" w:type="dxa"/>
          </w:tcPr>
          <w:p w14:paraId="1A5D0A26" w14:textId="0F0CE173" w:rsidR="008B243B" w:rsidRPr="00CC4641" w:rsidRDefault="008B243B" w:rsidP="008B243B">
            <w:pPr>
              <w:pStyle w:val="TableBody"/>
              <w:ind w:right="113"/>
              <w:jc w:val="right"/>
            </w:pPr>
            <w:r w:rsidRPr="00CC4641">
              <w:t xml:space="preserve">            -    </w:t>
            </w:r>
          </w:p>
        </w:tc>
      </w:tr>
      <w:tr w:rsidR="008B243B" w:rsidRPr="00875D65" w14:paraId="419E6CA8" w14:textId="77777777" w:rsidTr="00AA505C">
        <w:trPr>
          <w:cnfStyle w:val="000000100000" w:firstRow="0" w:lastRow="0" w:firstColumn="0" w:lastColumn="0" w:oddVBand="0" w:evenVBand="0" w:oddHBand="1" w:evenHBand="0" w:firstRowFirstColumn="0" w:firstRowLastColumn="0" w:lastRowFirstColumn="0" w:lastRowLastColumn="0"/>
        </w:trPr>
        <w:tc>
          <w:tcPr>
            <w:tcW w:w="2825" w:type="dxa"/>
          </w:tcPr>
          <w:p w14:paraId="052D7E18" w14:textId="648A9752" w:rsidR="008B243B" w:rsidRDefault="008B243B" w:rsidP="008B243B">
            <w:pPr>
              <w:pStyle w:val="TableBody"/>
            </w:pPr>
            <w:r w:rsidRPr="001C2F7B">
              <w:t>Less proceeds from disposals</w:t>
            </w:r>
          </w:p>
        </w:tc>
        <w:tc>
          <w:tcPr>
            <w:tcW w:w="1313" w:type="dxa"/>
          </w:tcPr>
          <w:p w14:paraId="4E86BF1A" w14:textId="716F7FB2" w:rsidR="00CE7634" w:rsidRPr="00CC4641" w:rsidRDefault="00CE7634" w:rsidP="00CE7634">
            <w:pPr>
              <w:pStyle w:val="TableBody"/>
              <w:ind w:right="113"/>
              <w:jc w:val="right"/>
            </w:pPr>
            <w:r w:rsidRPr="00CC4641">
              <w:t xml:space="preserve">          0.1 </w:t>
            </w:r>
          </w:p>
        </w:tc>
        <w:tc>
          <w:tcPr>
            <w:tcW w:w="1313" w:type="dxa"/>
          </w:tcPr>
          <w:p w14:paraId="0B1C21E2" w14:textId="5E089258" w:rsidR="008B243B" w:rsidRPr="00CC4641" w:rsidRDefault="008B243B" w:rsidP="008B243B">
            <w:pPr>
              <w:pStyle w:val="TableBody"/>
              <w:ind w:right="113"/>
              <w:jc w:val="right"/>
            </w:pPr>
            <w:r w:rsidRPr="00CC4641">
              <w:t xml:space="preserve">         0.1 </w:t>
            </w:r>
          </w:p>
        </w:tc>
        <w:tc>
          <w:tcPr>
            <w:tcW w:w="1314" w:type="dxa"/>
          </w:tcPr>
          <w:p w14:paraId="514CA355" w14:textId="650CFCFF" w:rsidR="008B243B" w:rsidRPr="00CC4641" w:rsidRDefault="008B243B" w:rsidP="008B243B">
            <w:pPr>
              <w:pStyle w:val="TableBody"/>
              <w:ind w:right="113"/>
              <w:jc w:val="right"/>
            </w:pPr>
            <w:r w:rsidRPr="00CC4641">
              <w:t xml:space="preserve">         0.1 </w:t>
            </w:r>
          </w:p>
        </w:tc>
        <w:tc>
          <w:tcPr>
            <w:tcW w:w="1314" w:type="dxa"/>
          </w:tcPr>
          <w:p w14:paraId="0422D19E" w14:textId="058B607E" w:rsidR="008B243B" w:rsidRPr="00CC4641" w:rsidRDefault="008B243B" w:rsidP="008B243B">
            <w:pPr>
              <w:pStyle w:val="TableBody"/>
              <w:ind w:right="113"/>
              <w:jc w:val="right"/>
            </w:pPr>
            <w:r w:rsidRPr="00CC4641">
              <w:t xml:space="preserve">         0.1 </w:t>
            </w:r>
          </w:p>
        </w:tc>
        <w:tc>
          <w:tcPr>
            <w:tcW w:w="1314" w:type="dxa"/>
          </w:tcPr>
          <w:p w14:paraId="46D056CA" w14:textId="050A74CA" w:rsidR="008B243B" w:rsidRPr="00CC4641" w:rsidRDefault="008B243B" w:rsidP="008B243B">
            <w:pPr>
              <w:pStyle w:val="TableBody"/>
              <w:ind w:right="113"/>
              <w:jc w:val="right"/>
            </w:pPr>
            <w:r w:rsidRPr="00CC4641">
              <w:t xml:space="preserve">          0.1 </w:t>
            </w:r>
          </w:p>
        </w:tc>
      </w:tr>
      <w:tr w:rsidR="008B243B" w:rsidRPr="00875D65" w14:paraId="6C5BD3AC" w14:textId="77777777" w:rsidTr="00AA505C">
        <w:trPr>
          <w:cnfStyle w:val="000000010000" w:firstRow="0" w:lastRow="0" w:firstColumn="0" w:lastColumn="0" w:oddVBand="0" w:evenVBand="0" w:oddHBand="0" w:evenHBand="1" w:firstRowFirstColumn="0" w:firstRowLastColumn="0" w:lastRowFirstColumn="0" w:lastRowLastColumn="0"/>
        </w:trPr>
        <w:tc>
          <w:tcPr>
            <w:tcW w:w="2825" w:type="dxa"/>
          </w:tcPr>
          <w:p w14:paraId="75BB4ABC" w14:textId="33DC0CCA" w:rsidR="008B243B" w:rsidRDefault="008B243B" w:rsidP="008B243B">
            <w:pPr>
              <w:pStyle w:val="TableBody"/>
            </w:pPr>
            <w:r w:rsidRPr="001C2F7B">
              <w:t>Less regulatory depreciation</w:t>
            </w:r>
          </w:p>
        </w:tc>
        <w:tc>
          <w:tcPr>
            <w:tcW w:w="1313" w:type="dxa"/>
          </w:tcPr>
          <w:p w14:paraId="5AB2A13D" w14:textId="5D82B9C3" w:rsidR="00CE7634" w:rsidRPr="00CC4641" w:rsidRDefault="00CE7634" w:rsidP="00CE7634">
            <w:pPr>
              <w:pStyle w:val="TableBody"/>
              <w:ind w:right="113"/>
              <w:jc w:val="right"/>
            </w:pPr>
            <w:r w:rsidRPr="00CC4641">
              <w:t xml:space="preserve">        11.2 </w:t>
            </w:r>
          </w:p>
        </w:tc>
        <w:tc>
          <w:tcPr>
            <w:tcW w:w="1313" w:type="dxa"/>
          </w:tcPr>
          <w:p w14:paraId="5B30871E" w14:textId="68B6A542" w:rsidR="008B243B" w:rsidRPr="00CC4641" w:rsidRDefault="008B243B" w:rsidP="008B243B">
            <w:pPr>
              <w:pStyle w:val="TableBody"/>
              <w:ind w:right="113"/>
              <w:jc w:val="right"/>
            </w:pPr>
            <w:r w:rsidRPr="00CC4641">
              <w:t xml:space="preserve">       12.5 </w:t>
            </w:r>
          </w:p>
        </w:tc>
        <w:tc>
          <w:tcPr>
            <w:tcW w:w="1314" w:type="dxa"/>
          </w:tcPr>
          <w:p w14:paraId="6FBC5F64" w14:textId="43C28D1D" w:rsidR="008B243B" w:rsidRPr="00CC4641" w:rsidRDefault="008B243B" w:rsidP="008B243B">
            <w:pPr>
              <w:pStyle w:val="TableBody"/>
              <w:ind w:right="113"/>
              <w:jc w:val="right"/>
            </w:pPr>
            <w:r w:rsidRPr="00CC4641">
              <w:t xml:space="preserve">       13.2 </w:t>
            </w:r>
          </w:p>
        </w:tc>
        <w:tc>
          <w:tcPr>
            <w:tcW w:w="1314" w:type="dxa"/>
          </w:tcPr>
          <w:p w14:paraId="28A46E4C" w14:textId="0718CE1E" w:rsidR="008B243B" w:rsidRPr="00CC4641" w:rsidRDefault="008B243B" w:rsidP="008B243B">
            <w:pPr>
              <w:pStyle w:val="TableBody"/>
              <w:ind w:right="113"/>
              <w:jc w:val="right"/>
            </w:pPr>
            <w:r w:rsidRPr="00CC4641">
              <w:t xml:space="preserve">       13.9 </w:t>
            </w:r>
          </w:p>
        </w:tc>
        <w:tc>
          <w:tcPr>
            <w:tcW w:w="1314" w:type="dxa"/>
          </w:tcPr>
          <w:p w14:paraId="472833E6" w14:textId="15137CFF" w:rsidR="008B243B" w:rsidRPr="00CC4641" w:rsidRDefault="008B243B" w:rsidP="008B243B">
            <w:pPr>
              <w:pStyle w:val="TableBody"/>
              <w:ind w:right="113"/>
              <w:jc w:val="right"/>
            </w:pPr>
            <w:r w:rsidRPr="00CC4641">
              <w:t xml:space="preserve">        14.4 </w:t>
            </w:r>
          </w:p>
        </w:tc>
      </w:tr>
      <w:tr w:rsidR="008B243B" w:rsidRPr="00875D65" w14:paraId="793C7515" w14:textId="77777777" w:rsidTr="00AA505C">
        <w:trPr>
          <w:cnfStyle w:val="000000100000" w:firstRow="0" w:lastRow="0" w:firstColumn="0" w:lastColumn="0" w:oddVBand="0" w:evenVBand="0" w:oddHBand="1" w:evenHBand="0" w:firstRowFirstColumn="0" w:firstRowLastColumn="0" w:lastRowFirstColumn="0" w:lastRowLastColumn="0"/>
        </w:trPr>
        <w:tc>
          <w:tcPr>
            <w:tcW w:w="2825" w:type="dxa"/>
          </w:tcPr>
          <w:p w14:paraId="19D45483" w14:textId="1BE37FB8" w:rsidR="008B243B" w:rsidRDefault="008B243B" w:rsidP="008B243B">
            <w:pPr>
              <w:pStyle w:val="TableBold"/>
            </w:pPr>
            <w:r w:rsidRPr="001C2F7B">
              <w:t>Closing RAB 30 June</w:t>
            </w:r>
          </w:p>
        </w:tc>
        <w:tc>
          <w:tcPr>
            <w:tcW w:w="1313" w:type="dxa"/>
          </w:tcPr>
          <w:p w14:paraId="1D9395B3" w14:textId="2E7EA26F" w:rsidR="00CE7634" w:rsidRPr="00CC4641" w:rsidRDefault="00CE7634" w:rsidP="00CE7634">
            <w:pPr>
              <w:pStyle w:val="TableBody"/>
              <w:ind w:right="113"/>
              <w:jc w:val="right"/>
            </w:pPr>
            <w:r w:rsidRPr="00CC4641">
              <w:t xml:space="preserve">      471.7 </w:t>
            </w:r>
          </w:p>
        </w:tc>
        <w:tc>
          <w:tcPr>
            <w:tcW w:w="1313" w:type="dxa"/>
          </w:tcPr>
          <w:p w14:paraId="0F3205CE" w14:textId="116CADC7" w:rsidR="008B243B" w:rsidRPr="00CC4641" w:rsidRDefault="008B243B" w:rsidP="008B243B">
            <w:pPr>
              <w:pStyle w:val="TableBody"/>
              <w:ind w:right="113"/>
              <w:jc w:val="right"/>
            </w:pPr>
            <w:r w:rsidRPr="00CC4641">
              <w:t xml:space="preserve">     486.8 </w:t>
            </w:r>
          </w:p>
        </w:tc>
        <w:tc>
          <w:tcPr>
            <w:tcW w:w="1314" w:type="dxa"/>
          </w:tcPr>
          <w:p w14:paraId="0D15669D" w14:textId="0AC9FB21" w:rsidR="008B243B" w:rsidRPr="00CC4641" w:rsidRDefault="008B243B" w:rsidP="008B243B">
            <w:pPr>
              <w:pStyle w:val="TableBody"/>
              <w:ind w:right="113"/>
              <w:jc w:val="right"/>
            </w:pPr>
            <w:r w:rsidRPr="00CC4641">
              <w:t xml:space="preserve">     502.0 </w:t>
            </w:r>
          </w:p>
        </w:tc>
        <w:tc>
          <w:tcPr>
            <w:tcW w:w="1314" w:type="dxa"/>
          </w:tcPr>
          <w:p w14:paraId="090E400C" w14:textId="6C85B868" w:rsidR="008B243B" w:rsidRPr="00CC4641" w:rsidRDefault="008B243B" w:rsidP="008B243B">
            <w:pPr>
              <w:pStyle w:val="TableBody"/>
              <w:ind w:right="113"/>
              <w:jc w:val="right"/>
            </w:pPr>
            <w:r w:rsidRPr="00CC4641">
              <w:t xml:space="preserve">     513.5 </w:t>
            </w:r>
          </w:p>
        </w:tc>
        <w:tc>
          <w:tcPr>
            <w:tcW w:w="1314" w:type="dxa"/>
          </w:tcPr>
          <w:p w14:paraId="02BBC9E1" w14:textId="66633DFF" w:rsidR="008B243B" w:rsidRPr="00CC4641" w:rsidRDefault="008B243B" w:rsidP="008B243B">
            <w:pPr>
              <w:pStyle w:val="TableBody"/>
              <w:ind w:right="113"/>
              <w:jc w:val="right"/>
            </w:pPr>
            <w:r w:rsidRPr="00CC4641">
              <w:t xml:space="preserve">      522.6 </w:t>
            </w:r>
          </w:p>
        </w:tc>
      </w:tr>
    </w:tbl>
    <w:p w14:paraId="1825CE25" w14:textId="2C0608E9" w:rsidR="00874DAA" w:rsidRDefault="00874DAA" w:rsidP="00874DAA">
      <w:pPr>
        <w:pStyle w:val="Source"/>
        <w:jc w:val="left"/>
      </w:pPr>
      <w:r w:rsidRPr="00874DAA">
        <w:rPr>
          <w:b/>
          <w:bCs/>
        </w:rPr>
        <w:t>Note:</w:t>
      </w:r>
      <w:r>
        <w:t xml:space="preserve"> Numbers have been rounded</w:t>
      </w:r>
      <w:r w:rsidR="00D0614A">
        <w:t>.</w:t>
      </w:r>
    </w:p>
    <w:p w14:paraId="5D2709B9" w14:textId="43E9BFEA" w:rsidR="00874DAA" w:rsidRDefault="00874DAA" w:rsidP="00874DAA">
      <w:pPr>
        <w:pStyle w:val="Heading2"/>
      </w:pPr>
      <w:bookmarkStart w:id="118" w:name="_Toc161400037"/>
      <w:r w:rsidRPr="001615DC">
        <w:t xml:space="preserve">4.4 </w:t>
      </w:r>
      <w:r w:rsidRPr="001615DC">
        <w:tab/>
        <w:t>Rate of return</w:t>
      </w:r>
      <w:bookmarkEnd w:id="118"/>
      <w:r w:rsidR="001615DC">
        <w:t xml:space="preserve"> </w:t>
      </w:r>
    </w:p>
    <w:p w14:paraId="3DACF5DE" w14:textId="62A95D51" w:rsidR="00874DAA" w:rsidRDefault="00874DAA" w:rsidP="00874DAA">
      <w:r>
        <w:t xml:space="preserve">In establishing the return on assets component of </w:t>
      </w:r>
      <w:r w:rsidR="00D1620B">
        <w:t>Goulburn-Murray Water</w:t>
      </w:r>
      <w:r>
        <w:t xml:space="preserve">’s revenue requirement, we have applied a rate of return to </w:t>
      </w:r>
      <w:r w:rsidR="00D1620B">
        <w:t>Goulburn-Murray Water</w:t>
      </w:r>
      <w:r>
        <w:t>’s regulatory asset base. The rate of return is calculated using a benchmark cost of debt (discussed in Section 4.4.1) and a benchmark return on equity value (discussed in Section 4.4.2).</w:t>
      </w:r>
    </w:p>
    <w:p w14:paraId="2F612290" w14:textId="5D8E59F6" w:rsidR="00874DAA" w:rsidRDefault="00874DAA" w:rsidP="00874DAA">
      <w:pPr>
        <w:pStyle w:val="Heading3"/>
      </w:pPr>
      <w:bookmarkStart w:id="119" w:name="_Toc160038321"/>
      <w:bookmarkStart w:id="120" w:name="_Toc161400038"/>
      <w:bookmarkStart w:id="121" w:name="_Toc122514867"/>
      <w:bookmarkStart w:id="122" w:name="_Toc149223941"/>
      <w:bookmarkStart w:id="123" w:name="_Toc149560267"/>
      <w:bookmarkStart w:id="124" w:name="_Toc150866251"/>
      <w:r>
        <w:t>4.4.1</w:t>
      </w:r>
      <w:r>
        <w:tab/>
      </w:r>
      <w:r w:rsidR="00875D65" w:rsidRPr="001740B6">
        <w:t xml:space="preserve"> </w:t>
      </w:r>
      <w:r>
        <w:t>Cost of debt</w:t>
      </w:r>
      <w:bookmarkEnd w:id="119"/>
      <w:bookmarkEnd w:id="120"/>
      <w:r w:rsidR="001615DC">
        <w:t xml:space="preserve"> </w:t>
      </w:r>
      <w:bookmarkEnd w:id="121"/>
      <w:bookmarkEnd w:id="122"/>
      <w:bookmarkEnd w:id="123"/>
      <w:bookmarkEnd w:id="124"/>
    </w:p>
    <w:p w14:paraId="3BB56982" w14:textId="77777777" w:rsidR="00820A14" w:rsidRDefault="00820A14" w:rsidP="00820A14">
      <w:pPr>
        <w:pStyle w:val="Pull-out"/>
      </w:pPr>
      <w:r w:rsidRPr="001740B6">
        <w:t>Our draft decision is to accept the cost of debt proposed by Goulburn-Murray Water.</w:t>
      </w:r>
    </w:p>
    <w:p w14:paraId="399D738C" w14:textId="70DF51C5" w:rsidR="00820A14" w:rsidRDefault="00820A14" w:rsidP="00820A14">
      <w:r>
        <w:t xml:space="preserve">Our guidance required Goulburn-Murray Water to use estimates of the cost of debt provided by the commission to estimate its revenue requirement. Goulburn-Murray Water </w:t>
      </w:r>
      <w:r w:rsidRPr="000D34E9">
        <w:t>used the cost of debt values we specified to calculate its revenue requirement. For this reason, as set out in Table 4.7, our draft decision is to accept the cost of debt proposed by Goulburn-Murray Water, noting that the cost of debt estimates will be updated following the release</w:t>
      </w:r>
      <w:r w:rsidR="00692454">
        <w:t xml:space="preserve"> of the Reserve Bank of Australia data</w:t>
      </w:r>
      <w:r w:rsidR="00777B2F">
        <w:t xml:space="preserve"> series</w:t>
      </w:r>
      <w:r w:rsidR="00F03D54">
        <w:t xml:space="preserve">. </w:t>
      </w:r>
      <w:r>
        <w:t xml:space="preserve"> </w:t>
      </w:r>
    </w:p>
    <w:p w14:paraId="6866A690" w14:textId="77777777" w:rsidR="00820A14" w:rsidRDefault="00820A14" w:rsidP="00820A14">
      <w:pPr>
        <w:spacing w:before="0" w:line="259" w:lineRule="auto"/>
        <w:rPr>
          <w:rFonts w:asciiTheme="majorHAnsi" w:eastAsiaTheme="majorEastAsia" w:hAnsiTheme="majorHAnsi" w:cstheme="majorBidi"/>
          <w:b/>
          <w:color w:val="4986A0" w:themeColor="text2"/>
          <w:szCs w:val="24"/>
          <w:lang w:val="en-US"/>
        </w:rPr>
      </w:pPr>
      <w:r>
        <w:br w:type="page"/>
      </w:r>
    </w:p>
    <w:p w14:paraId="4510C0F2" w14:textId="1FE7AA25" w:rsidR="00820A14" w:rsidRDefault="00820A14" w:rsidP="00820A14">
      <w:pPr>
        <w:pStyle w:val="Figure-Table-BoxHeading"/>
      </w:pPr>
      <w:r w:rsidRPr="000A75DA">
        <w:lastRenderedPageBreak/>
        <w:t>Table 4.7</w:t>
      </w:r>
      <w:r w:rsidRPr="000A75DA">
        <w:tab/>
        <w:t>Draft decision – cost of debt</w:t>
      </w:r>
    </w:p>
    <w:tbl>
      <w:tblPr>
        <w:tblStyle w:val="TableGrid"/>
        <w:tblW w:w="10206" w:type="dxa"/>
        <w:tblLayout w:type="fixed"/>
        <w:tblLook w:val="04A0" w:firstRow="1" w:lastRow="0" w:firstColumn="1" w:lastColumn="0" w:noHBand="0" w:noVBand="1"/>
      </w:tblPr>
      <w:tblGrid>
        <w:gridCol w:w="993"/>
        <w:gridCol w:w="921"/>
        <w:gridCol w:w="921"/>
        <w:gridCol w:w="921"/>
        <w:gridCol w:w="922"/>
        <w:gridCol w:w="921"/>
        <w:gridCol w:w="921"/>
        <w:gridCol w:w="922"/>
        <w:gridCol w:w="921"/>
        <w:gridCol w:w="921"/>
        <w:gridCol w:w="922"/>
      </w:tblGrid>
      <w:tr w:rsidR="00820A14" w14:paraId="137F1BEE" w14:textId="77777777">
        <w:trPr>
          <w:cnfStyle w:val="100000000000" w:firstRow="1" w:lastRow="0" w:firstColumn="0" w:lastColumn="0" w:oddVBand="0" w:evenVBand="0" w:oddHBand="0" w:evenHBand="0" w:firstRowFirstColumn="0" w:firstRowLastColumn="0" w:lastRowFirstColumn="0" w:lastRowLastColumn="0"/>
        </w:trPr>
        <w:tc>
          <w:tcPr>
            <w:tcW w:w="993" w:type="dxa"/>
          </w:tcPr>
          <w:p w14:paraId="2EC6ED90" w14:textId="77777777" w:rsidR="00820A14" w:rsidRPr="00040B8E" w:rsidRDefault="00820A14">
            <w:pPr>
              <w:pStyle w:val="TableHeading"/>
              <w:rPr>
                <w:sz w:val="18"/>
                <w:szCs w:val="18"/>
              </w:rPr>
            </w:pPr>
          </w:p>
        </w:tc>
        <w:tc>
          <w:tcPr>
            <w:tcW w:w="921" w:type="dxa"/>
          </w:tcPr>
          <w:p w14:paraId="20948B80" w14:textId="77777777" w:rsidR="00820A14" w:rsidRPr="005F0ACF" w:rsidRDefault="00820A14">
            <w:pPr>
              <w:pStyle w:val="TableHeading"/>
              <w:ind w:right="113"/>
              <w:rPr>
                <w:sz w:val="18"/>
                <w:szCs w:val="18"/>
              </w:rPr>
            </w:pPr>
            <w:r w:rsidRPr="005F0ACF">
              <w:rPr>
                <w:sz w:val="18"/>
                <w:szCs w:val="18"/>
              </w:rPr>
              <w:t>2014</w:t>
            </w:r>
            <w:r w:rsidRPr="005F0ACF">
              <w:rPr>
                <w:sz w:val="18"/>
                <w:szCs w:val="18"/>
              </w:rPr>
              <w:noBreakHyphen/>
              <w:t>15</w:t>
            </w:r>
          </w:p>
        </w:tc>
        <w:tc>
          <w:tcPr>
            <w:tcW w:w="921" w:type="dxa"/>
          </w:tcPr>
          <w:p w14:paraId="7DB86D56" w14:textId="77777777" w:rsidR="00820A14" w:rsidRPr="005F0ACF" w:rsidRDefault="00820A14">
            <w:pPr>
              <w:pStyle w:val="TableHeading"/>
              <w:ind w:right="113"/>
              <w:rPr>
                <w:sz w:val="18"/>
                <w:szCs w:val="18"/>
              </w:rPr>
            </w:pPr>
            <w:r w:rsidRPr="005F0ACF">
              <w:rPr>
                <w:sz w:val="18"/>
                <w:szCs w:val="18"/>
              </w:rPr>
              <w:t>2015</w:t>
            </w:r>
            <w:r w:rsidRPr="005F0ACF">
              <w:rPr>
                <w:sz w:val="18"/>
                <w:szCs w:val="18"/>
              </w:rPr>
              <w:noBreakHyphen/>
              <w:t>16</w:t>
            </w:r>
          </w:p>
        </w:tc>
        <w:tc>
          <w:tcPr>
            <w:tcW w:w="921" w:type="dxa"/>
          </w:tcPr>
          <w:p w14:paraId="27477328" w14:textId="77777777" w:rsidR="00820A14" w:rsidRPr="005F0ACF" w:rsidRDefault="00820A14">
            <w:pPr>
              <w:pStyle w:val="TableHeading"/>
              <w:ind w:right="113"/>
              <w:rPr>
                <w:sz w:val="18"/>
                <w:szCs w:val="18"/>
              </w:rPr>
            </w:pPr>
            <w:r w:rsidRPr="005F0ACF">
              <w:rPr>
                <w:sz w:val="18"/>
                <w:szCs w:val="18"/>
              </w:rPr>
              <w:t>2016</w:t>
            </w:r>
            <w:r w:rsidRPr="005F0ACF">
              <w:rPr>
                <w:sz w:val="18"/>
                <w:szCs w:val="18"/>
              </w:rPr>
              <w:noBreakHyphen/>
              <w:t>17</w:t>
            </w:r>
          </w:p>
        </w:tc>
        <w:tc>
          <w:tcPr>
            <w:tcW w:w="922" w:type="dxa"/>
          </w:tcPr>
          <w:p w14:paraId="7B198332" w14:textId="77777777" w:rsidR="00820A14" w:rsidRPr="005F0ACF" w:rsidRDefault="00820A14">
            <w:pPr>
              <w:pStyle w:val="TableHeading"/>
              <w:ind w:right="113"/>
              <w:rPr>
                <w:sz w:val="18"/>
                <w:szCs w:val="18"/>
              </w:rPr>
            </w:pPr>
            <w:r w:rsidRPr="005F0ACF">
              <w:rPr>
                <w:sz w:val="18"/>
                <w:szCs w:val="18"/>
              </w:rPr>
              <w:t>2017</w:t>
            </w:r>
            <w:r w:rsidRPr="005F0ACF">
              <w:rPr>
                <w:sz w:val="18"/>
                <w:szCs w:val="18"/>
              </w:rPr>
              <w:noBreakHyphen/>
              <w:t>18</w:t>
            </w:r>
          </w:p>
        </w:tc>
        <w:tc>
          <w:tcPr>
            <w:tcW w:w="921" w:type="dxa"/>
          </w:tcPr>
          <w:p w14:paraId="1CCB01D0" w14:textId="77777777" w:rsidR="00820A14" w:rsidRPr="005F0ACF" w:rsidRDefault="00820A14">
            <w:pPr>
              <w:pStyle w:val="TableHeading"/>
              <w:ind w:right="113"/>
              <w:rPr>
                <w:sz w:val="18"/>
                <w:szCs w:val="18"/>
              </w:rPr>
            </w:pPr>
            <w:r w:rsidRPr="005F0ACF">
              <w:rPr>
                <w:sz w:val="18"/>
                <w:szCs w:val="18"/>
              </w:rPr>
              <w:t>2018</w:t>
            </w:r>
            <w:r w:rsidRPr="005F0ACF">
              <w:rPr>
                <w:sz w:val="18"/>
                <w:szCs w:val="18"/>
              </w:rPr>
              <w:noBreakHyphen/>
              <w:t>19</w:t>
            </w:r>
          </w:p>
        </w:tc>
        <w:tc>
          <w:tcPr>
            <w:tcW w:w="921" w:type="dxa"/>
          </w:tcPr>
          <w:p w14:paraId="33114ABA" w14:textId="77777777" w:rsidR="00820A14" w:rsidRPr="005F0ACF" w:rsidRDefault="00820A14">
            <w:pPr>
              <w:pStyle w:val="TableHeading"/>
              <w:ind w:right="113"/>
              <w:rPr>
                <w:sz w:val="18"/>
                <w:szCs w:val="18"/>
              </w:rPr>
            </w:pPr>
            <w:r w:rsidRPr="005F0ACF">
              <w:rPr>
                <w:sz w:val="18"/>
                <w:szCs w:val="18"/>
              </w:rPr>
              <w:t>2019</w:t>
            </w:r>
            <w:r w:rsidRPr="005F0ACF">
              <w:rPr>
                <w:sz w:val="18"/>
                <w:szCs w:val="18"/>
              </w:rPr>
              <w:noBreakHyphen/>
              <w:t>20</w:t>
            </w:r>
          </w:p>
        </w:tc>
        <w:tc>
          <w:tcPr>
            <w:tcW w:w="922" w:type="dxa"/>
          </w:tcPr>
          <w:p w14:paraId="396C83F5" w14:textId="77777777" w:rsidR="00820A14" w:rsidRPr="005F0ACF" w:rsidRDefault="00820A14">
            <w:pPr>
              <w:pStyle w:val="TableHeading"/>
              <w:ind w:right="113"/>
              <w:rPr>
                <w:sz w:val="18"/>
                <w:szCs w:val="18"/>
              </w:rPr>
            </w:pPr>
            <w:r w:rsidRPr="005F0ACF">
              <w:rPr>
                <w:sz w:val="18"/>
                <w:szCs w:val="18"/>
              </w:rPr>
              <w:t>2020</w:t>
            </w:r>
            <w:r w:rsidRPr="005F0ACF">
              <w:rPr>
                <w:sz w:val="18"/>
                <w:szCs w:val="18"/>
              </w:rPr>
              <w:noBreakHyphen/>
              <w:t>21</w:t>
            </w:r>
          </w:p>
        </w:tc>
        <w:tc>
          <w:tcPr>
            <w:tcW w:w="921" w:type="dxa"/>
          </w:tcPr>
          <w:p w14:paraId="130F254C" w14:textId="77777777" w:rsidR="00820A14" w:rsidRPr="005F0ACF" w:rsidRDefault="00820A14">
            <w:pPr>
              <w:pStyle w:val="TableHeading"/>
              <w:ind w:right="113"/>
              <w:rPr>
                <w:sz w:val="18"/>
                <w:szCs w:val="18"/>
              </w:rPr>
            </w:pPr>
            <w:r w:rsidRPr="005F0ACF">
              <w:rPr>
                <w:sz w:val="18"/>
                <w:szCs w:val="18"/>
              </w:rPr>
              <w:t>2021</w:t>
            </w:r>
            <w:r w:rsidRPr="005F0ACF">
              <w:rPr>
                <w:sz w:val="18"/>
                <w:szCs w:val="18"/>
              </w:rPr>
              <w:noBreakHyphen/>
              <w:t>22</w:t>
            </w:r>
          </w:p>
        </w:tc>
        <w:tc>
          <w:tcPr>
            <w:tcW w:w="921" w:type="dxa"/>
          </w:tcPr>
          <w:p w14:paraId="47169F8A" w14:textId="77777777" w:rsidR="00820A14" w:rsidRPr="005F0ACF" w:rsidRDefault="00820A14">
            <w:pPr>
              <w:pStyle w:val="TableHeading"/>
              <w:ind w:right="113"/>
              <w:rPr>
                <w:sz w:val="18"/>
                <w:szCs w:val="18"/>
              </w:rPr>
            </w:pPr>
            <w:r w:rsidRPr="005F0ACF">
              <w:rPr>
                <w:sz w:val="18"/>
                <w:szCs w:val="18"/>
              </w:rPr>
              <w:t>2022</w:t>
            </w:r>
            <w:r w:rsidRPr="005F0ACF">
              <w:rPr>
                <w:sz w:val="18"/>
                <w:szCs w:val="18"/>
              </w:rPr>
              <w:noBreakHyphen/>
              <w:t>23</w:t>
            </w:r>
          </w:p>
        </w:tc>
        <w:tc>
          <w:tcPr>
            <w:tcW w:w="922" w:type="dxa"/>
          </w:tcPr>
          <w:p w14:paraId="49F33D2F" w14:textId="77777777" w:rsidR="00820A14" w:rsidRPr="005F0ACF" w:rsidRDefault="00820A14">
            <w:pPr>
              <w:pStyle w:val="TableHeading"/>
              <w:ind w:right="113"/>
              <w:rPr>
                <w:sz w:val="18"/>
                <w:szCs w:val="18"/>
              </w:rPr>
            </w:pPr>
            <w:r w:rsidRPr="005F0ACF">
              <w:rPr>
                <w:sz w:val="18"/>
                <w:szCs w:val="18"/>
              </w:rPr>
              <w:t>202</w:t>
            </w:r>
            <w:r>
              <w:rPr>
                <w:sz w:val="18"/>
                <w:szCs w:val="18"/>
              </w:rPr>
              <w:t>3</w:t>
            </w:r>
            <w:r w:rsidRPr="005F0ACF">
              <w:rPr>
                <w:sz w:val="18"/>
                <w:szCs w:val="18"/>
              </w:rPr>
              <w:noBreakHyphen/>
              <w:t>2</w:t>
            </w:r>
            <w:r>
              <w:rPr>
                <w:sz w:val="18"/>
                <w:szCs w:val="18"/>
              </w:rPr>
              <w:t>4</w:t>
            </w:r>
          </w:p>
        </w:tc>
      </w:tr>
      <w:tr w:rsidR="00820A14" w14:paraId="3B58C4C4" w14:textId="77777777">
        <w:trPr>
          <w:cnfStyle w:val="000000100000" w:firstRow="0" w:lastRow="0" w:firstColumn="0" w:lastColumn="0" w:oddVBand="0" w:evenVBand="0" w:oddHBand="1" w:evenHBand="0" w:firstRowFirstColumn="0" w:firstRowLastColumn="0" w:lastRowFirstColumn="0" w:lastRowLastColumn="0"/>
        </w:trPr>
        <w:tc>
          <w:tcPr>
            <w:tcW w:w="993" w:type="dxa"/>
          </w:tcPr>
          <w:p w14:paraId="0E5F2380" w14:textId="77777777" w:rsidR="00820A14" w:rsidRPr="00846AD5" w:rsidRDefault="00820A14">
            <w:pPr>
              <w:pStyle w:val="TableBody"/>
              <w:rPr>
                <w:sz w:val="20"/>
                <w:szCs w:val="20"/>
              </w:rPr>
            </w:pPr>
            <w:r w:rsidRPr="00846AD5">
              <w:rPr>
                <w:sz w:val="20"/>
                <w:szCs w:val="20"/>
              </w:rPr>
              <w:t>Cost of debt (nominal)</w:t>
            </w:r>
          </w:p>
        </w:tc>
        <w:tc>
          <w:tcPr>
            <w:tcW w:w="921" w:type="dxa"/>
          </w:tcPr>
          <w:p w14:paraId="72E19527" w14:textId="77777777" w:rsidR="00820A14" w:rsidRPr="00846AD5" w:rsidRDefault="00820A14">
            <w:pPr>
              <w:pStyle w:val="TableBody"/>
              <w:ind w:right="113"/>
              <w:jc w:val="right"/>
              <w:rPr>
                <w:sz w:val="20"/>
                <w:szCs w:val="20"/>
              </w:rPr>
            </w:pPr>
            <w:r w:rsidRPr="00846AD5">
              <w:rPr>
                <w:rFonts w:ascii="Arial" w:hAnsi="Arial" w:cs="Arial"/>
                <w:color w:val="000000"/>
              </w:rPr>
              <w:t>5.36%</w:t>
            </w:r>
          </w:p>
        </w:tc>
        <w:tc>
          <w:tcPr>
            <w:tcW w:w="921" w:type="dxa"/>
          </w:tcPr>
          <w:p w14:paraId="5323E716" w14:textId="77777777" w:rsidR="00820A14" w:rsidRPr="00846AD5" w:rsidRDefault="00820A14">
            <w:pPr>
              <w:pStyle w:val="TableBody"/>
              <w:ind w:right="113"/>
              <w:jc w:val="right"/>
              <w:rPr>
                <w:sz w:val="20"/>
                <w:szCs w:val="20"/>
              </w:rPr>
            </w:pPr>
            <w:r w:rsidRPr="00846AD5">
              <w:rPr>
                <w:rFonts w:ascii="Arial" w:hAnsi="Arial" w:cs="Arial"/>
                <w:color w:val="000000"/>
              </w:rPr>
              <w:t>5.27%</w:t>
            </w:r>
          </w:p>
        </w:tc>
        <w:tc>
          <w:tcPr>
            <w:tcW w:w="921" w:type="dxa"/>
          </w:tcPr>
          <w:p w14:paraId="236522D1" w14:textId="77777777" w:rsidR="00820A14" w:rsidRPr="00846AD5" w:rsidRDefault="00820A14">
            <w:pPr>
              <w:pStyle w:val="TableBody"/>
              <w:ind w:right="113"/>
              <w:jc w:val="right"/>
              <w:rPr>
                <w:sz w:val="20"/>
                <w:szCs w:val="20"/>
              </w:rPr>
            </w:pPr>
            <w:r w:rsidRPr="00846AD5">
              <w:rPr>
                <w:rFonts w:ascii="Arial" w:hAnsi="Arial" w:cs="Arial"/>
                <w:color w:val="000000"/>
              </w:rPr>
              <w:t>4.91%</w:t>
            </w:r>
          </w:p>
        </w:tc>
        <w:tc>
          <w:tcPr>
            <w:tcW w:w="922" w:type="dxa"/>
          </w:tcPr>
          <w:p w14:paraId="79F56E02" w14:textId="77777777" w:rsidR="00820A14" w:rsidRPr="00846AD5" w:rsidRDefault="00820A14">
            <w:pPr>
              <w:pStyle w:val="TableBody"/>
              <w:ind w:right="113"/>
              <w:jc w:val="right"/>
              <w:rPr>
                <w:sz w:val="20"/>
                <w:szCs w:val="20"/>
              </w:rPr>
            </w:pPr>
            <w:r w:rsidRPr="00846AD5">
              <w:rPr>
                <w:rFonts w:ascii="Arial" w:hAnsi="Arial" w:cs="Arial"/>
                <w:color w:val="000000"/>
              </w:rPr>
              <w:t>4.53%</w:t>
            </w:r>
          </w:p>
        </w:tc>
        <w:tc>
          <w:tcPr>
            <w:tcW w:w="921" w:type="dxa"/>
          </w:tcPr>
          <w:p w14:paraId="578A4ADF" w14:textId="77777777" w:rsidR="00820A14" w:rsidRPr="00846AD5" w:rsidRDefault="00820A14">
            <w:pPr>
              <w:pStyle w:val="TableBody"/>
              <w:ind w:right="113"/>
              <w:jc w:val="right"/>
              <w:rPr>
                <w:sz w:val="20"/>
                <w:szCs w:val="20"/>
              </w:rPr>
            </w:pPr>
            <w:r w:rsidRPr="00846AD5">
              <w:rPr>
                <w:rFonts w:ascii="Arial" w:hAnsi="Arial" w:cs="Arial"/>
                <w:color w:val="000000"/>
              </w:rPr>
              <w:t>4.61%</w:t>
            </w:r>
          </w:p>
        </w:tc>
        <w:tc>
          <w:tcPr>
            <w:tcW w:w="921" w:type="dxa"/>
          </w:tcPr>
          <w:p w14:paraId="6F67287F" w14:textId="77777777" w:rsidR="00820A14" w:rsidRPr="00846AD5" w:rsidRDefault="00820A14">
            <w:pPr>
              <w:pStyle w:val="TableBody"/>
              <w:ind w:right="113"/>
              <w:jc w:val="right"/>
              <w:rPr>
                <w:sz w:val="20"/>
                <w:szCs w:val="20"/>
              </w:rPr>
            </w:pPr>
            <w:r w:rsidRPr="00846AD5">
              <w:rPr>
                <w:rFonts w:ascii="Arial" w:hAnsi="Arial" w:cs="Arial"/>
                <w:color w:val="000000"/>
              </w:rPr>
              <w:t>3.31%</w:t>
            </w:r>
          </w:p>
        </w:tc>
        <w:tc>
          <w:tcPr>
            <w:tcW w:w="922" w:type="dxa"/>
          </w:tcPr>
          <w:p w14:paraId="63898805" w14:textId="77777777" w:rsidR="00820A14" w:rsidRPr="00846AD5" w:rsidRDefault="00820A14">
            <w:pPr>
              <w:pStyle w:val="TableBody"/>
              <w:ind w:right="113"/>
              <w:jc w:val="right"/>
              <w:rPr>
                <w:sz w:val="20"/>
                <w:szCs w:val="20"/>
              </w:rPr>
            </w:pPr>
            <w:r w:rsidRPr="00846AD5">
              <w:rPr>
                <w:rFonts w:ascii="Arial" w:hAnsi="Arial" w:cs="Arial"/>
                <w:color w:val="000000"/>
              </w:rPr>
              <w:t>3.05%</w:t>
            </w:r>
          </w:p>
        </w:tc>
        <w:tc>
          <w:tcPr>
            <w:tcW w:w="921" w:type="dxa"/>
          </w:tcPr>
          <w:p w14:paraId="2E3419A2" w14:textId="77777777" w:rsidR="00820A14" w:rsidRPr="00846AD5" w:rsidRDefault="00820A14">
            <w:pPr>
              <w:pStyle w:val="TableBody"/>
              <w:ind w:right="113"/>
              <w:jc w:val="right"/>
              <w:rPr>
                <w:sz w:val="20"/>
                <w:szCs w:val="20"/>
              </w:rPr>
            </w:pPr>
            <w:r w:rsidRPr="00846AD5">
              <w:rPr>
                <w:rFonts w:ascii="Arial" w:hAnsi="Arial" w:cs="Arial"/>
                <w:color w:val="000000"/>
              </w:rPr>
              <w:t>3.75%</w:t>
            </w:r>
          </w:p>
        </w:tc>
        <w:tc>
          <w:tcPr>
            <w:tcW w:w="921" w:type="dxa"/>
          </w:tcPr>
          <w:p w14:paraId="1FC83252" w14:textId="77777777" w:rsidR="00820A14" w:rsidRPr="00846AD5" w:rsidRDefault="00820A14">
            <w:pPr>
              <w:pStyle w:val="TableBody"/>
              <w:ind w:right="113"/>
              <w:jc w:val="right"/>
              <w:rPr>
                <w:sz w:val="20"/>
                <w:szCs w:val="20"/>
              </w:rPr>
            </w:pPr>
            <w:r w:rsidRPr="00846AD5">
              <w:rPr>
                <w:rFonts w:ascii="Arial" w:hAnsi="Arial" w:cs="Arial"/>
                <w:color w:val="000000"/>
              </w:rPr>
              <w:t>6.76%</w:t>
            </w:r>
          </w:p>
        </w:tc>
        <w:tc>
          <w:tcPr>
            <w:tcW w:w="922" w:type="dxa"/>
          </w:tcPr>
          <w:p w14:paraId="5E3F3ECA" w14:textId="77777777" w:rsidR="00820A14" w:rsidRPr="00846AD5" w:rsidRDefault="00820A14">
            <w:pPr>
              <w:pStyle w:val="TableBody"/>
              <w:ind w:right="113"/>
              <w:rPr>
                <w:b/>
                <w:sz w:val="20"/>
                <w:szCs w:val="20"/>
                <w:vertAlign w:val="superscript"/>
              </w:rPr>
            </w:pPr>
            <w:r w:rsidRPr="00846AD5">
              <w:rPr>
                <w:rFonts w:ascii="Arial" w:hAnsi="Arial" w:cs="Arial"/>
                <w:color w:val="000000"/>
                <w:sz w:val="20"/>
                <w:szCs w:val="20"/>
              </w:rPr>
              <w:t>6.76%</w:t>
            </w:r>
            <w:r w:rsidRPr="00846AD5">
              <w:rPr>
                <w:b/>
                <w:vertAlign w:val="superscript"/>
              </w:rPr>
              <w:t>a</w:t>
            </w:r>
          </w:p>
        </w:tc>
      </w:tr>
    </w:tbl>
    <w:p w14:paraId="578176EE" w14:textId="3FB61F72" w:rsidR="00820A14" w:rsidRDefault="00820A14" w:rsidP="00820A14">
      <w:pPr>
        <w:pStyle w:val="Source"/>
        <w:jc w:val="left"/>
      </w:pPr>
      <w:r w:rsidRPr="006470E0">
        <w:rPr>
          <w:b/>
          <w:bCs/>
        </w:rPr>
        <w:t>Note:</w:t>
      </w:r>
      <w:r>
        <w:t xml:space="preserve"> Numbers have been rounded. </w:t>
      </w:r>
      <w:r w:rsidRPr="006470E0">
        <w:rPr>
          <w:b/>
          <w:bCs/>
          <w:vertAlign w:val="superscript"/>
        </w:rPr>
        <w:t>a</w:t>
      </w:r>
      <w:r>
        <w:t xml:space="preserve"> Estimated cost of debt – we will update the 2023</w:t>
      </w:r>
      <w:r w:rsidR="008B7174">
        <w:t>-</w:t>
      </w:r>
      <w:r>
        <w:t xml:space="preserve">24 figure before the final decision and price determination. </w:t>
      </w:r>
    </w:p>
    <w:p w14:paraId="2906D7C0" w14:textId="2AF17C23" w:rsidR="00874DAA" w:rsidRDefault="00874DAA" w:rsidP="006470E0">
      <w:pPr>
        <w:pStyle w:val="Heading3"/>
      </w:pPr>
      <w:bookmarkStart w:id="125" w:name="_Toc122514868"/>
      <w:bookmarkStart w:id="126" w:name="_Toc149223942"/>
      <w:bookmarkStart w:id="127" w:name="_Toc149560268"/>
      <w:bookmarkStart w:id="128" w:name="_Toc150866252"/>
      <w:bookmarkStart w:id="129" w:name="_Toc160038322"/>
      <w:bookmarkStart w:id="130" w:name="_Toc161400039"/>
      <w:r>
        <w:t>4.4.2</w:t>
      </w:r>
      <w:r w:rsidR="00F13002" w:rsidRPr="00846AD5">
        <w:t xml:space="preserve"> </w:t>
      </w:r>
      <w:r>
        <w:tab/>
        <w:t>Return on equity</w:t>
      </w:r>
      <w:bookmarkEnd w:id="125"/>
      <w:bookmarkEnd w:id="126"/>
      <w:bookmarkEnd w:id="127"/>
      <w:bookmarkEnd w:id="128"/>
      <w:bookmarkEnd w:id="129"/>
      <w:bookmarkEnd w:id="130"/>
    </w:p>
    <w:p w14:paraId="2B2B1E8D" w14:textId="77777777" w:rsidR="008932DA" w:rsidRDefault="008932DA" w:rsidP="008932DA">
      <w:pPr>
        <w:pStyle w:val="Pull-out"/>
      </w:pPr>
      <w:r w:rsidRPr="00846AD5">
        <w:t>Our draft decision is to adopt a return on equity of 4.1 per cent, which reflects Goulburn-Murray Water’s ‘Standard’ PREMO self</w:t>
      </w:r>
      <w:r w:rsidRPr="00846AD5">
        <w:noBreakHyphen/>
        <w:t xml:space="preserve">rating. </w:t>
      </w:r>
    </w:p>
    <w:p w14:paraId="303FCA49" w14:textId="48E1407D" w:rsidR="008932DA" w:rsidRDefault="008932DA" w:rsidP="008932DA">
      <w:r>
        <w:t>Under our PREMO incentive mechanism, the return on equity we adopt to calculate the revenue requirement is linked to a business’s PREMO rating.</w:t>
      </w:r>
      <w:r w:rsidR="009C696F">
        <w:rPr>
          <w:rStyle w:val="FootnoteReference"/>
        </w:rPr>
        <w:footnoteReference w:id="61"/>
      </w:r>
      <w:r>
        <w:t xml:space="preserve"> As outlined in our guidance, the return on equity we adopt depends on a water corporation’s self</w:t>
      </w:r>
      <w:r>
        <w:noBreakHyphen/>
        <w:t>rating and whether we accept that rating.</w:t>
      </w:r>
    </w:p>
    <w:p w14:paraId="1A401BCD" w14:textId="6B0F06C1" w:rsidR="008932DA" w:rsidRDefault="008932DA" w:rsidP="008932DA">
      <w:r>
        <w:t>Our guidance included a matrix proposing the return on equity we would adopt, based on the combination of the corporation’s self</w:t>
      </w:r>
      <w:r>
        <w:noBreakHyphen/>
        <w:t>rating and our rating</w:t>
      </w:r>
      <w:r w:rsidDel="00CF7484">
        <w:t>.</w:t>
      </w:r>
      <w:r w:rsidR="002D01FA">
        <w:rPr>
          <w:rStyle w:val="FootnoteReference"/>
        </w:rPr>
        <w:footnoteReference w:id="62"/>
      </w:r>
      <w:r w:rsidDel="00CF7484">
        <w:t xml:space="preserve"> </w:t>
      </w:r>
      <w:r w:rsidRPr="00690C00" w:rsidDel="00CF7484">
        <w:t xml:space="preserve">We reviewed the return on equity values in the matrix </w:t>
      </w:r>
      <w:r w:rsidR="006D7765" w:rsidRPr="00690C00">
        <w:t>against</w:t>
      </w:r>
      <w:r w:rsidR="006D7765" w:rsidRPr="00690C00" w:rsidDel="007644AE">
        <w:t xml:space="preserve"> </w:t>
      </w:r>
      <w:r w:rsidR="00081F0B" w:rsidRPr="00690C00" w:rsidDel="007644AE">
        <w:t xml:space="preserve">the </w:t>
      </w:r>
      <w:r w:rsidR="00D44945" w:rsidRPr="00690C00" w:rsidDel="007644AE">
        <w:t xml:space="preserve">regulatory </w:t>
      </w:r>
      <w:r w:rsidR="00081F0B" w:rsidRPr="00690C00" w:rsidDel="007644AE">
        <w:t xml:space="preserve">decisions </w:t>
      </w:r>
      <w:r w:rsidR="00D76304" w:rsidRPr="00690C00" w:rsidDel="007644AE">
        <w:t xml:space="preserve">adopted by </w:t>
      </w:r>
      <w:r w:rsidR="006D7765" w:rsidRPr="00690C00" w:rsidDel="007644AE">
        <w:t xml:space="preserve">other water regulators </w:t>
      </w:r>
      <w:r w:rsidRPr="00690C00" w:rsidDel="007644AE">
        <w:t xml:space="preserve">in </w:t>
      </w:r>
      <w:r w:rsidR="00081F0B" w:rsidRPr="00690C00" w:rsidDel="007644AE">
        <w:t>Australia.</w:t>
      </w:r>
      <w:r w:rsidR="006D7765" w:rsidRPr="00690C00">
        <w:t xml:space="preserve"> </w:t>
      </w:r>
      <w:r w:rsidRPr="00690C00">
        <w:t xml:space="preserve"> </w:t>
      </w:r>
      <w:r>
        <w:t>We consider that the values in our matrix reflect the medium</w:t>
      </w:r>
      <w:r>
        <w:noBreakHyphen/>
        <w:t>term real rates of return.</w:t>
      </w:r>
      <w:r>
        <w:rPr>
          <w:rStyle w:val="FootnoteReference"/>
        </w:rPr>
        <w:footnoteReference w:id="63"/>
      </w:r>
    </w:p>
    <w:p w14:paraId="287753AD" w14:textId="77777777" w:rsidR="008932DA" w:rsidRPr="003C29F0" w:rsidRDefault="008932DA" w:rsidP="008932DA">
      <w:r w:rsidRPr="003C29F0">
        <w:t>Goulburn-Murray Water rated its price submission as ‘Standard’. Based on this PREMO self</w:t>
      </w:r>
      <w:r w:rsidRPr="003C29F0">
        <w:noBreakHyphen/>
        <w:t>rating, Goulburn-Murray Water proposed a return on equity of 4.1 per cent per annum. This reflects the maximum return rate allowed in our guidance for a price submission rated as ‘Standard’.</w:t>
      </w:r>
      <w:r w:rsidRPr="003C29F0">
        <w:rPr>
          <w:rStyle w:val="FootnoteReference"/>
        </w:rPr>
        <w:footnoteReference w:id="64"/>
      </w:r>
      <w:r w:rsidRPr="003C29F0">
        <w:t xml:space="preserve"> </w:t>
      </w:r>
    </w:p>
    <w:p w14:paraId="58A30B54" w14:textId="60FBF002" w:rsidR="008102D7" w:rsidRPr="00EE16AA" w:rsidRDefault="008932DA" w:rsidP="008102D7">
      <w:pPr>
        <w:rPr>
          <w:highlight w:val="yellow"/>
        </w:rPr>
      </w:pPr>
      <w:r w:rsidRPr="00186014">
        <w:lastRenderedPageBreak/>
        <w:t xml:space="preserve">As outlined in Chapter </w:t>
      </w:r>
      <w:r w:rsidR="00186014">
        <w:t>16</w:t>
      </w:r>
      <w:r w:rsidRPr="00186014">
        <w:t>, our draft decision is to agree with Goulburn-Murray Water’s PREMO self</w:t>
      </w:r>
      <w:r w:rsidRPr="00186014">
        <w:noBreakHyphen/>
        <w:t xml:space="preserve">rating and </w:t>
      </w:r>
      <w:r w:rsidR="00686EA0" w:rsidRPr="00186014">
        <w:t xml:space="preserve">therefore to </w:t>
      </w:r>
      <w:r w:rsidRPr="00186014">
        <w:t xml:space="preserve">adopt its proposed return on equity. </w:t>
      </w:r>
    </w:p>
    <w:p w14:paraId="0ABBFE2F" w14:textId="59EBCB94" w:rsidR="008102D7" w:rsidRDefault="008102D7" w:rsidP="008102D7">
      <w:pPr>
        <w:pStyle w:val="Heading2"/>
      </w:pPr>
      <w:bookmarkStart w:id="131" w:name="_Toc161400040"/>
      <w:r>
        <w:t>4.5</w:t>
      </w:r>
      <w:r>
        <w:tab/>
        <w:t>Regulatory depreciation</w:t>
      </w:r>
      <w:bookmarkEnd w:id="131"/>
      <w:r w:rsidR="00423B48">
        <w:t xml:space="preserve"> </w:t>
      </w:r>
    </w:p>
    <w:p w14:paraId="69130EAA" w14:textId="3CAC328C" w:rsidR="00286974" w:rsidRDefault="00286974" w:rsidP="00286974">
      <w:pPr>
        <w:pStyle w:val="Pull-out"/>
      </w:pPr>
      <w:r>
        <w:t xml:space="preserve">Our draft decision is to </w:t>
      </w:r>
      <w:r w:rsidRPr="00987590">
        <w:t>accept</w:t>
      </w:r>
      <w:r>
        <w:t xml:space="preserve"> Goulburn-Murray Water’s forecast regulatory depreciation.</w:t>
      </w:r>
    </w:p>
    <w:p w14:paraId="4DD88F35" w14:textId="1950B650" w:rsidR="00286974" w:rsidRPr="002E4141" w:rsidRDefault="00286974" w:rsidP="00286974">
      <w:r>
        <w:t xml:space="preserve">Regulatory depreciation is a component of Goulburn-Murray Water’s revenue requirement and is also an input to calculating the regulatory asset base. Goulburn-Murray Water’s forecast regulatory depreciation was calculated </w:t>
      </w:r>
      <w:r w:rsidRPr="00473E52">
        <w:t xml:space="preserve">using </w:t>
      </w:r>
      <w:r w:rsidRPr="002E4141">
        <w:t>a straight</w:t>
      </w:r>
      <w:r w:rsidRPr="002E4141">
        <w:noBreakHyphen/>
        <w:t>line depreciation.</w:t>
      </w:r>
      <w:r w:rsidRPr="002E4141">
        <w:rPr>
          <w:rStyle w:val="FootnoteReference"/>
        </w:rPr>
        <w:footnoteReference w:id="65"/>
      </w:r>
      <w:r w:rsidRPr="002E4141">
        <w:t xml:space="preserve"> We noted in our guidance that we prefer this approach.</w:t>
      </w:r>
      <w:r w:rsidRPr="002E4141">
        <w:rPr>
          <w:rStyle w:val="FootnoteReference"/>
        </w:rPr>
        <w:footnoteReference w:id="66"/>
      </w:r>
      <w:r w:rsidRPr="002E4141">
        <w:t xml:space="preserve"> For the </w:t>
      </w:r>
      <w:r w:rsidR="00D12128" w:rsidRPr="002E4141">
        <w:t>2024</w:t>
      </w:r>
      <w:r w:rsidR="009A05CC" w:rsidRPr="002E4141">
        <w:t>–28</w:t>
      </w:r>
      <w:r w:rsidRPr="002E4141">
        <w:t xml:space="preserve"> regulatory period, the total proposed depreciation is $54.1 million. </w:t>
      </w:r>
    </w:p>
    <w:p w14:paraId="675C18BA" w14:textId="5F46A6AC" w:rsidR="00E819D6" w:rsidRDefault="00286974" w:rsidP="008102D7">
      <w:r w:rsidRPr="002E4141">
        <w:t>Goulburn-Murray Water calculated regulatory depreciation in a manner consistent with our guidance. For th</w:t>
      </w:r>
      <w:r w:rsidR="00BD2D64" w:rsidRPr="002E4141">
        <w:t>is</w:t>
      </w:r>
      <w:r w:rsidRPr="002E4141">
        <w:t xml:space="preserve"> reason, our draft decision proposes to accept Goulburn-Murray Water’s forecast regulatory depreciation.</w:t>
      </w:r>
      <w:r w:rsidRPr="00473E52">
        <w:t xml:space="preserve"> </w:t>
      </w:r>
    </w:p>
    <w:p w14:paraId="588FC5BA" w14:textId="0A7E3A11" w:rsidR="008102D7" w:rsidRDefault="008102D7" w:rsidP="008102D7">
      <w:pPr>
        <w:pStyle w:val="Heading2"/>
      </w:pPr>
      <w:bookmarkStart w:id="132" w:name="_Toc161400041"/>
      <w:r>
        <w:t>4.6</w:t>
      </w:r>
      <w:r>
        <w:tab/>
        <w:t>Tax allowance</w:t>
      </w:r>
      <w:bookmarkEnd w:id="132"/>
      <w:r w:rsidR="00423B48">
        <w:t xml:space="preserve"> </w:t>
      </w:r>
    </w:p>
    <w:p w14:paraId="4A796E11" w14:textId="0F5258AA" w:rsidR="000A39E3" w:rsidRDefault="000A39E3" w:rsidP="000A39E3">
      <w:pPr>
        <w:pStyle w:val="Pull-out"/>
      </w:pPr>
      <w:r>
        <w:t xml:space="preserve">Our draft decision is to adopt </w:t>
      </w:r>
      <w:r w:rsidRPr="00064E14">
        <w:t>no tax allowance for the 2024–28</w:t>
      </w:r>
      <w:r>
        <w:t xml:space="preserve"> regulatory period.</w:t>
      </w:r>
    </w:p>
    <w:p w14:paraId="4F41B15A" w14:textId="42971AE8" w:rsidR="000A39E3" w:rsidRDefault="000A39E3" w:rsidP="000A39E3">
      <w:r>
        <w:t xml:space="preserve">The tax allowance is a component of the revenue requirement. Goulburn-Murray Water has proposed </w:t>
      </w:r>
      <w:r w:rsidRPr="00064E14">
        <w:t>no tax allowance in its revenue requirement for the 2024–28 regulatory period.</w:t>
      </w:r>
      <w:r w:rsidR="00883FA1">
        <w:rPr>
          <w:rStyle w:val="FootnoteReference"/>
        </w:rPr>
        <w:footnoteReference w:id="67"/>
      </w:r>
      <w:r w:rsidRPr="00064E14">
        <w:t xml:space="preserve"> Our draft decision is to accept the forecast as it was calculated consistently with the method required by our guidance.</w:t>
      </w:r>
      <w:r w:rsidRPr="00064E14">
        <w:rPr>
          <w:rStyle w:val="FootnoteReference"/>
        </w:rPr>
        <w:footnoteReference w:id="68"/>
      </w:r>
    </w:p>
    <w:p w14:paraId="2694E67C" w14:textId="77777777" w:rsidR="00874DAA" w:rsidRDefault="00874DAA" w:rsidP="006E5F9F"/>
    <w:p w14:paraId="710394E3" w14:textId="3B25A302" w:rsidR="00874DAA" w:rsidRDefault="00874DAA" w:rsidP="006E5F9F"/>
    <w:p w14:paraId="2BAD13DB" w14:textId="395AF206" w:rsidR="006E5F9F" w:rsidRDefault="006E5F9F" w:rsidP="006E5F9F">
      <w:pPr>
        <w:sectPr w:rsidR="006E5F9F" w:rsidSect="00DB48F2">
          <w:footerReference w:type="default" r:id="rId37"/>
          <w:pgSz w:w="11906" w:h="16838" w:code="9"/>
          <w:pgMar w:top="1134" w:right="1134" w:bottom="1134" w:left="1134" w:header="709" w:footer="692" w:gutter="0"/>
          <w:cols w:space="708"/>
          <w:docGrid w:linePitch="360"/>
        </w:sectPr>
      </w:pPr>
    </w:p>
    <w:p w14:paraId="404EB7D9" w14:textId="59AB12B4" w:rsidR="006E5F9F" w:rsidRDefault="00C335C1" w:rsidP="00F22C01">
      <w:pPr>
        <w:pStyle w:val="Heading1"/>
        <w:ind w:left="709" w:hanging="709"/>
      </w:pPr>
      <w:bookmarkStart w:id="133" w:name="_Toc161400042"/>
      <w:r>
        <w:lastRenderedPageBreak/>
        <w:t>5.</w:t>
      </w:r>
      <w:r>
        <w:tab/>
      </w:r>
      <w:r w:rsidR="00BB45EB" w:rsidRPr="00BB45EB">
        <w:t>Demand</w:t>
      </w:r>
      <w:bookmarkEnd w:id="133"/>
    </w:p>
    <w:p w14:paraId="02A88EFD" w14:textId="3FC1A1D6" w:rsidR="0040531C" w:rsidRPr="008A79E0" w:rsidRDefault="0040531C" w:rsidP="0040531C">
      <w:pPr>
        <w:pStyle w:val="Pull-out"/>
      </w:pPr>
      <w:r w:rsidRPr="008A79E0">
        <w:t xml:space="preserve">Our draft decision is to </w:t>
      </w:r>
      <w:r w:rsidRPr="00E349BD">
        <w:t>accept</w:t>
      </w:r>
      <w:r w:rsidRPr="008A79E0">
        <w:t xml:space="preserve"> Goulburn-Murray Water’s demand forecasts.</w:t>
      </w:r>
    </w:p>
    <w:p w14:paraId="15CB6FA0" w14:textId="77777777" w:rsidR="006A038E" w:rsidRDefault="006A038E" w:rsidP="006A038E">
      <w:r>
        <w:t>Once Goulburn-Murray Water’</w:t>
      </w:r>
      <w:r w:rsidRPr="00E52AFE">
        <w:t>s</w:t>
      </w:r>
      <w:r>
        <w:t xml:space="preserve"> revenue requirement is established, d</w:t>
      </w:r>
      <w:r w:rsidRPr="00E52AFE">
        <w:t xml:space="preserve">emand forecasts </w:t>
      </w:r>
      <w:r>
        <w:t xml:space="preserve">and </w:t>
      </w:r>
      <w:r w:rsidRPr="00E52AFE">
        <w:t xml:space="preserve">the form of price control </w:t>
      </w:r>
      <w:r>
        <w:t xml:space="preserve">are used </w:t>
      </w:r>
      <w:r w:rsidRPr="00E52AFE">
        <w:t xml:space="preserve">to </w:t>
      </w:r>
      <w:r>
        <w:t>transla</w:t>
      </w:r>
      <w:r w:rsidRPr="00E52AFE">
        <w:t>t</w:t>
      </w:r>
      <w:r>
        <w:t>e</w:t>
      </w:r>
      <w:r w:rsidRPr="00E52AFE">
        <w:t xml:space="preserve"> the revenue requirement </w:t>
      </w:r>
      <w:r>
        <w:t>in</w:t>
      </w:r>
      <w:r w:rsidRPr="00E52AFE">
        <w:t>to tariffs and prices</w:t>
      </w:r>
      <w:r>
        <w:t>.</w:t>
      </w:r>
      <w:r w:rsidRPr="007C6CD7">
        <w:rPr>
          <w:color w:val="B5082E"/>
        </w:rPr>
        <w:t xml:space="preserve"> </w:t>
      </w:r>
      <w:r w:rsidRPr="00FB1963">
        <w:t xml:space="preserve">Our draft decision on demand is set out in this </w:t>
      </w:r>
      <w:r>
        <w:t>c</w:t>
      </w:r>
      <w:r w:rsidRPr="00FB1963">
        <w:t xml:space="preserve">hapter, and our draft decisions on form of control and tariffs and prices are set out in </w:t>
      </w:r>
      <w:r>
        <w:t>c</w:t>
      </w:r>
      <w:r w:rsidRPr="00FB1963">
        <w:t>hapters 6 to 14.</w:t>
      </w:r>
    </w:p>
    <w:p w14:paraId="17821F88" w14:textId="77777777" w:rsidR="0040531C" w:rsidRDefault="0040531C" w:rsidP="0040531C">
      <w:r>
        <w:t xml:space="preserve">Along with the revenue requirement, demand forecasts are an input to calculating prices. </w:t>
      </w:r>
    </w:p>
    <w:p w14:paraId="093AD2B7" w14:textId="66022C6F" w:rsidR="0040531C" w:rsidRDefault="0040531C" w:rsidP="0040531C">
      <w:r>
        <w:t xml:space="preserve">Goulburn-Murray Water’s demand forecasts are set out </w:t>
      </w:r>
      <w:r w:rsidRPr="00E349BD">
        <w:t>on</w:t>
      </w:r>
      <w:r>
        <w:t xml:space="preserve"> pages </w:t>
      </w:r>
      <w:r w:rsidRPr="00E349BD">
        <w:t>68</w:t>
      </w:r>
      <w:r>
        <w:t xml:space="preserve"> to </w:t>
      </w:r>
      <w:r w:rsidRPr="00E349BD">
        <w:t>77</w:t>
      </w:r>
      <w:r>
        <w:t xml:space="preserve"> of its price submission and are also included in its financial model.</w:t>
      </w:r>
      <w:r w:rsidR="00877E63" w:rsidRPr="00E349BD">
        <w:rPr>
          <w:rStyle w:val="FootnoteReference"/>
        </w:rPr>
        <w:footnoteReference w:id="69"/>
      </w:r>
      <w:r>
        <w:t xml:space="preserve"> </w:t>
      </w:r>
    </w:p>
    <w:p w14:paraId="30B26516" w14:textId="0ED9ECD4" w:rsidR="0040531C" w:rsidRPr="00B900D9" w:rsidRDefault="0040531C" w:rsidP="0040531C">
      <w:r>
        <w:t xml:space="preserve">Our draft decision is to </w:t>
      </w:r>
      <w:r w:rsidRPr="00E349BD">
        <w:t xml:space="preserve">accept Goulburn-Murray Water’s demand forecasts for the purpose of approving maximum prices, because they were developed consistently with the requirements of </w:t>
      </w:r>
      <w:r w:rsidRPr="00244841">
        <w:t>our guidance</w:t>
      </w:r>
      <w:r w:rsidR="00560411" w:rsidRPr="00244841">
        <w:t xml:space="preserve"> – we consider they have used</w:t>
      </w:r>
      <w:r w:rsidR="009319AB" w:rsidRPr="00244841">
        <w:t xml:space="preserve"> the best available estimates </w:t>
      </w:r>
      <w:r w:rsidR="00133A34" w:rsidRPr="00244841">
        <w:t>derived from appropriate forecasting methodology</w:t>
      </w:r>
      <w:r w:rsidRPr="00244841">
        <w:t>.</w:t>
      </w:r>
      <w:r w:rsidRPr="00244841">
        <w:rPr>
          <w:rStyle w:val="FootnoteReference"/>
        </w:rPr>
        <w:footnoteReference w:id="70"/>
      </w:r>
      <w:r w:rsidRPr="00B900D9">
        <w:t xml:space="preserve"> </w:t>
      </w:r>
    </w:p>
    <w:p w14:paraId="4C50D6DA" w14:textId="77777777" w:rsidR="00E1465E" w:rsidRDefault="00E1465E" w:rsidP="001C5DF0">
      <w:pPr>
        <w:sectPr w:rsidR="00E1465E" w:rsidSect="00DB48F2">
          <w:footerReference w:type="default" r:id="rId38"/>
          <w:pgSz w:w="11906" w:h="16838" w:code="9"/>
          <w:pgMar w:top="1134" w:right="1134" w:bottom="1134" w:left="1134" w:header="709" w:footer="692" w:gutter="0"/>
          <w:cols w:space="708"/>
          <w:docGrid w:linePitch="360"/>
        </w:sectPr>
      </w:pPr>
    </w:p>
    <w:p w14:paraId="03D745D5" w14:textId="77777777" w:rsidR="00F25165" w:rsidRPr="00B55CF5" w:rsidRDefault="00F25165" w:rsidP="001C5DF0"/>
    <w:p w14:paraId="09F87696" w14:textId="06382BF6" w:rsidR="00765356" w:rsidRDefault="00F93902" w:rsidP="00F93902">
      <w:pPr>
        <w:pStyle w:val="Heading1"/>
      </w:pPr>
      <w:bookmarkStart w:id="134" w:name="_Toc161400043"/>
      <w:r>
        <w:lastRenderedPageBreak/>
        <w:t>6.</w:t>
      </w:r>
      <w:r w:rsidR="00585C26">
        <w:tab/>
      </w:r>
      <w:r w:rsidR="00765356">
        <w:t>Form of price control</w:t>
      </w:r>
      <w:bookmarkEnd w:id="134"/>
      <w:r w:rsidR="001850A8">
        <w:t xml:space="preserve"> </w:t>
      </w:r>
    </w:p>
    <w:p w14:paraId="0E13F883" w14:textId="77777777" w:rsidR="00666A5A" w:rsidRDefault="00666A5A" w:rsidP="00666A5A">
      <w:pPr>
        <w:pStyle w:val="Pull-out"/>
      </w:pPr>
      <w:r>
        <w:t xml:space="preserve">Our draft decision is to </w:t>
      </w:r>
      <w:r w:rsidRPr="00BB489A">
        <w:t>accept</w:t>
      </w:r>
      <w:r>
        <w:t xml:space="preserve"> Goulburn-Murray Water’s proposed </w:t>
      </w:r>
      <w:r w:rsidRPr="00BB489A">
        <w:t>revenue cap</w:t>
      </w:r>
      <w:r>
        <w:t xml:space="preserve"> form of price control.</w:t>
      </w:r>
    </w:p>
    <w:p w14:paraId="7C22030A" w14:textId="306728C5" w:rsidR="00666A5A" w:rsidRDefault="00666A5A" w:rsidP="00666A5A">
      <w:r>
        <w:t xml:space="preserve">Our guidance indicated we would have particular regard to whether a </w:t>
      </w:r>
      <w:r w:rsidR="00190E6F">
        <w:t xml:space="preserve">water </w:t>
      </w:r>
      <w:r>
        <w:t>corporation proposed to continue its existing form of price control or introduce a new form.</w:t>
      </w:r>
      <w:r>
        <w:rPr>
          <w:rStyle w:val="FootnoteReference"/>
        </w:rPr>
        <w:footnoteReference w:id="71"/>
      </w:r>
      <w:r>
        <w:t xml:space="preserve"> </w:t>
      </w:r>
    </w:p>
    <w:p w14:paraId="19795116" w14:textId="0755A579" w:rsidR="00666A5A" w:rsidRPr="00BB489A" w:rsidRDefault="00666A5A" w:rsidP="00E11BD9">
      <w:r w:rsidRPr="00BB489A">
        <w:t xml:space="preserve">Goulburn-Murray Water proposed a revenue cap form of price control as set out on page 51 of its price submission. It also proposed a rebalancing constraint of </w:t>
      </w:r>
      <w:r w:rsidRPr="00BB489A">
        <w:rPr>
          <w:rFonts w:cstheme="minorHAnsi"/>
        </w:rPr>
        <w:t>±</w:t>
      </w:r>
      <w:r w:rsidRPr="00BB489A">
        <w:t xml:space="preserve"> 10 per cent to apply to all its prescribed services. This is the same as Goulburn-Murray Water’s current approach.</w:t>
      </w:r>
      <w:r w:rsidR="00EC1088" w:rsidRPr="00BB489A">
        <w:rPr>
          <w:rStyle w:val="FootnoteReference"/>
        </w:rPr>
        <w:t xml:space="preserve"> </w:t>
      </w:r>
      <w:r w:rsidR="00EC1088" w:rsidRPr="00BB489A">
        <w:rPr>
          <w:rStyle w:val="FootnoteReference"/>
        </w:rPr>
        <w:footnoteReference w:id="72"/>
      </w:r>
    </w:p>
    <w:p w14:paraId="09C4AC03" w14:textId="3ECF6190" w:rsidR="00666A5A" w:rsidRPr="00E82F16" w:rsidRDefault="00666A5A" w:rsidP="00666A5A">
      <w:r w:rsidRPr="00E82F16">
        <w:t xml:space="preserve">Around 90 per cent of Goulburn-Murray Water’s costs and prices are fixed so the potential risk of annual price variations is limited under its proposed form of price control and rebalancing constraint. We consider Goulburn-Murray Water’s current revenue cap </w:t>
      </w:r>
      <w:r w:rsidR="00374AEF" w:rsidRPr="00E82F16">
        <w:t xml:space="preserve">is </w:t>
      </w:r>
      <w:r w:rsidR="008144E1" w:rsidRPr="00E82F16">
        <w:t xml:space="preserve">an </w:t>
      </w:r>
      <w:r w:rsidR="00374AEF" w:rsidRPr="00E82F16">
        <w:t>appropriate for</w:t>
      </w:r>
      <w:r w:rsidR="008144E1" w:rsidRPr="00E82F16">
        <w:t>m of control for a rural water</w:t>
      </w:r>
      <w:r w:rsidRPr="00E82F16">
        <w:t xml:space="preserve"> business </w:t>
      </w:r>
      <w:r w:rsidR="00092DEF" w:rsidRPr="00E82F16">
        <w:t xml:space="preserve">because it </w:t>
      </w:r>
      <w:r w:rsidR="002429B0" w:rsidRPr="00E82F16">
        <w:t xml:space="preserve">helps </w:t>
      </w:r>
      <w:r w:rsidR="00E30109" w:rsidRPr="00E82F16">
        <w:t xml:space="preserve">to </w:t>
      </w:r>
      <w:r w:rsidR="00092DEF" w:rsidRPr="00E82F16">
        <w:t xml:space="preserve">ensure </w:t>
      </w:r>
      <w:r w:rsidR="00CC5A1A" w:rsidRPr="00E82F16">
        <w:t>price stability.</w:t>
      </w:r>
      <w:r w:rsidR="00040B64" w:rsidRPr="00E82F16">
        <w:t xml:space="preserve"> </w:t>
      </w:r>
    </w:p>
    <w:p w14:paraId="59079C58" w14:textId="4BC26460" w:rsidR="00666A5A" w:rsidRPr="00B55FF3" w:rsidRDefault="00666A5A" w:rsidP="00666A5A">
      <w:r w:rsidRPr="00B55FF3">
        <w:t xml:space="preserve">Our draft decision is to accept Goulburn-Murray Water’s proposed form of price control with a rebalancing constraint of </w:t>
      </w:r>
      <w:r w:rsidRPr="00B55FF3">
        <w:rPr>
          <w:rFonts w:cstheme="minorHAnsi"/>
        </w:rPr>
        <w:t>±</w:t>
      </w:r>
      <w:r w:rsidRPr="00B55FF3">
        <w:t xml:space="preserve"> 10 per cent because</w:t>
      </w:r>
      <w:r w:rsidR="002E19EC">
        <w:t xml:space="preserve"> </w:t>
      </w:r>
      <w:r w:rsidR="005B474C">
        <w:t>this method</w:t>
      </w:r>
      <w:r w:rsidRPr="00B55FF3">
        <w:t>:</w:t>
      </w:r>
    </w:p>
    <w:p w14:paraId="1405D116" w14:textId="595F2A13" w:rsidR="00666A5A" w:rsidRPr="00B55FF3" w:rsidRDefault="00666A5A" w:rsidP="00821A3A">
      <w:pPr>
        <w:pStyle w:val="ListBullet"/>
      </w:pPr>
      <w:r w:rsidRPr="00B55FF3">
        <w:t>largely reflects a continuation of current arrangements</w:t>
      </w:r>
    </w:p>
    <w:p w14:paraId="3E32E8CC" w14:textId="32DE096C" w:rsidR="00666A5A" w:rsidRPr="00B55FF3" w:rsidRDefault="00666A5A" w:rsidP="00821A3A">
      <w:pPr>
        <w:pStyle w:val="ListBullet"/>
      </w:pPr>
      <w:r w:rsidRPr="00B55FF3">
        <w:t>includes appropriate safety mechanism to support price stability and protect customers from price shocks</w:t>
      </w:r>
    </w:p>
    <w:p w14:paraId="431CCC16" w14:textId="0B1C4B01" w:rsidR="00FD71C6" w:rsidRDefault="00666A5A" w:rsidP="00821A3A">
      <w:pPr>
        <w:pStyle w:val="ListBullet"/>
      </w:pPr>
      <w:r w:rsidRPr="00B55FF3">
        <w:t>balances the requirements of revenue and price stability by allowing over and under recoveries of the revenue cap to be passed through to customers</w:t>
      </w:r>
    </w:p>
    <w:p w14:paraId="7AE39A6E" w14:textId="577625E0" w:rsidR="00D52FED" w:rsidRDefault="00666A5A" w:rsidP="00821A3A">
      <w:pPr>
        <w:pStyle w:val="ListBullet"/>
        <w:sectPr w:rsidR="00D52FED" w:rsidSect="00DB48F2">
          <w:footerReference w:type="default" r:id="rId39"/>
          <w:type w:val="continuous"/>
          <w:pgSz w:w="11906" w:h="16838" w:code="9"/>
          <w:pgMar w:top="1134" w:right="1134" w:bottom="1134" w:left="1134" w:header="709" w:footer="692" w:gutter="0"/>
          <w:cols w:space="708"/>
          <w:docGrid w:linePitch="360"/>
        </w:sectPr>
      </w:pPr>
      <w:r w:rsidRPr="00B55FF3">
        <w:t>i</w:t>
      </w:r>
      <w:r w:rsidR="007177E0">
        <w:t xml:space="preserve">s </w:t>
      </w:r>
      <w:r w:rsidRPr="00B55FF3">
        <w:t>consistent with the requirements of our guidance.</w:t>
      </w:r>
    </w:p>
    <w:p w14:paraId="5A780816" w14:textId="09AA9E8D" w:rsidR="00765356" w:rsidRDefault="00765356" w:rsidP="00D52FED"/>
    <w:p w14:paraId="4039C22C" w14:textId="0499BD19" w:rsidR="00A24C04" w:rsidRDefault="00962707" w:rsidP="00962707">
      <w:pPr>
        <w:pStyle w:val="Heading1"/>
      </w:pPr>
      <w:bookmarkStart w:id="136" w:name="_Toc122514876"/>
      <w:bookmarkStart w:id="137" w:name="_Toc149223949"/>
      <w:bookmarkStart w:id="138" w:name="_Toc149560275"/>
      <w:bookmarkStart w:id="139" w:name="_Toc161400044"/>
      <w:bookmarkStart w:id="140" w:name="_Toc150866259"/>
      <w:r>
        <w:lastRenderedPageBreak/>
        <w:t>7.</w:t>
      </w:r>
      <w:r w:rsidR="00EC7DB1">
        <w:tab/>
      </w:r>
      <w:bookmarkEnd w:id="136"/>
      <w:bookmarkEnd w:id="137"/>
      <w:bookmarkEnd w:id="138"/>
      <w:r w:rsidR="00212D34">
        <w:t>I</w:t>
      </w:r>
      <w:r w:rsidR="00212D34" w:rsidRPr="00212D34">
        <w:t>rrigation and drainage tariffs</w:t>
      </w:r>
      <w:bookmarkEnd w:id="139"/>
      <w:r w:rsidR="00212D34" w:rsidRPr="00212D34">
        <w:t xml:space="preserve"> </w:t>
      </w:r>
      <w:bookmarkEnd w:id="140"/>
    </w:p>
    <w:p w14:paraId="2280EE90" w14:textId="77777777" w:rsidR="00AE4211" w:rsidRDefault="00AE4211" w:rsidP="00AE4211">
      <w:pPr>
        <w:pStyle w:val="Pull-out"/>
      </w:pPr>
      <w:r w:rsidRPr="004E4D1B">
        <w:t>Our draft decision is to accept Goulburn-Murray Water’s proposed tariff structures for irrigation and drainage.</w:t>
      </w:r>
    </w:p>
    <w:p w14:paraId="474CE221" w14:textId="5E703269" w:rsidR="00AE4211" w:rsidRPr="00AB52F3" w:rsidRDefault="00AE4211" w:rsidP="00AE4211">
      <w:r w:rsidRPr="00AB52F3">
        <w:t>Goulburn-Murray Water provides gravity irrigation and drainage services to the Goulburn-Murray irrigation district (GMID) which covers 6 irrigation districts, namely Central Goulburn, Loddon Valley, Murray Valley, Rochester, Torrumbarry and Shepparton. Goulburn-Murray Water also provides pumped irrigation and drainage services to customers in the Nyah, Tresco and Woorinen pumped irrigation districts, and drainage services to customers in Tyntynder.</w:t>
      </w:r>
      <w:r w:rsidR="0061367C" w:rsidRPr="00AB52F3">
        <w:rPr>
          <w:rStyle w:val="FootnoteReference"/>
        </w:rPr>
        <w:footnoteReference w:id="73"/>
      </w:r>
      <w:r w:rsidRPr="00AB52F3">
        <w:t xml:space="preserve">  </w:t>
      </w:r>
    </w:p>
    <w:p w14:paraId="6B8BE154" w14:textId="77777777" w:rsidR="00AE4211" w:rsidRPr="00AB52F3" w:rsidRDefault="00AE4211" w:rsidP="00AE4211">
      <w:r w:rsidRPr="00AB52F3">
        <w:t xml:space="preserve">Goulburn-Murray Water’s proposed tariffs are set out on pages 78 to 103 of its price submission. </w:t>
      </w:r>
    </w:p>
    <w:p w14:paraId="70504F72" w14:textId="77777777" w:rsidR="00AE4211" w:rsidRPr="006B3F8E" w:rsidRDefault="00AE4211" w:rsidP="00EE57DF">
      <w:pPr>
        <w:pStyle w:val="Heading2"/>
      </w:pPr>
      <w:bookmarkStart w:id="141" w:name="_Toc161400045"/>
      <w:r w:rsidRPr="006B3F8E">
        <w:t>7.1</w:t>
      </w:r>
      <w:r w:rsidRPr="006B3F8E">
        <w:tab/>
        <w:t>Tariff structures</w:t>
      </w:r>
      <w:bookmarkEnd w:id="141"/>
      <w:r w:rsidRPr="006B3F8E">
        <w:t xml:space="preserve"> </w:t>
      </w:r>
    </w:p>
    <w:p w14:paraId="5404B309" w14:textId="77777777" w:rsidR="00AE4211" w:rsidRPr="006B3F8E" w:rsidRDefault="00AE4211" w:rsidP="00EE57DF">
      <w:pPr>
        <w:pStyle w:val="Heading3"/>
      </w:pPr>
      <w:bookmarkStart w:id="142" w:name="_Toc160038329"/>
      <w:bookmarkStart w:id="143" w:name="_Toc161400046"/>
      <w:r w:rsidRPr="006B3F8E">
        <w:t>7.1.1 Irrigation</w:t>
      </w:r>
      <w:bookmarkEnd w:id="142"/>
      <w:bookmarkEnd w:id="143"/>
    </w:p>
    <w:p w14:paraId="53554C64" w14:textId="77777777" w:rsidR="00AE4211" w:rsidRPr="006B3F8E" w:rsidRDefault="00AE4211" w:rsidP="00AE4211">
      <w:r w:rsidRPr="006B3F8E">
        <w:t xml:space="preserve">Goulburn-Murray Water proposed to maintain its existing tariff structures for its irrigation services. </w:t>
      </w:r>
    </w:p>
    <w:p w14:paraId="0A60764B" w14:textId="68D02FDE" w:rsidR="00AE4211" w:rsidRPr="006B3F8E" w:rsidRDefault="00AE4211" w:rsidP="00AE4211">
      <w:r w:rsidRPr="006B3F8E">
        <w:t xml:space="preserve">The main fees for irrigation services are the infrastructure access fee, infrastructure use fee, service point fee (discussed in </w:t>
      </w:r>
      <w:r w:rsidR="00766E66" w:rsidRPr="006B3F8E">
        <w:t>Chapter 10</w:t>
      </w:r>
      <w:r w:rsidRPr="006B3F8E">
        <w:t>) and entitlement storage fee (discussed in</w:t>
      </w:r>
      <w:r>
        <w:t xml:space="preserve"> </w:t>
      </w:r>
      <w:r w:rsidR="006362D8" w:rsidRPr="006B3F8E">
        <w:t xml:space="preserve">Chapter </w:t>
      </w:r>
      <w:r w:rsidR="008122E6" w:rsidRPr="006B3F8E">
        <w:t>9</w:t>
      </w:r>
      <w:r w:rsidRPr="006B3F8E">
        <w:t>).  All customers also pay an additional annual customer fee and water register fee.</w:t>
      </w:r>
    </w:p>
    <w:p w14:paraId="31A6C62E" w14:textId="2A6110D9" w:rsidR="00AE4211" w:rsidRPr="006B3F8E" w:rsidRDefault="00AE4211" w:rsidP="00AE4211">
      <w:r w:rsidRPr="006B3F8E">
        <w:t>Our draft decision is to accept Goulburn-Murray Water’s proposed irrigation tariff structures, on the basis that they are generally a continuation of Goulburn-Murray Water’s current approach</w:t>
      </w:r>
      <w:r w:rsidR="00D268EC" w:rsidRPr="006B3F8E">
        <w:t>,</w:t>
      </w:r>
      <w:r w:rsidRPr="006B3F8E">
        <w:t xml:space="preserve"> otherwise meet the criteria in our guidance and are generally supported by its customers.</w:t>
      </w:r>
      <w:r w:rsidR="00145A4F" w:rsidRPr="006B3F8E">
        <w:rPr>
          <w:rStyle w:val="FootnoteReference"/>
        </w:rPr>
        <w:footnoteReference w:id="74"/>
      </w:r>
      <w:r w:rsidRPr="006B3F8E">
        <w:t xml:space="preserve">  </w:t>
      </w:r>
    </w:p>
    <w:p w14:paraId="660DAF9F" w14:textId="77777777" w:rsidR="00AE4211" w:rsidRPr="009A6D3A" w:rsidRDefault="00AE4211" w:rsidP="00194467">
      <w:pPr>
        <w:pStyle w:val="Heading3"/>
      </w:pPr>
      <w:bookmarkStart w:id="144" w:name="_Toc160038330"/>
      <w:bookmarkStart w:id="145" w:name="_Toc161400047"/>
      <w:r w:rsidRPr="009A6D3A">
        <w:t>7.1.2 Drainage</w:t>
      </w:r>
      <w:bookmarkEnd w:id="144"/>
      <w:bookmarkEnd w:id="145"/>
    </w:p>
    <w:p w14:paraId="36174998" w14:textId="089EABFE" w:rsidR="00AE4211" w:rsidRPr="009A6D3A" w:rsidRDefault="00AE4211" w:rsidP="00AE4211">
      <w:r w:rsidRPr="009A6D3A">
        <w:t xml:space="preserve">Goulburn-Murray Water operates and maintains a network of surface drains of various ages, design standards and levels of service across </w:t>
      </w:r>
      <w:r w:rsidR="006B1618" w:rsidRPr="00F10B5D">
        <w:t>GMID</w:t>
      </w:r>
      <w:r w:rsidRPr="00F10B5D">
        <w:t>.</w:t>
      </w:r>
      <w:r w:rsidRPr="009A6D3A">
        <w:t xml:space="preserve"> It applies various rates and charges which are set on an annual basis to raise revenue for funding of the operation, maintenance and replacement of the drainage infrastructure.</w:t>
      </w:r>
    </w:p>
    <w:p w14:paraId="366F1619" w14:textId="5642F4E9" w:rsidR="00AE4211" w:rsidRPr="009A6D3A" w:rsidRDefault="00AE4211" w:rsidP="00AE4211">
      <w:r w:rsidRPr="009A6D3A">
        <w:t xml:space="preserve">Goulburn-Murray Water proposed </w:t>
      </w:r>
      <w:r w:rsidR="00223323" w:rsidRPr="009A6D3A">
        <w:t>to</w:t>
      </w:r>
      <w:r w:rsidRPr="009A6D3A">
        <w:t>:</w:t>
      </w:r>
    </w:p>
    <w:p w14:paraId="5EAF9AAA" w14:textId="0165C830" w:rsidR="00AE4211" w:rsidRPr="009A6D3A" w:rsidRDefault="00926100" w:rsidP="00821A3A">
      <w:pPr>
        <w:pStyle w:val="ListBullet"/>
      </w:pPr>
      <w:r w:rsidRPr="004F3331">
        <w:t>r</w:t>
      </w:r>
      <w:r w:rsidR="00AE4211" w:rsidRPr="004F3331">
        <w:t>educe</w:t>
      </w:r>
      <w:r w:rsidR="00AE4211" w:rsidRPr="009A6D3A">
        <w:t xml:space="preserve"> the number of surface and subsurface drainage pricing entities by amalgamating existing </w:t>
      </w:r>
      <w:r w:rsidR="00FA6141" w:rsidRPr="009A6D3A">
        <w:t>pricing zones</w:t>
      </w:r>
    </w:p>
    <w:p w14:paraId="11CD66F1" w14:textId="7B61622A" w:rsidR="00AE4211" w:rsidRPr="00054D88" w:rsidRDefault="00926100" w:rsidP="00821A3A">
      <w:pPr>
        <w:pStyle w:val="ListBullet"/>
      </w:pPr>
      <w:r w:rsidRPr="00054D88">
        <w:lastRenderedPageBreak/>
        <w:t>p</w:t>
      </w:r>
      <w:r w:rsidR="00AE4211" w:rsidRPr="00054D88">
        <w:t>hase out the surface and subsurface drainage water use fees over 2024</w:t>
      </w:r>
      <w:r w:rsidR="004C1E6F" w:rsidRPr="00054D88">
        <w:t>-</w:t>
      </w:r>
      <w:r w:rsidR="00AE4211" w:rsidRPr="00054D88">
        <w:t>25 to 2031</w:t>
      </w:r>
      <w:r w:rsidR="004C1E6F" w:rsidRPr="00054D88">
        <w:t>-</w:t>
      </w:r>
      <w:r w:rsidR="00AE4211" w:rsidRPr="00054D88">
        <w:t xml:space="preserve">32 (since this is no longer the driver of drain costs) accompanied by </w:t>
      </w:r>
      <w:r w:rsidR="000979A5" w:rsidRPr="002E7F70">
        <w:t>an</w:t>
      </w:r>
      <w:r w:rsidR="00AE4211" w:rsidRPr="002E7F70">
        <w:t xml:space="preserve"> increase in area fee (</w:t>
      </w:r>
      <w:r w:rsidR="00AE4211" w:rsidRPr="00054D88">
        <w:t xml:space="preserve">since rainfall runoff from irrigated and unirrigated land is now similar)  </w:t>
      </w:r>
    </w:p>
    <w:p w14:paraId="0FF2F6B5" w14:textId="072CFC38" w:rsidR="00AE4211" w:rsidRPr="00054D88" w:rsidRDefault="00F83E95" w:rsidP="00821A3A">
      <w:pPr>
        <w:pStyle w:val="ListBullet"/>
      </w:pPr>
      <w:r w:rsidRPr="00054D88">
        <w:t>c</w:t>
      </w:r>
      <w:r w:rsidR="00AE4211" w:rsidRPr="00054D88">
        <w:t>ombine its primary and community surface drain tariffs from 2025</w:t>
      </w:r>
      <w:r w:rsidR="004C151E" w:rsidRPr="00054D88">
        <w:t>-</w:t>
      </w:r>
      <w:r w:rsidR="00AE4211" w:rsidRPr="00054D88">
        <w:t>26</w:t>
      </w:r>
    </w:p>
    <w:p w14:paraId="76EF3858" w14:textId="63D49F3F" w:rsidR="00AE4211" w:rsidRPr="00054D88" w:rsidRDefault="00942ED0" w:rsidP="00821A3A">
      <w:pPr>
        <w:pStyle w:val="ListBullet"/>
      </w:pPr>
      <w:r w:rsidRPr="00054D88">
        <w:t>i</w:t>
      </w:r>
      <w:r w:rsidR="00AE4211" w:rsidRPr="00054D88">
        <w:t>mplement a standard drain diversion site fee of $55 in 2024</w:t>
      </w:r>
      <w:r w:rsidR="00B67331" w:rsidRPr="00054D88">
        <w:t>-</w:t>
      </w:r>
      <w:r w:rsidR="00AE4211" w:rsidRPr="00054D88">
        <w:t>25 and remove the agreement volume fee for surface drainage.</w:t>
      </w:r>
    </w:p>
    <w:p w14:paraId="525189D2" w14:textId="0C9BF5A3" w:rsidR="00AE4211" w:rsidRPr="008419F2" w:rsidRDefault="00AE4211" w:rsidP="00AE4211">
      <w:r w:rsidRPr="008419F2">
        <w:t xml:space="preserve">Goulburn-Murray Water </w:t>
      </w:r>
      <w:r w:rsidRPr="00261880">
        <w:t>propos</w:t>
      </w:r>
      <w:r w:rsidR="00261880" w:rsidRPr="00261880">
        <w:t>ed</w:t>
      </w:r>
      <w:r w:rsidRPr="008419F2">
        <w:t xml:space="preserve"> to simplify its surface and subsurface drainage tariff structure </w:t>
      </w:r>
      <w:r w:rsidR="00630A32" w:rsidRPr="008419F2">
        <w:t>to</w:t>
      </w:r>
      <w:r w:rsidRPr="008419F2">
        <w:t xml:space="preserve"> make it more cost reflective and easier to understand. Goulburn-Murray Water engaged with customers on the drainage reforms and found most customers were supportive of the reforms.</w:t>
      </w:r>
      <w:r w:rsidR="00C41132" w:rsidRPr="008419F2">
        <w:rPr>
          <w:rStyle w:val="FootnoteReference"/>
        </w:rPr>
        <w:footnoteReference w:id="75"/>
      </w:r>
      <w:r w:rsidRPr="008419F2">
        <w:t xml:space="preserve"> </w:t>
      </w:r>
    </w:p>
    <w:p w14:paraId="5078AEEC" w14:textId="4516639F" w:rsidR="00E744C9" w:rsidRPr="00C45621" w:rsidRDefault="00487E23" w:rsidP="00AE4211">
      <w:r w:rsidRPr="00C45621">
        <w:t xml:space="preserve">The commission engaged Egis Oceania (Egis) to review Goulburn-Murray Water’s proposed </w:t>
      </w:r>
      <w:r w:rsidR="00C34993" w:rsidRPr="00C45621">
        <w:t xml:space="preserve">tariff reforms including for drainage. </w:t>
      </w:r>
      <w:r w:rsidR="005E745A" w:rsidRPr="00C45621">
        <w:t xml:space="preserve">Egis </w:t>
      </w:r>
      <w:r w:rsidR="004F0938" w:rsidRPr="00C45621">
        <w:t xml:space="preserve">found that Goulburn-Murray Water has justified its </w:t>
      </w:r>
      <w:r w:rsidR="005E745A" w:rsidRPr="00C45621">
        <w:t>proposed drainage tariff reforms</w:t>
      </w:r>
      <w:r w:rsidR="00F1679C" w:rsidRPr="00C45621">
        <w:t xml:space="preserve"> and the</w:t>
      </w:r>
      <w:r w:rsidR="00DE34BC" w:rsidRPr="00C45621">
        <w:t>se reforms should reduce administrative effort and increase customer understandability</w:t>
      </w:r>
      <w:r w:rsidR="005E745A" w:rsidRPr="00C45621">
        <w:t>.</w:t>
      </w:r>
      <w:r w:rsidR="005E745A" w:rsidRPr="00C45621">
        <w:rPr>
          <w:rStyle w:val="FootnoteReference"/>
        </w:rPr>
        <w:footnoteReference w:id="76"/>
      </w:r>
    </w:p>
    <w:p w14:paraId="1D210EE3" w14:textId="1FFD52F2" w:rsidR="00AE4211" w:rsidRPr="00D43A6D" w:rsidRDefault="00AE4211" w:rsidP="00AE4211">
      <w:r w:rsidRPr="00D43A6D">
        <w:t xml:space="preserve">We consider Goulburn-Murray Water’s proposed tariff reforms meet the requirements of the WIRO, including enabling customers to easily understand drainage tariffs and providing signals of efficient costs. We did not receive any submissions on </w:t>
      </w:r>
      <w:r w:rsidR="0057777A" w:rsidRPr="00D43A6D">
        <w:t xml:space="preserve">the proposed </w:t>
      </w:r>
      <w:r w:rsidRPr="00D43A6D">
        <w:t>drainage tariff structures.</w:t>
      </w:r>
    </w:p>
    <w:p w14:paraId="1844ECE4" w14:textId="74C14BC3" w:rsidR="00AE4211" w:rsidRPr="00D43A6D" w:rsidRDefault="0087741A" w:rsidP="00AE4211">
      <w:r w:rsidRPr="00D43A6D">
        <w:t>Based on the above,</w:t>
      </w:r>
      <w:r w:rsidR="00A632BC" w:rsidRPr="00D43A6D">
        <w:t xml:space="preserve"> o</w:t>
      </w:r>
      <w:r w:rsidR="00AE4211" w:rsidRPr="00D43A6D">
        <w:t>ur draft decision is to accept Goulburn-Murray Water’s proposed drainage tariff structures, on the basis that they meet the criteria in our guidance.</w:t>
      </w:r>
    </w:p>
    <w:p w14:paraId="274092D0" w14:textId="77777777" w:rsidR="00AE4211" w:rsidRPr="00E64530" w:rsidRDefault="00AE4211" w:rsidP="003F2B47">
      <w:pPr>
        <w:pStyle w:val="Heading2"/>
      </w:pPr>
      <w:bookmarkStart w:id="146" w:name="_Toc161400048"/>
      <w:r w:rsidRPr="00E64530">
        <w:t>7.2 Prices</w:t>
      </w:r>
      <w:bookmarkEnd w:id="146"/>
    </w:p>
    <w:p w14:paraId="534027A1" w14:textId="77777777" w:rsidR="00C4524B" w:rsidRPr="00E64530" w:rsidRDefault="00AE4211" w:rsidP="0040791D">
      <w:r w:rsidRPr="00E64530">
        <w:t xml:space="preserve">Goulburn-Murray Water’s proposed prices </w:t>
      </w:r>
      <w:r w:rsidR="00F95A6C" w:rsidRPr="00E64530">
        <w:t xml:space="preserve">for irrigation </w:t>
      </w:r>
      <w:r w:rsidR="00B1321B" w:rsidRPr="00E64530">
        <w:t xml:space="preserve">and drainage </w:t>
      </w:r>
      <w:r w:rsidR="00F95A6C" w:rsidRPr="00E64530">
        <w:t xml:space="preserve">services </w:t>
      </w:r>
      <w:r w:rsidRPr="00E64530">
        <w:t xml:space="preserve">are set out at pages 94 to </w:t>
      </w:r>
      <w:r w:rsidR="00A0771F" w:rsidRPr="00E64530">
        <w:t>103</w:t>
      </w:r>
      <w:r w:rsidRPr="00E64530">
        <w:t xml:space="preserve"> of its price submission while the impact on typical customer bills is set out at pages 89 to 90. </w:t>
      </w:r>
    </w:p>
    <w:p w14:paraId="47606FE7" w14:textId="775AC4E1" w:rsidR="00E65673" w:rsidRDefault="00C4524B" w:rsidP="00C4524B">
      <w:r w:rsidRPr="00E64530">
        <w:t xml:space="preserve">Under </w:t>
      </w:r>
      <w:r w:rsidRPr="00CC5481">
        <w:t>its pric</w:t>
      </w:r>
      <w:r w:rsidR="00CC5481" w:rsidRPr="00CC5481">
        <w:t>ing</w:t>
      </w:r>
      <w:r w:rsidR="00CC5481">
        <w:t xml:space="preserve"> proposals</w:t>
      </w:r>
      <w:r w:rsidR="0040791D" w:rsidRPr="00E64530">
        <w:t xml:space="preserve">, many gravity irrigation customers </w:t>
      </w:r>
      <w:r w:rsidR="00AB2017" w:rsidRPr="00E64530">
        <w:t xml:space="preserve">experience a lower </w:t>
      </w:r>
      <w:r w:rsidR="0040791D" w:rsidRPr="00E64530">
        <w:t>or steady typical bill</w:t>
      </w:r>
      <w:r w:rsidRPr="00E64530">
        <w:t xml:space="preserve">, with some medium and </w:t>
      </w:r>
      <w:r w:rsidR="0040791D" w:rsidRPr="00E64530">
        <w:t xml:space="preserve">large gravity irrigation customers </w:t>
      </w:r>
      <w:r w:rsidRPr="00E64530">
        <w:t xml:space="preserve">experiencing </w:t>
      </w:r>
      <w:r w:rsidR="0040791D" w:rsidRPr="00E64530">
        <w:t>increases of up to 0.4 per cent per year.</w:t>
      </w:r>
      <w:r w:rsidRPr="00E64530">
        <w:rPr>
          <w:rStyle w:val="FootnoteReference"/>
        </w:rPr>
        <w:footnoteReference w:id="77"/>
      </w:r>
      <w:r w:rsidR="0040791D" w:rsidRPr="00E64530">
        <w:t xml:space="preserve"> </w:t>
      </w:r>
      <w:r w:rsidRPr="00E64530">
        <w:t>Pumped irrigation typical bills increase by 3.5 to 4.1 per cent per year for medium and large customers in the Woorinen region primarily due to increases in the Woorinen pumped irrigation</w:t>
      </w:r>
      <w:r w:rsidRPr="0002383A">
        <w:t xml:space="preserve"> service point fee. Pumped irrigation typical bills increase by around 1.5 per cent </w:t>
      </w:r>
      <w:r w:rsidRPr="0002383A">
        <w:lastRenderedPageBreak/>
        <w:t xml:space="preserve">per year for </w:t>
      </w:r>
      <w:r w:rsidRPr="00E71CCB">
        <w:t xml:space="preserve">customers in the Tresco area, mostly due to increases in the service point fee (for all customers) and subsurface drainage fee (for medium and large customers). </w:t>
      </w:r>
    </w:p>
    <w:p w14:paraId="2EACACBF" w14:textId="464104C2" w:rsidR="00C4524B" w:rsidRPr="00E71CCB" w:rsidRDefault="00C4524B" w:rsidP="00C4524B">
      <w:r w:rsidRPr="00E71CCB">
        <w:t>The proposed 10 per cent annual increase in the subsurface drainage water use fee for Tresco and Nyah is because this tariff did not recover its efficient costs in the current regulatory period. The proposed price increase for Tresco and Nyah reduce</w:t>
      </w:r>
      <w:r w:rsidR="00DB1C28">
        <w:t>d</w:t>
      </w:r>
      <w:r w:rsidRPr="00E71CCB">
        <w:t xml:space="preserve"> the shortfall in the next regulatory period. All other pumped irrigation typical bills </w:t>
      </w:r>
      <w:r w:rsidR="00D62947">
        <w:t>under its price submission proposal</w:t>
      </w:r>
      <w:r w:rsidRPr="00E71CCB">
        <w:t xml:space="preserve"> either decrease or increase slightly by up to 0.2 per cent per year.</w:t>
      </w:r>
    </w:p>
    <w:p w14:paraId="734D00F0" w14:textId="5D014247" w:rsidR="00AE4211" w:rsidRPr="0041535A" w:rsidRDefault="000A2C98" w:rsidP="00AE4211">
      <w:r w:rsidRPr="0041535A">
        <w:t xml:space="preserve">Note however, that </w:t>
      </w:r>
      <w:r w:rsidR="00057257" w:rsidRPr="0041535A">
        <w:t xml:space="preserve">Goulburn-Murray Water </w:t>
      </w:r>
      <w:r w:rsidR="00925792" w:rsidRPr="0041535A">
        <w:t xml:space="preserve">will need to update its proposed prices </w:t>
      </w:r>
      <w:r w:rsidR="00003A97" w:rsidRPr="0041535A">
        <w:t xml:space="preserve">in response to our </w:t>
      </w:r>
      <w:r w:rsidR="00BE2090" w:rsidRPr="0041535A">
        <w:t>update to long-term inflation</w:t>
      </w:r>
      <w:r w:rsidR="00E65673" w:rsidRPr="0041535A">
        <w:t xml:space="preserve"> in our draft decision</w:t>
      </w:r>
      <w:r w:rsidR="00595B87" w:rsidRPr="0041535A">
        <w:t>,</w:t>
      </w:r>
      <w:r w:rsidR="00003A97" w:rsidRPr="0041535A">
        <w:t xml:space="preserve"> </w:t>
      </w:r>
      <w:r w:rsidR="00E26489" w:rsidRPr="0041535A">
        <w:t xml:space="preserve">and </w:t>
      </w:r>
      <w:r w:rsidR="00E65673" w:rsidRPr="0041535A">
        <w:t xml:space="preserve">upcoming </w:t>
      </w:r>
      <w:r w:rsidR="00E26489" w:rsidRPr="0041535A">
        <w:t>cost of debt update</w:t>
      </w:r>
      <w:r w:rsidR="00382468" w:rsidRPr="0041535A">
        <w:t>.</w:t>
      </w:r>
    </w:p>
    <w:p w14:paraId="5416696C" w14:textId="77777777" w:rsidR="00AE4211" w:rsidRPr="00E71CCB" w:rsidRDefault="00AE4211" w:rsidP="00AE4211">
      <w:r w:rsidRPr="0041535A">
        <w:t>See Chapter 10 for more details about service point fees.</w:t>
      </w:r>
      <w:r w:rsidRPr="00E71CCB">
        <w:t xml:space="preserve"> </w:t>
      </w:r>
    </w:p>
    <w:p w14:paraId="7AD73E54" w14:textId="20BC680D" w:rsidR="00AE4211" w:rsidRPr="002A24F0" w:rsidRDefault="00AE4211" w:rsidP="00AE4211">
      <w:r w:rsidRPr="002A24F0">
        <w:t xml:space="preserve">Goulburn-Murray Water engaged with customers on pumped irrigation and asked customers about the infrastructure required to meet service needs into the future. </w:t>
      </w:r>
      <w:r w:rsidR="005308D1" w:rsidRPr="002A24F0">
        <w:t>According to Goulburn-Murray Water, c</w:t>
      </w:r>
      <w:r w:rsidRPr="002A24F0">
        <w:t>ustomers</w:t>
      </w:r>
      <w:r w:rsidRPr="002A24F0" w:rsidDel="002532B0">
        <w:t xml:space="preserve"> </w:t>
      </w:r>
      <w:r w:rsidRPr="002A24F0">
        <w:t>understood the need to replace ageing infrastructure. We did not receive any submissions on irrigation and drainage prices.</w:t>
      </w:r>
    </w:p>
    <w:p w14:paraId="1287290E" w14:textId="6E4BA3C7" w:rsidR="0024064C" w:rsidRDefault="0024064C" w:rsidP="00AE4211">
      <w:r w:rsidRPr="0024064C">
        <w:t xml:space="preserve">In </w:t>
      </w:r>
      <w:r w:rsidR="008A4577" w:rsidRPr="00AE729B">
        <w:t>June</w:t>
      </w:r>
      <w:r w:rsidRPr="0024064C">
        <w:t xml:space="preserve"> 2024, we intend to determine prices for Goulburn-Murray Water in $2024-25 terms. This means we will add the annual change in the March Quarter 2024 consumer price index (published by the Australian Bureau of Statistics) to its 2024-25 prices, which will also flow through to customer bills.</w:t>
      </w:r>
      <w:r w:rsidR="005A446D">
        <w:t xml:space="preserve"> </w:t>
      </w:r>
    </w:p>
    <w:p w14:paraId="54618BB1" w14:textId="77777777" w:rsidR="00824FFC" w:rsidRDefault="00824FFC" w:rsidP="00AE4211">
      <w:pPr>
        <w:sectPr w:rsidR="00824FFC" w:rsidSect="00DB48F2">
          <w:footerReference w:type="default" r:id="rId40"/>
          <w:type w:val="continuous"/>
          <w:pgSz w:w="11906" w:h="16838" w:code="9"/>
          <w:pgMar w:top="1134" w:right="1134" w:bottom="1134" w:left="1134" w:header="709" w:footer="692" w:gutter="0"/>
          <w:cols w:space="708"/>
          <w:docGrid w:linePitch="360"/>
        </w:sectPr>
      </w:pPr>
    </w:p>
    <w:p w14:paraId="51077A11" w14:textId="77777777" w:rsidR="008A6D7B" w:rsidRDefault="008A6D7B" w:rsidP="00AE4211">
      <w:pPr>
        <w:sectPr w:rsidR="008A6D7B" w:rsidSect="00DB48F2">
          <w:type w:val="continuous"/>
          <w:pgSz w:w="11906" w:h="16838" w:code="9"/>
          <w:pgMar w:top="1134" w:right="1134" w:bottom="1134" w:left="1134" w:header="709" w:footer="692" w:gutter="0"/>
          <w:cols w:space="708"/>
          <w:docGrid w:linePitch="360"/>
        </w:sectPr>
      </w:pPr>
    </w:p>
    <w:p w14:paraId="41D71D0C" w14:textId="77777777" w:rsidR="0067521E" w:rsidRDefault="0067521E" w:rsidP="00AE4211">
      <w:pPr>
        <w:sectPr w:rsidR="0067521E" w:rsidSect="00DB48F2">
          <w:type w:val="continuous"/>
          <w:pgSz w:w="11906" w:h="16838" w:code="9"/>
          <w:pgMar w:top="1134" w:right="1134" w:bottom="1134" w:left="1134" w:header="709" w:footer="692" w:gutter="0"/>
          <w:cols w:space="708"/>
          <w:docGrid w:linePitch="360"/>
        </w:sectPr>
      </w:pPr>
    </w:p>
    <w:p w14:paraId="25E75549" w14:textId="77777777" w:rsidR="00A17A8F" w:rsidRDefault="00A17A8F" w:rsidP="00AE4211">
      <w:pPr>
        <w:sectPr w:rsidR="00A17A8F" w:rsidSect="00DB48F2">
          <w:type w:val="continuous"/>
          <w:pgSz w:w="11906" w:h="16838" w:code="9"/>
          <w:pgMar w:top="1134" w:right="1134" w:bottom="1134" w:left="1134" w:header="709" w:footer="692" w:gutter="0"/>
          <w:cols w:space="708"/>
          <w:docGrid w:linePitch="360"/>
        </w:sectPr>
      </w:pPr>
    </w:p>
    <w:p w14:paraId="1F42A084" w14:textId="77777777" w:rsidR="00EE7BF8" w:rsidRDefault="00EE7BF8" w:rsidP="00AE4211">
      <w:pPr>
        <w:sectPr w:rsidR="00EE7BF8" w:rsidSect="00DB48F2">
          <w:type w:val="continuous"/>
          <w:pgSz w:w="11906" w:h="16838" w:code="9"/>
          <w:pgMar w:top="1134" w:right="1134" w:bottom="1134" w:left="1134" w:header="709" w:footer="692" w:gutter="0"/>
          <w:cols w:space="708"/>
          <w:docGrid w:linePitch="360"/>
        </w:sectPr>
      </w:pPr>
    </w:p>
    <w:p w14:paraId="4AEDC8F1" w14:textId="77777777" w:rsidR="00EE7BF8" w:rsidRPr="0024064C" w:rsidRDefault="00EE7BF8" w:rsidP="00AE4211"/>
    <w:p w14:paraId="748222AF" w14:textId="77777777" w:rsidR="0067521E" w:rsidRDefault="0067521E" w:rsidP="00D61346">
      <w:pPr>
        <w:pStyle w:val="Heading1"/>
        <w:sectPr w:rsidR="0067521E" w:rsidSect="00DB48F2">
          <w:type w:val="continuous"/>
          <w:pgSz w:w="11906" w:h="16838" w:code="9"/>
          <w:pgMar w:top="1134" w:right="1134" w:bottom="1134" w:left="1134" w:header="709" w:footer="692" w:gutter="0"/>
          <w:cols w:space="708"/>
          <w:docGrid w:linePitch="360"/>
        </w:sectPr>
      </w:pPr>
      <w:bookmarkStart w:id="147" w:name="_Toc122514875"/>
      <w:bookmarkStart w:id="148" w:name="_Toc149223950"/>
      <w:bookmarkStart w:id="149" w:name="_Toc149560276"/>
      <w:bookmarkStart w:id="150" w:name="_Toc150866260"/>
      <w:bookmarkStart w:id="151" w:name="_Toc122514877"/>
    </w:p>
    <w:p w14:paraId="7B97A33D" w14:textId="2CD3245D" w:rsidR="00422CD7" w:rsidRDefault="00831953" w:rsidP="00D61346">
      <w:pPr>
        <w:pStyle w:val="Heading1"/>
      </w:pPr>
      <w:bookmarkStart w:id="152" w:name="_Toc161400049"/>
      <w:r>
        <w:lastRenderedPageBreak/>
        <w:t>8.</w:t>
      </w:r>
      <w:r w:rsidR="00422CD7">
        <w:tab/>
      </w:r>
      <w:bookmarkEnd w:id="147"/>
      <w:bookmarkEnd w:id="148"/>
      <w:bookmarkEnd w:id="149"/>
      <w:r w:rsidR="007B47A4">
        <w:t>D</w:t>
      </w:r>
      <w:r w:rsidR="007B47A4" w:rsidRPr="007B47A4">
        <w:t>iversion services</w:t>
      </w:r>
      <w:bookmarkEnd w:id="152"/>
      <w:r w:rsidR="007B47A4">
        <w:t xml:space="preserve"> </w:t>
      </w:r>
      <w:bookmarkEnd w:id="150"/>
    </w:p>
    <w:p w14:paraId="31A5C7BE" w14:textId="6ACD2361" w:rsidR="00D62BD5" w:rsidRPr="001F49D4" w:rsidRDefault="00D62BD5" w:rsidP="00D62BD5">
      <w:r w:rsidRPr="001F49D4">
        <w:t>Goulburn-Murray Water provides diversion services to customers who access water from waterways such as rivers, and groundwater.</w:t>
      </w:r>
      <w:r w:rsidR="00323BA9" w:rsidRPr="001F49D4">
        <w:rPr>
          <w:rStyle w:val="FootnoteReference"/>
        </w:rPr>
        <w:footnoteReference w:id="78"/>
      </w:r>
      <w:r w:rsidRPr="001F49D4">
        <w:t xml:space="preserve"> Its diversion services include the management of water sources, compliance monitoring and administration of accounts. Diversion customers are generally charged an access fee, resource management fee and service point fees. There are no variable charges for diversion customers. </w:t>
      </w:r>
    </w:p>
    <w:p w14:paraId="3FEC93D3" w14:textId="77777777" w:rsidR="00D62BD5" w:rsidRPr="001F49D4" w:rsidRDefault="00D62BD5" w:rsidP="00D62BD5">
      <w:r w:rsidRPr="001F49D4">
        <w:t>Goulburn-Murray Water’s proposed tariffs, prices and typical customer bills are set out on pages 78 to 103 of its price submission.</w:t>
      </w:r>
    </w:p>
    <w:p w14:paraId="71EFCA49" w14:textId="77777777" w:rsidR="00D62BD5" w:rsidRPr="0042284D" w:rsidRDefault="00D62BD5" w:rsidP="00B15E2A">
      <w:pPr>
        <w:pStyle w:val="Heading2"/>
      </w:pPr>
      <w:bookmarkStart w:id="153" w:name="_Toc161400050"/>
      <w:r w:rsidRPr="0042284D">
        <w:t>8.1 Tariff structures</w:t>
      </w:r>
      <w:bookmarkEnd w:id="153"/>
    </w:p>
    <w:p w14:paraId="17303B0C" w14:textId="5AD33C3E" w:rsidR="00D62BD5" w:rsidRPr="0042284D" w:rsidRDefault="00D62BD5" w:rsidP="00D62BD5">
      <w:r w:rsidRPr="0042284D">
        <w:t>Goulburn-Murray Water propose</w:t>
      </w:r>
      <w:r w:rsidR="002C7796" w:rsidRPr="0042284D">
        <w:t>d</w:t>
      </w:r>
      <w:r w:rsidRPr="0042284D">
        <w:t xml:space="preserve"> to maintain its existing tariff structures for its </w:t>
      </w:r>
      <w:r w:rsidR="00D12BEC">
        <w:t xml:space="preserve">oversight of </w:t>
      </w:r>
      <w:r w:rsidRPr="0042284D">
        <w:t xml:space="preserve">diversion </w:t>
      </w:r>
      <w:r w:rsidR="00D12BEC">
        <w:t>water</w:t>
      </w:r>
      <w:r w:rsidRPr="0042284D">
        <w:t>. This includes:</w:t>
      </w:r>
    </w:p>
    <w:p w14:paraId="3055FDD2" w14:textId="266F6DD1" w:rsidR="00D62BD5" w:rsidRPr="0042284D" w:rsidRDefault="00D62BD5" w:rsidP="00821A3A">
      <w:pPr>
        <w:pStyle w:val="ListBullet"/>
      </w:pPr>
      <w:r w:rsidRPr="0042284D">
        <w:t xml:space="preserve">metered and unmetered service point fees for regulated and unregulated waterways and </w:t>
      </w:r>
      <w:r w:rsidR="00C10B3A" w:rsidRPr="0042284D">
        <w:t>g</w:t>
      </w:r>
      <w:r w:rsidRPr="0042284D">
        <w:t>roundwater diversion</w:t>
      </w:r>
    </w:p>
    <w:p w14:paraId="6DF73F8C" w14:textId="5F23C20E" w:rsidR="00D62BD5" w:rsidRPr="0042284D" w:rsidRDefault="00D62BD5" w:rsidP="00821A3A">
      <w:pPr>
        <w:pStyle w:val="ListBullet"/>
      </w:pPr>
      <w:r w:rsidRPr="0042284D">
        <w:t>access and resource management fee</w:t>
      </w:r>
      <w:r w:rsidR="00DD2BB8" w:rsidRPr="0042284D">
        <w:t>s</w:t>
      </w:r>
      <w:r w:rsidRPr="0042284D">
        <w:t xml:space="preserve"> for regulated and unregulated waterways, Shepparton irrigation region and </w:t>
      </w:r>
      <w:r w:rsidR="00F97DB1" w:rsidRPr="0042284D">
        <w:t>g</w:t>
      </w:r>
      <w:r w:rsidRPr="0042284D">
        <w:t>roundwater diversion.</w:t>
      </w:r>
    </w:p>
    <w:p w14:paraId="414DCB08" w14:textId="334E0CC6" w:rsidR="00D62BD5" w:rsidRPr="0042284D" w:rsidRDefault="00D62BD5" w:rsidP="00D62BD5">
      <w:r w:rsidRPr="0042284D">
        <w:t>In addition, diver</w:t>
      </w:r>
      <w:r w:rsidR="008277F7" w:rsidRPr="0042284D">
        <w:t>sion</w:t>
      </w:r>
      <w:r w:rsidRPr="0042284D">
        <w:t xml:space="preserve"> customers also pay an annual customer fee and annual licence fee. </w:t>
      </w:r>
      <w:r w:rsidR="00924D19" w:rsidRPr="0042284D">
        <w:t>The c</w:t>
      </w:r>
      <w:r w:rsidRPr="0042284D">
        <w:t>ustomer fee applies to all Goulburn-Murray Water customers and is discussed in Chapter</w:t>
      </w:r>
      <w:r w:rsidR="009F3299" w:rsidRPr="0042284D">
        <w:t> </w:t>
      </w:r>
      <w:r w:rsidRPr="0042284D">
        <w:t xml:space="preserve">10. </w:t>
      </w:r>
      <w:r w:rsidR="00822455" w:rsidRPr="0042284D">
        <w:t>The l</w:t>
      </w:r>
      <w:r w:rsidRPr="0042284D">
        <w:t xml:space="preserve">icence fee is one of the miscellaneous charges covered in </w:t>
      </w:r>
      <w:r w:rsidRPr="006422C6">
        <w:t>Chapter 1</w:t>
      </w:r>
      <w:r w:rsidR="00EE754C" w:rsidRPr="006422C6">
        <w:t>3</w:t>
      </w:r>
      <w:r w:rsidRPr="006422C6">
        <w:t>.</w:t>
      </w:r>
      <w:r w:rsidRPr="0042284D">
        <w:t xml:space="preserve"> </w:t>
      </w:r>
    </w:p>
    <w:p w14:paraId="6072BE68" w14:textId="7610AB2F" w:rsidR="00D62BD5" w:rsidRPr="0042284D" w:rsidRDefault="00D62BD5" w:rsidP="00D62BD5">
      <w:r w:rsidRPr="0042284D">
        <w:t>Goulburn-Murray Water propose</w:t>
      </w:r>
      <w:r w:rsidR="00723E66" w:rsidRPr="0042284D">
        <w:t>d</w:t>
      </w:r>
      <w:r w:rsidRPr="0042284D">
        <w:t xml:space="preserve"> no change in tariff structure relating to diversion tariff</w:t>
      </w:r>
      <w:r w:rsidR="000557BB" w:rsidRPr="0042284D">
        <w:t>s</w:t>
      </w:r>
      <w:r w:rsidRPr="0042284D">
        <w:t xml:space="preserve">. It </w:t>
      </w:r>
      <w:r w:rsidR="00DE57C1" w:rsidRPr="0042284D">
        <w:t>submitted</w:t>
      </w:r>
      <w:r w:rsidR="001673C5" w:rsidRPr="0042284D">
        <w:t xml:space="preserve"> that</w:t>
      </w:r>
      <w:r w:rsidRPr="0042284D">
        <w:t xml:space="preserve"> its proposed tariff structure is consistent with the guidance. </w:t>
      </w:r>
    </w:p>
    <w:p w14:paraId="2CFF8714" w14:textId="3154D078" w:rsidR="00D62BD5" w:rsidRPr="0055240F" w:rsidRDefault="00D62BD5" w:rsidP="00D62BD5">
      <w:r w:rsidRPr="00BE6264">
        <w:t xml:space="preserve">We received 16 submissions from a total of 34 diverters on unregulated waterways. They </w:t>
      </w:r>
      <w:r w:rsidR="006E3DE6">
        <w:t>are of the opinion</w:t>
      </w:r>
      <w:r w:rsidRPr="00BE6264">
        <w:t xml:space="preserve"> that Goulburn-Murray Water’s fees and charges are ‘unfair’ and ‘excessive’ </w:t>
      </w:r>
      <w:r w:rsidR="006C0CBB">
        <w:t>and</w:t>
      </w:r>
      <w:r w:rsidR="003049E0" w:rsidRPr="00BE6264">
        <w:t xml:space="preserve"> that </w:t>
      </w:r>
      <w:r w:rsidR="006469E5" w:rsidRPr="00BE6264">
        <w:t>they are</w:t>
      </w:r>
      <w:r w:rsidRPr="00BE6264">
        <w:t xml:space="preserve"> not receiving any service from Goulburn-Murray Water.</w:t>
      </w:r>
      <w:r w:rsidR="00E65099" w:rsidRPr="00BE6264">
        <w:rPr>
          <w:rStyle w:val="FootnoteReference"/>
        </w:rPr>
        <w:footnoteReference w:id="79"/>
      </w:r>
      <w:r w:rsidRPr="00BE6264">
        <w:t xml:space="preserve"> Some of the</w:t>
      </w:r>
      <w:r w:rsidR="00167440" w:rsidRPr="00BE6264">
        <w:t xml:space="preserve"> customers</w:t>
      </w:r>
      <w:r w:rsidRPr="00BE6264">
        <w:t xml:space="preserve"> also </w:t>
      </w:r>
      <w:r w:rsidRPr="0055240F">
        <w:lastRenderedPageBreak/>
        <w:t xml:space="preserve">raised specific </w:t>
      </w:r>
      <w:r w:rsidR="001D69BB" w:rsidRPr="0055240F">
        <w:t>issues</w:t>
      </w:r>
      <w:r w:rsidRPr="0055240F">
        <w:t xml:space="preserve"> that appl</w:t>
      </w:r>
      <w:r w:rsidR="00F92597" w:rsidRPr="0055240F">
        <w:t>y</w:t>
      </w:r>
      <w:r w:rsidRPr="0055240F">
        <w:t xml:space="preserve"> to domestic and stock customers on unregulated waterways, including</w:t>
      </w:r>
      <w:r w:rsidR="00510CDC" w:rsidRPr="0055240F">
        <w:t xml:space="preserve">: </w:t>
      </w:r>
      <w:r w:rsidR="00371512" w:rsidRPr="0055240F">
        <w:rPr>
          <w:rStyle w:val="FootnoteReference"/>
        </w:rPr>
        <w:footnoteReference w:id="80"/>
      </w:r>
      <w:r w:rsidRPr="0055240F">
        <w:t xml:space="preserve">  </w:t>
      </w:r>
    </w:p>
    <w:p w14:paraId="61EDE84D" w14:textId="20DEA203" w:rsidR="00D62BD5" w:rsidRPr="0055240F" w:rsidRDefault="0017374A" w:rsidP="00821A3A">
      <w:pPr>
        <w:pStyle w:val="ListBullet"/>
      </w:pPr>
      <w:r w:rsidRPr="0055240F">
        <w:t xml:space="preserve">to remove the </w:t>
      </w:r>
      <w:r w:rsidR="00D62BD5" w:rsidRPr="0055240F">
        <w:t xml:space="preserve">access fee from their </w:t>
      </w:r>
      <w:r w:rsidR="00FB1B59">
        <w:t xml:space="preserve">oversight of diversion water </w:t>
      </w:r>
      <w:r w:rsidR="008F4B02">
        <w:t xml:space="preserve">because </w:t>
      </w:r>
      <w:r w:rsidR="0012225B" w:rsidRPr="0055240F">
        <w:t>they</w:t>
      </w:r>
      <w:r w:rsidR="00B71183" w:rsidRPr="0055240F">
        <w:t xml:space="preserve"> </w:t>
      </w:r>
      <w:r w:rsidR="00D62BD5" w:rsidRPr="0055240F">
        <w:t xml:space="preserve">receive no </w:t>
      </w:r>
      <w:r w:rsidR="000B0AB7" w:rsidRPr="0055240F">
        <w:t xml:space="preserve">access </w:t>
      </w:r>
      <w:r w:rsidR="00D62BD5" w:rsidRPr="0055240F">
        <w:t xml:space="preserve">service </w:t>
      </w:r>
    </w:p>
    <w:p w14:paraId="7EF5AA3C" w14:textId="6B917626" w:rsidR="00D62BD5" w:rsidRPr="0055240F" w:rsidRDefault="002E534A" w:rsidP="00821A3A">
      <w:pPr>
        <w:pStyle w:val="ListBullet"/>
      </w:pPr>
      <w:r w:rsidRPr="0055240F">
        <w:t xml:space="preserve">to base the </w:t>
      </w:r>
      <w:r w:rsidR="00D62BD5" w:rsidRPr="0055240F">
        <w:t>access</w:t>
      </w:r>
      <w:r w:rsidR="00EE67B2" w:rsidRPr="0055240F">
        <w:t xml:space="preserve"> </w:t>
      </w:r>
      <w:r w:rsidR="00D62BD5" w:rsidRPr="0055240F">
        <w:t xml:space="preserve">fee on water entitlement volume </w:t>
      </w:r>
      <w:r w:rsidR="00936ED1" w:rsidRPr="0055240F">
        <w:t>rather than</w:t>
      </w:r>
      <w:r w:rsidR="00D62BD5" w:rsidRPr="0055240F">
        <w:t xml:space="preserve"> service point</w:t>
      </w:r>
      <w:r w:rsidR="00936ED1" w:rsidRPr="0055240F">
        <w:t>s</w:t>
      </w:r>
      <w:r w:rsidR="00D62BD5" w:rsidRPr="0055240F">
        <w:t xml:space="preserve"> </w:t>
      </w:r>
    </w:p>
    <w:p w14:paraId="3190BEF4" w14:textId="466E7243" w:rsidR="00D62BD5" w:rsidRPr="0055240F" w:rsidRDefault="005A1E16" w:rsidP="00821A3A">
      <w:pPr>
        <w:pStyle w:val="ListBullet"/>
      </w:pPr>
      <w:r w:rsidRPr="0055240F">
        <w:t>th</w:t>
      </w:r>
      <w:r w:rsidR="00CF38BE" w:rsidRPr="0055240F">
        <w:t xml:space="preserve">at </w:t>
      </w:r>
      <w:r w:rsidRPr="0055240F">
        <w:t xml:space="preserve">the </w:t>
      </w:r>
      <w:r w:rsidR="00D62BD5" w:rsidRPr="0055240F">
        <w:t>engagement with diverters on unregulated waterways including domestic and stock customers</w:t>
      </w:r>
      <w:r w:rsidR="00BB2A3F" w:rsidRPr="0055240F">
        <w:t xml:space="preserve"> was insufficient</w:t>
      </w:r>
    </w:p>
    <w:p w14:paraId="3C132DD3" w14:textId="162241E5" w:rsidR="000776B5" w:rsidRPr="0055240F" w:rsidRDefault="00570572" w:rsidP="00821A3A">
      <w:pPr>
        <w:pStyle w:val="ListBullet"/>
      </w:pPr>
      <w:r w:rsidRPr="0055240F">
        <w:t xml:space="preserve">that </w:t>
      </w:r>
      <w:r w:rsidR="00D62BD5" w:rsidRPr="0055240F">
        <w:t>licence costs are exorbitant and duplicates their annual service fees</w:t>
      </w:r>
    </w:p>
    <w:p w14:paraId="18FA538F" w14:textId="1FB20EED" w:rsidR="00D62BD5" w:rsidRPr="0055240F" w:rsidRDefault="00D34DC5" w:rsidP="00821A3A">
      <w:pPr>
        <w:pStyle w:val="ListBullet"/>
      </w:pPr>
      <w:r w:rsidRPr="0055240F">
        <w:t xml:space="preserve">to </w:t>
      </w:r>
      <w:r w:rsidR="00D62BD5" w:rsidRPr="0055240F">
        <w:t>benchmark</w:t>
      </w:r>
      <w:r w:rsidR="00231F86" w:rsidRPr="0055240F">
        <w:t xml:space="preserve"> licence fees </w:t>
      </w:r>
      <w:r w:rsidR="00D62BD5" w:rsidRPr="0055240F">
        <w:t>against licence fees in other states for a similar service</w:t>
      </w:r>
    </w:p>
    <w:p w14:paraId="56646246" w14:textId="7C4940EE" w:rsidR="00D62BD5" w:rsidRPr="0055240F" w:rsidRDefault="00A40052" w:rsidP="00821A3A">
      <w:pPr>
        <w:pStyle w:val="ListBullet"/>
      </w:pPr>
      <w:r w:rsidRPr="0055240F">
        <w:t xml:space="preserve">that </w:t>
      </w:r>
      <w:r w:rsidR="00D62BD5" w:rsidRPr="0055240F">
        <w:t xml:space="preserve">Goulburn-Murray Water’s PREMO ratings for </w:t>
      </w:r>
      <w:r w:rsidR="00650935" w:rsidRPr="0055240F">
        <w:t>e</w:t>
      </w:r>
      <w:r w:rsidR="00D62BD5" w:rsidRPr="0055240F">
        <w:t xml:space="preserve">ngagement and </w:t>
      </w:r>
      <w:r w:rsidR="00070149" w:rsidRPr="0055240F">
        <w:t>r</w:t>
      </w:r>
      <w:r w:rsidR="00D62BD5" w:rsidRPr="0055240F">
        <w:t>isks should be ‘</w:t>
      </w:r>
      <w:r w:rsidR="00C312E1" w:rsidRPr="0055240F">
        <w:t>B</w:t>
      </w:r>
      <w:r w:rsidR="00D62BD5" w:rsidRPr="0055240F">
        <w:t>asic’ not ‘Standard’.</w:t>
      </w:r>
    </w:p>
    <w:p w14:paraId="641B02A6" w14:textId="7566B907" w:rsidR="00D62BD5" w:rsidRPr="00AC2FA8" w:rsidRDefault="00D62BD5" w:rsidP="00D62BD5">
      <w:r w:rsidRPr="00AC2FA8">
        <w:t xml:space="preserve">The same </w:t>
      </w:r>
      <w:r w:rsidR="002321CC" w:rsidRPr="00AC2FA8">
        <w:t xml:space="preserve">customers </w:t>
      </w:r>
      <w:r w:rsidRPr="00AC2FA8">
        <w:t xml:space="preserve">expressed </w:t>
      </w:r>
      <w:r w:rsidR="00690411" w:rsidRPr="00AC2FA8">
        <w:t>several</w:t>
      </w:r>
      <w:r w:rsidRPr="00AC2FA8">
        <w:t xml:space="preserve"> concerns about Goulburn-Murray Water’s proposed service point fees for unmetered diverters and domestic and stock customers. We address these issues in Chapter 10. </w:t>
      </w:r>
    </w:p>
    <w:p w14:paraId="7B4197BB" w14:textId="1C362164" w:rsidR="00D62BD5" w:rsidRPr="00AC2FA8" w:rsidRDefault="00D62BD5" w:rsidP="00D62BD5">
      <w:r w:rsidRPr="00AC2FA8">
        <w:t xml:space="preserve">Goulburn-Murray Water’s access fee recovers costs associated with streamflow monitoring, rostering and restrictions, investigating sharing issues and developing water access policy. Our consultant Egis has reviewed Goulburn-Murray Water’s access fee and found that </w:t>
      </w:r>
      <w:r w:rsidR="0005168A" w:rsidRPr="00AC2FA8">
        <w:br/>
      </w:r>
      <w:r w:rsidRPr="00AC2FA8">
        <w:t>Goulburn-Murray Water has demonstrated that:</w:t>
      </w:r>
    </w:p>
    <w:p w14:paraId="1E66E3B0" w14:textId="77777777" w:rsidR="00D62BD5" w:rsidRPr="00AC2FA8" w:rsidRDefault="00D62BD5" w:rsidP="00821A3A">
      <w:pPr>
        <w:pStyle w:val="ListBullet"/>
      </w:pPr>
      <w:r w:rsidRPr="00AC2FA8">
        <w:t>the costs associated with diverters’ access fee relate to services and activities associated with diversion customers</w:t>
      </w:r>
    </w:p>
    <w:p w14:paraId="6C398910" w14:textId="3993367E" w:rsidR="00D62BD5" w:rsidRPr="00AC2FA8" w:rsidRDefault="00D62BD5" w:rsidP="00821A3A">
      <w:pPr>
        <w:pStyle w:val="ListBullet"/>
      </w:pPr>
      <w:r w:rsidRPr="00AC2FA8">
        <w:t>the service point fees rather than water entitlements drive the costs as the greater the number of service points, the more involved the management, planning and water ordering systems and processes are.</w:t>
      </w:r>
      <w:r w:rsidR="00A40CD7" w:rsidRPr="00AC2FA8">
        <w:rPr>
          <w:rStyle w:val="FootnoteReference"/>
        </w:rPr>
        <w:footnoteReference w:id="81"/>
      </w:r>
    </w:p>
    <w:p w14:paraId="60550A11" w14:textId="3948EB10" w:rsidR="00D62BD5" w:rsidRPr="00F14ACC" w:rsidRDefault="00D62BD5" w:rsidP="00D62BD5">
      <w:r w:rsidRPr="00F14ACC">
        <w:lastRenderedPageBreak/>
        <w:t>We agree with Egis</w:t>
      </w:r>
      <w:r w:rsidR="002C461A" w:rsidRPr="00F14ACC">
        <w:t>’s findings</w:t>
      </w:r>
      <w:r w:rsidRPr="00F14ACC">
        <w:t xml:space="preserve"> that it is appropriate to base access fees </w:t>
      </w:r>
      <w:r w:rsidR="00B84BD3" w:rsidRPr="00F14ACC">
        <w:t>on</w:t>
      </w:r>
      <w:r w:rsidRPr="00F14ACC">
        <w:t xml:space="preserve"> the number of service points rather than water entitlements. </w:t>
      </w:r>
    </w:p>
    <w:p w14:paraId="39701C19" w14:textId="7DBF20FC" w:rsidR="00D62BD5" w:rsidRPr="007A7D5E" w:rsidRDefault="00D62BD5" w:rsidP="00D62BD5">
      <w:r w:rsidRPr="007A7D5E">
        <w:t xml:space="preserve">Goulburn-Murray Water provided us with information </w:t>
      </w:r>
      <w:r w:rsidR="009E35D5" w:rsidRPr="007A7D5E">
        <w:t>detailing the</w:t>
      </w:r>
      <w:r w:rsidRPr="007A7D5E">
        <w:t xml:space="preserve"> costs recovered </w:t>
      </w:r>
      <w:r w:rsidR="0016281E" w:rsidRPr="007A7D5E">
        <w:t xml:space="preserve">for its services </w:t>
      </w:r>
      <w:r w:rsidRPr="007A7D5E">
        <w:t xml:space="preserve">from the different diversion fees and charges. The information </w:t>
      </w:r>
      <w:r w:rsidR="005E17A6" w:rsidRPr="007A7D5E">
        <w:t xml:space="preserve">Goulburn-Murray Water </w:t>
      </w:r>
      <w:r w:rsidRPr="007A7D5E">
        <w:t>provided  appears to show no duplication between the services being recovered though the licence fees and the other annual fees and charges that apply to diverters on unregulated waterways including domestic and stock customers.</w:t>
      </w:r>
      <w:r w:rsidR="004C7928" w:rsidRPr="007A7D5E">
        <w:rPr>
          <w:rStyle w:val="FootnoteReference"/>
        </w:rPr>
        <w:footnoteReference w:id="82"/>
      </w:r>
      <w:r w:rsidRPr="007A7D5E">
        <w:t xml:space="preserve"> </w:t>
      </w:r>
      <w:r w:rsidR="00241D45" w:rsidRPr="007A7D5E">
        <w:t xml:space="preserve">Further, on the basis of information we have reviewed, we are satisfied </w:t>
      </w:r>
      <w:r w:rsidRPr="007A7D5E">
        <w:t>that the level of licence fees for domestic and stock customers</w:t>
      </w:r>
      <w:r w:rsidR="00136DB4" w:rsidRPr="007A7D5E">
        <w:t xml:space="preserve"> across </w:t>
      </w:r>
      <w:r w:rsidR="007423A4" w:rsidRPr="007A7D5E">
        <w:t xml:space="preserve">different </w:t>
      </w:r>
      <w:r w:rsidR="00136DB4" w:rsidRPr="007A7D5E">
        <w:t>water businesses</w:t>
      </w:r>
      <w:r w:rsidRPr="007A7D5E">
        <w:t xml:space="preserve"> </w:t>
      </w:r>
      <w:r w:rsidR="007423A4" w:rsidRPr="007A7D5E">
        <w:t xml:space="preserve">(including in other states) </w:t>
      </w:r>
      <w:r w:rsidRPr="007A7D5E">
        <w:t xml:space="preserve">are not directly comparable given the tariff structures are </w:t>
      </w:r>
      <w:r w:rsidR="00392890" w:rsidRPr="007A7D5E">
        <w:t>relevantly</w:t>
      </w:r>
      <w:r w:rsidRPr="007A7D5E">
        <w:t xml:space="preserve"> different.</w:t>
      </w:r>
      <w:r w:rsidR="00C62967" w:rsidRPr="007A7D5E">
        <w:rPr>
          <w:rStyle w:val="FootnoteReference"/>
        </w:rPr>
        <w:footnoteReference w:id="83"/>
      </w:r>
      <w:r w:rsidRPr="007A7D5E">
        <w:t xml:space="preserve"> </w:t>
      </w:r>
    </w:p>
    <w:p w14:paraId="2568A6B7" w14:textId="28616FAA" w:rsidR="00D62BD5" w:rsidRPr="007A7D5E" w:rsidRDefault="00D62BD5" w:rsidP="00D62BD5">
      <w:r w:rsidRPr="007A7D5E">
        <w:t xml:space="preserve">Our draft decision accepts Goulburn-Murray Water’s proposed tariff structure for </w:t>
      </w:r>
      <w:r w:rsidR="002D15FC" w:rsidRPr="007A7D5E">
        <w:t xml:space="preserve">the </w:t>
      </w:r>
      <w:r w:rsidRPr="007A7D5E">
        <w:t xml:space="preserve">access fee and resource management fee for diversion customers on the basis that they are a continuation of Goulburn-Murray Water’s current approach and otherwise meet our guidance. </w:t>
      </w:r>
    </w:p>
    <w:p w14:paraId="3AD07A05" w14:textId="59F57A6D" w:rsidR="00D62BD5" w:rsidRPr="007A7D5E" w:rsidRDefault="00D62BD5" w:rsidP="00D62BD5">
      <w:r w:rsidRPr="007A7D5E">
        <w:t xml:space="preserve">Our draft decision does not accept Goulburn-Murray Water’s proposed tariff structure for service point fees applying to diverters on unregulated waterways for the reasons set out in </w:t>
      </w:r>
      <w:r w:rsidR="00F358EE">
        <w:t>C</w:t>
      </w:r>
      <w:r w:rsidRPr="007A7D5E">
        <w:t>hapter 10.</w:t>
      </w:r>
    </w:p>
    <w:p w14:paraId="6AE5ECDA" w14:textId="77777777" w:rsidR="00D62BD5" w:rsidRPr="00127712" w:rsidRDefault="00D62BD5" w:rsidP="00B15E2A">
      <w:pPr>
        <w:pStyle w:val="Heading2"/>
      </w:pPr>
      <w:bookmarkStart w:id="155" w:name="_Toc161400051"/>
      <w:r w:rsidRPr="00127712">
        <w:t>8.2 Prices</w:t>
      </w:r>
      <w:bookmarkEnd w:id="155"/>
    </w:p>
    <w:p w14:paraId="11BC5BA3" w14:textId="1B0BDFA0" w:rsidR="00D62BD5" w:rsidRPr="00127712" w:rsidRDefault="00D62BD5" w:rsidP="00D62BD5">
      <w:r w:rsidRPr="00127712">
        <w:t xml:space="preserve">Goulburn-Murray Water’s proposed prices are set out </w:t>
      </w:r>
      <w:r w:rsidR="00E84E63" w:rsidRPr="00127712">
        <w:t>on</w:t>
      </w:r>
      <w:r w:rsidRPr="00127712">
        <w:t xml:space="preserve"> </w:t>
      </w:r>
      <w:r w:rsidRPr="0021570F">
        <w:t>pages 97 to 98 of</w:t>
      </w:r>
      <w:r w:rsidRPr="00127712">
        <w:t xml:space="preserve"> its price submission while the impact on typical customer bills is set out </w:t>
      </w:r>
      <w:r w:rsidR="00883C90" w:rsidRPr="00127712">
        <w:t>on</w:t>
      </w:r>
      <w:r w:rsidRPr="00127712">
        <w:t xml:space="preserve"> pages 89 to 90. </w:t>
      </w:r>
    </w:p>
    <w:p w14:paraId="02143A2F" w14:textId="310E9C8E" w:rsidR="00D62BD5" w:rsidRPr="00127712" w:rsidRDefault="00551B91" w:rsidP="00D62BD5">
      <w:r>
        <w:t>Under Goulburn-Murray Water’s price submission, m</w:t>
      </w:r>
      <w:r w:rsidR="00D62BD5" w:rsidRPr="00127712">
        <w:t xml:space="preserve">any diversion customers, including small customers on groundwater diversions, regulated and unregulated waterways, and domestic and stock customers </w:t>
      </w:r>
      <w:r>
        <w:t>would</w:t>
      </w:r>
      <w:r w:rsidR="00D62BD5" w:rsidRPr="00127712">
        <w:t xml:space="preserve"> see decreases in their typical bills. This is due to Goulburn</w:t>
      </w:r>
      <w:r w:rsidR="00690E41">
        <w:t>-</w:t>
      </w:r>
      <w:r w:rsidR="00D62BD5" w:rsidRPr="00127712">
        <w:t xml:space="preserve">Murray Water’s proposed decreases in the level of service point fees, access fees and resource management fees </w:t>
      </w:r>
      <w:r w:rsidR="00D62BD5" w:rsidRPr="00127712">
        <w:lastRenderedPageBreak/>
        <w:t>during the 2024</w:t>
      </w:r>
      <w:r w:rsidR="00162853" w:rsidRPr="00127712">
        <w:t>–</w:t>
      </w:r>
      <w:r w:rsidR="00D62BD5" w:rsidRPr="00127712">
        <w:t>28 regulatory period.</w:t>
      </w:r>
      <w:r w:rsidR="00274ECC" w:rsidRPr="00127712">
        <w:t xml:space="preserve"> We consider th</w:t>
      </w:r>
      <w:r w:rsidR="00F2026F" w:rsidRPr="00127712">
        <w:t>at the cost</w:t>
      </w:r>
      <w:r w:rsidR="009224DB" w:rsidRPr="00127712">
        <w:t>s</w:t>
      </w:r>
      <w:r w:rsidR="00F2026F" w:rsidRPr="00127712">
        <w:t xml:space="preserve"> </w:t>
      </w:r>
      <w:r w:rsidR="005C3713" w:rsidRPr="00127712">
        <w:t>attribut</w:t>
      </w:r>
      <w:r w:rsidR="001F09D8" w:rsidRPr="00127712">
        <w:t xml:space="preserve">ed to the </w:t>
      </w:r>
      <w:r w:rsidR="005C3713" w:rsidRPr="00127712">
        <w:t>diversion</w:t>
      </w:r>
      <w:r w:rsidR="00200E89" w:rsidRPr="00127712">
        <w:t xml:space="preserve"> f</w:t>
      </w:r>
      <w:r w:rsidR="00A51C49" w:rsidRPr="00127712">
        <w:t>ee</w:t>
      </w:r>
      <w:r w:rsidR="005C3713" w:rsidRPr="00127712">
        <w:t>s</w:t>
      </w:r>
      <w:r w:rsidR="007B4841" w:rsidRPr="00127712">
        <w:t xml:space="preserve"> </w:t>
      </w:r>
      <w:r w:rsidR="00C11F56" w:rsidRPr="00127712">
        <w:t>seems</w:t>
      </w:r>
      <w:r w:rsidR="007B4841" w:rsidRPr="00127712">
        <w:t xml:space="preserve"> re</w:t>
      </w:r>
      <w:r w:rsidR="00AA6DE1" w:rsidRPr="00127712">
        <w:t xml:space="preserve">asonable </w:t>
      </w:r>
      <w:r w:rsidR="00BF59C5" w:rsidRPr="00127712">
        <w:t>except for service point</w:t>
      </w:r>
      <w:r w:rsidR="00274ECC" w:rsidRPr="00127712">
        <w:t xml:space="preserve"> fees</w:t>
      </w:r>
      <w:r w:rsidR="00A85302">
        <w:t xml:space="preserve"> for unmetered diverters</w:t>
      </w:r>
      <w:r w:rsidR="009224DB" w:rsidRPr="00127712">
        <w:t xml:space="preserve">. </w:t>
      </w:r>
    </w:p>
    <w:p w14:paraId="5D08D8DE" w14:textId="32D0C17D" w:rsidR="00D62BD5" w:rsidRPr="00E34A24" w:rsidRDefault="00D62BD5" w:rsidP="00D62BD5">
      <w:r w:rsidRPr="00127712">
        <w:t xml:space="preserve">Some diversion customers with meters will see increases in their typical bills due to the recovery of higher costs associated with service point fees. Goulburn-Murray Water stated that the increase in </w:t>
      </w:r>
      <w:r w:rsidRPr="00E34A24">
        <w:t xml:space="preserve">service point fees is needed to undertake essential maintenance and ensure service needs are met. While our draft decision accepts Goulburn-Murray Water’s proposed capital expenditure without any changes, our draft decision does not accept Goulbourn-Murray Water’s proposed service point fees </w:t>
      </w:r>
      <w:r w:rsidR="00893C60">
        <w:t xml:space="preserve">for unmetered diverters </w:t>
      </w:r>
      <w:r w:rsidRPr="00E34A24">
        <w:t xml:space="preserve">as discussed in Chapter 10. </w:t>
      </w:r>
    </w:p>
    <w:p w14:paraId="23CAB24F" w14:textId="77777777" w:rsidR="001D4C92" w:rsidRDefault="00D62BD5" w:rsidP="00B61A9B">
      <w:pPr>
        <w:sectPr w:rsidR="001D4C92" w:rsidSect="00DB48F2">
          <w:footerReference w:type="default" r:id="rId41"/>
          <w:type w:val="continuous"/>
          <w:pgSz w:w="11906" w:h="16838" w:code="9"/>
          <w:pgMar w:top="1134" w:right="1134" w:bottom="1134" w:left="1134" w:header="709" w:footer="692" w:gutter="0"/>
          <w:cols w:space="708"/>
          <w:docGrid w:linePitch="360"/>
        </w:sectPr>
      </w:pPr>
      <w:r w:rsidRPr="00E34A24">
        <w:t xml:space="preserve">In response to our draft decision, Goulburn-Murray Water will need to </w:t>
      </w:r>
      <w:r w:rsidR="00F23527">
        <w:t xml:space="preserve">update its </w:t>
      </w:r>
      <w:r w:rsidRPr="00E34A24">
        <w:t>propose</w:t>
      </w:r>
      <w:r w:rsidR="000B5015">
        <w:t>d</w:t>
      </w:r>
      <w:r w:rsidRPr="00E34A24">
        <w:t xml:space="preserve"> prices </w:t>
      </w:r>
      <w:r w:rsidR="00C55202">
        <w:t xml:space="preserve">in response to our </w:t>
      </w:r>
      <w:r w:rsidR="00157B1E" w:rsidRPr="00E34A24">
        <w:t xml:space="preserve">update to </w:t>
      </w:r>
      <w:r w:rsidR="00056AD2">
        <w:t xml:space="preserve">long-term </w:t>
      </w:r>
      <w:r w:rsidR="00056AD2" w:rsidRPr="00E34A24">
        <w:t xml:space="preserve">inflation </w:t>
      </w:r>
      <w:r w:rsidR="00056AD2">
        <w:t>in our draft decision</w:t>
      </w:r>
      <w:r w:rsidR="00CE64CE">
        <w:t xml:space="preserve">, and upcoming </w:t>
      </w:r>
      <w:r w:rsidR="00157B1E" w:rsidRPr="00E34A24">
        <w:t xml:space="preserve">cost of debt </w:t>
      </w:r>
      <w:r w:rsidR="00CE64CE">
        <w:t>update</w:t>
      </w:r>
      <w:r w:rsidR="00157B1E" w:rsidRPr="00E34A24">
        <w:t xml:space="preserve">. </w:t>
      </w:r>
    </w:p>
    <w:p w14:paraId="14A34900" w14:textId="77777777" w:rsidR="00E63BA3" w:rsidRDefault="00E63BA3" w:rsidP="00B61A9B">
      <w:pPr>
        <w:sectPr w:rsidR="00E63BA3" w:rsidSect="00DB48F2">
          <w:type w:val="continuous"/>
          <w:pgSz w:w="11906" w:h="16838" w:code="9"/>
          <w:pgMar w:top="1134" w:right="1134" w:bottom="1134" w:left="1134" w:header="709" w:footer="692" w:gutter="0"/>
          <w:cols w:space="708"/>
          <w:docGrid w:linePitch="360"/>
        </w:sectPr>
      </w:pPr>
    </w:p>
    <w:p w14:paraId="10658140" w14:textId="502330D2" w:rsidR="00B61A9B" w:rsidRDefault="00B61A9B" w:rsidP="00B61A9B"/>
    <w:p w14:paraId="43290C7D" w14:textId="56F441C0" w:rsidR="00EF6FA5" w:rsidRPr="00BF44EC" w:rsidRDefault="00EF6FA5" w:rsidP="00422CD7">
      <w:pPr>
        <w:rPr>
          <w:highlight w:val="darkGray"/>
        </w:rPr>
      </w:pPr>
    </w:p>
    <w:p w14:paraId="220BFE33" w14:textId="77777777" w:rsidR="00EF6FA5" w:rsidRDefault="00EF6FA5" w:rsidP="00422CD7">
      <w:pPr>
        <w:rPr>
          <w:highlight w:val="yellow"/>
        </w:rPr>
      </w:pPr>
    </w:p>
    <w:p w14:paraId="1367E4E0" w14:textId="77777777" w:rsidR="00EF6FA5" w:rsidRDefault="00EF6FA5" w:rsidP="00422CD7">
      <w:pPr>
        <w:rPr>
          <w:highlight w:val="yellow"/>
        </w:rPr>
      </w:pPr>
    </w:p>
    <w:p w14:paraId="1CCF0169" w14:textId="397F502D" w:rsidR="00BA653C" w:rsidRDefault="00831953" w:rsidP="00763E74">
      <w:pPr>
        <w:pStyle w:val="Heading1"/>
      </w:pPr>
      <w:bookmarkStart w:id="156" w:name="_Toc161400052"/>
      <w:bookmarkStart w:id="157" w:name="_Toc150866261"/>
      <w:r>
        <w:lastRenderedPageBreak/>
        <w:t>9</w:t>
      </w:r>
      <w:r w:rsidR="00763E74">
        <w:t>.</w:t>
      </w:r>
      <w:r w:rsidR="00BC3531">
        <w:tab/>
      </w:r>
      <w:r w:rsidR="00BA653C">
        <w:t>B</w:t>
      </w:r>
      <w:r w:rsidR="00BA653C" w:rsidRPr="007B47A4">
        <w:t xml:space="preserve">ulk </w:t>
      </w:r>
      <w:r w:rsidR="00002D5B">
        <w:t>water</w:t>
      </w:r>
      <w:r w:rsidR="00BA653C" w:rsidRPr="007B47A4">
        <w:t xml:space="preserve"> storage services</w:t>
      </w:r>
      <w:bookmarkEnd w:id="156"/>
      <w:r w:rsidR="006C7410">
        <w:t xml:space="preserve"> </w:t>
      </w:r>
      <w:bookmarkEnd w:id="157"/>
    </w:p>
    <w:p w14:paraId="13A012F7" w14:textId="6D9D1A23" w:rsidR="0042469A" w:rsidRPr="000B7AF4" w:rsidRDefault="00C941EA" w:rsidP="001B172D">
      <w:r w:rsidRPr="00C941EA">
        <w:t>Goulburn-Murray Water owns and manages storage facilities and assets that store water for wholesale customers (such as urban water corporations and environmental water holders) and retail customers (such as regulated surface water diverters and customers in Goulburn-Murray Water’s irrigation districts</w:t>
      </w:r>
      <w:r w:rsidR="00154377" w:rsidRPr="00972B0F">
        <w:t>)</w:t>
      </w:r>
      <w:r w:rsidR="00CF726C" w:rsidRPr="00972B0F">
        <w:t>.</w:t>
      </w:r>
      <w:r w:rsidR="004523D9" w:rsidRPr="00972B0F">
        <w:rPr>
          <w:rStyle w:val="FootnoteReference"/>
        </w:rPr>
        <w:footnoteReference w:id="84"/>
      </w:r>
      <w:r w:rsidR="00132A3A" w:rsidRPr="00972B0F">
        <w:t xml:space="preserve"> </w:t>
      </w:r>
      <w:r w:rsidR="00EE21EF" w:rsidRPr="00972B0F">
        <w:rPr>
          <w:rStyle w:val="FootnoteReference"/>
        </w:rPr>
        <w:footnoteReference w:id="85"/>
      </w:r>
      <w:r w:rsidR="00AA1268" w:rsidRPr="00AA1268">
        <w:rPr>
          <w:color w:val="B5082E"/>
        </w:rPr>
        <w:t xml:space="preserve"> </w:t>
      </w:r>
    </w:p>
    <w:p w14:paraId="7C4D7462" w14:textId="77777777" w:rsidR="00AD576B" w:rsidRDefault="00AD576B" w:rsidP="00AD576B">
      <w:pPr>
        <w:pStyle w:val="Heading2"/>
      </w:pPr>
      <w:bookmarkStart w:id="158" w:name="_Toc161400053"/>
      <w:r>
        <w:t>9.1 Tariff structures</w:t>
      </w:r>
      <w:bookmarkEnd w:id="158"/>
    </w:p>
    <w:p w14:paraId="147D25A4" w14:textId="77777777" w:rsidR="00F14948" w:rsidRDefault="00AD576B" w:rsidP="00F14948">
      <w:r>
        <w:t xml:space="preserve">Goulburn-Murray </w:t>
      </w:r>
      <w:r w:rsidR="00F14948">
        <w:t xml:space="preserve">Water’s existing tariff structure for bulk water services includes: </w:t>
      </w:r>
    </w:p>
    <w:p w14:paraId="2019B9EE" w14:textId="77777777" w:rsidR="00F14948" w:rsidRDefault="00F14948" w:rsidP="00821A3A">
      <w:pPr>
        <w:pStyle w:val="ListBullet"/>
      </w:pPr>
      <w:r>
        <w:t xml:space="preserve">A wholesale charge that recovers bulk water storage costs from the urban water businesses that use the storages, and from the environmental water holders. These charges are based on the size of the bulk entitlement held by these water businesses and the size of the environmental entitlement held by the Victorian Environmental </w:t>
      </w:r>
      <w:r w:rsidR="00AD576B">
        <w:t xml:space="preserve">Water </w:t>
      </w:r>
      <w:r>
        <w:t>Holder in a river basin. These wholesale customers pay a basin price for bulk water storage services.</w:t>
      </w:r>
    </w:p>
    <w:p w14:paraId="15FE9F87" w14:textId="2156FEC0" w:rsidR="00F14948" w:rsidRDefault="00F14948" w:rsidP="00821A3A">
      <w:pPr>
        <w:pStyle w:val="ListBullet"/>
      </w:pPr>
      <w:r>
        <w:t xml:space="preserve">A retail charge paid by irrigators based on the type, size and number of water shares held by a retail customer. Retail charges are referred to as ‘Entitlement Storage Fees’ in Goulburn-Murray’s price submission, and vary between high and low reliability water shares. </w:t>
      </w:r>
    </w:p>
    <w:p w14:paraId="643ABD21" w14:textId="77777777" w:rsidR="00F14948" w:rsidRDefault="00F14948" w:rsidP="00F14948">
      <w:r>
        <w:t xml:space="preserve">Goulburn-Murray Water’s proposed tariffs, prices and typical customer bills are set out on pages 78 to 103 of its price submission. </w:t>
      </w:r>
    </w:p>
    <w:p w14:paraId="3B162B4E" w14:textId="66D23244" w:rsidR="00421E84" w:rsidRPr="00AF0627" w:rsidRDefault="00421E84" w:rsidP="00421E84">
      <w:pPr>
        <w:pStyle w:val="Heading3"/>
      </w:pPr>
      <w:bookmarkStart w:id="159" w:name="_Toc160038337"/>
      <w:bookmarkStart w:id="160" w:name="_Toc161400054"/>
      <w:r w:rsidRPr="00AF0627">
        <w:t>Bulk wholesale charge</w:t>
      </w:r>
      <w:bookmarkEnd w:id="159"/>
      <w:bookmarkEnd w:id="160"/>
    </w:p>
    <w:p w14:paraId="4276D680" w14:textId="1D3912AA" w:rsidR="00AD576B" w:rsidRPr="00AF0627" w:rsidRDefault="009B67B6" w:rsidP="00AD576B">
      <w:r w:rsidRPr="00AF0627">
        <w:t xml:space="preserve">In its price submission, </w:t>
      </w:r>
      <w:r w:rsidR="00AD576B" w:rsidRPr="00AF0627">
        <w:t>Goulburn-Murray Water propose</w:t>
      </w:r>
      <w:r w:rsidR="00314E3E" w:rsidRPr="00AF0627">
        <w:t>d</w:t>
      </w:r>
      <w:r w:rsidR="00AD576B" w:rsidRPr="00AF0627">
        <w:t xml:space="preserve"> the following bulk water tariff reform:</w:t>
      </w:r>
    </w:p>
    <w:p w14:paraId="40149044" w14:textId="77777777" w:rsidR="00E33D08" w:rsidRPr="00AF0627" w:rsidRDefault="00AD576B" w:rsidP="00821A3A">
      <w:pPr>
        <w:pStyle w:val="ListBullet"/>
      </w:pPr>
      <w:r w:rsidRPr="00AF0627">
        <w:t xml:space="preserve">The current basin pricing approach </w:t>
      </w:r>
      <w:r w:rsidR="00281770" w:rsidRPr="00AF0627">
        <w:t xml:space="preserve">for wholesale bulk water charges </w:t>
      </w:r>
      <w:r w:rsidR="00270E13" w:rsidRPr="00AF0627">
        <w:t xml:space="preserve">levied to </w:t>
      </w:r>
      <w:r w:rsidR="00425632" w:rsidRPr="00AF0627">
        <w:t xml:space="preserve">wholesale customers </w:t>
      </w:r>
      <w:r w:rsidRPr="00AF0627">
        <w:t xml:space="preserve">will transition to a two-system pricing approach: </w:t>
      </w:r>
    </w:p>
    <w:p w14:paraId="3AAB261C" w14:textId="368D0FFD" w:rsidR="00341382" w:rsidRDefault="00AD576B" w:rsidP="00AE305A">
      <w:pPr>
        <w:pStyle w:val="ListBullet2"/>
        <w:numPr>
          <w:ilvl w:val="0"/>
          <w:numId w:val="21"/>
        </w:numPr>
      </w:pPr>
      <w:r w:rsidRPr="00176DC9">
        <w:t>the</w:t>
      </w:r>
      <w:r w:rsidRPr="00AF0627">
        <w:t xml:space="preserve"> Goulburn system (comprising Broken, Goulburn, Campaspe, Loddon and Bullarook basins)</w:t>
      </w:r>
    </w:p>
    <w:p w14:paraId="14FE40A2" w14:textId="45C4AD86" w:rsidR="00C00C92" w:rsidRDefault="00341382" w:rsidP="00AE305A">
      <w:pPr>
        <w:pStyle w:val="ListBullet2"/>
        <w:numPr>
          <w:ilvl w:val="0"/>
          <w:numId w:val="21"/>
        </w:numPr>
      </w:pPr>
      <w:r w:rsidRPr="00AF0627">
        <w:t>the Murray system (comprising Murray and Ovens basins).</w:t>
      </w:r>
    </w:p>
    <w:p w14:paraId="0D66A65F" w14:textId="0E4CB630" w:rsidR="0032514B" w:rsidRPr="00AF0627" w:rsidRDefault="00AD576B" w:rsidP="00821A3A">
      <w:pPr>
        <w:pStyle w:val="ListBullet"/>
      </w:pPr>
      <w:r w:rsidRPr="00AF0627">
        <w:lastRenderedPageBreak/>
        <w:t xml:space="preserve">The two-system pricing approach will apply from 1 July 2025 to allow time for the </w:t>
      </w:r>
      <w:r w:rsidR="00755BA6" w:rsidRPr="00AF0627">
        <w:t>releva</w:t>
      </w:r>
      <w:r w:rsidR="008D7898" w:rsidRPr="00AF0627">
        <w:t>n</w:t>
      </w:r>
      <w:r w:rsidR="00755BA6" w:rsidRPr="00AF0627">
        <w:t xml:space="preserve">t </w:t>
      </w:r>
      <w:r w:rsidRPr="00AF0627">
        <w:t xml:space="preserve">Bulk and Environmental Entitlement Orders </w:t>
      </w:r>
      <w:r w:rsidR="003165CA" w:rsidRPr="00AF0627">
        <w:t xml:space="preserve">held by </w:t>
      </w:r>
      <w:r w:rsidR="00B82D37" w:rsidRPr="00AF0627">
        <w:t xml:space="preserve">wholesale customers </w:t>
      </w:r>
      <w:r w:rsidRPr="00AF0627">
        <w:t>to be updated. Goulburn-Murray Water will continue to</w:t>
      </w:r>
      <w:r w:rsidR="00DF76D4" w:rsidRPr="00AF0627">
        <w:t xml:space="preserve"> engage with its </w:t>
      </w:r>
      <w:r w:rsidR="003B60CD" w:rsidRPr="00AF0627">
        <w:t xml:space="preserve">wholesale </w:t>
      </w:r>
      <w:r w:rsidR="00DF76D4" w:rsidRPr="00AF0627">
        <w:t xml:space="preserve">bulk water customers and the Department of Energy, Environment and Climate Action regarding the updating of the </w:t>
      </w:r>
      <w:r w:rsidR="00EE69DB" w:rsidRPr="00AF0627">
        <w:t>O</w:t>
      </w:r>
      <w:r w:rsidR="00DF76D4" w:rsidRPr="00AF0627">
        <w:t>rders.</w:t>
      </w:r>
    </w:p>
    <w:p w14:paraId="4A514705" w14:textId="53C23764" w:rsidR="00AD6E38" w:rsidRPr="00AF0627" w:rsidRDefault="00DF76D4" w:rsidP="00821A3A">
      <w:pPr>
        <w:pStyle w:val="ListBullet"/>
      </w:pPr>
      <w:r w:rsidRPr="00AF0627">
        <w:t xml:space="preserve">The </w:t>
      </w:r>
      <w:r w:rsidR="000D494D" w:rsidRPr="00AF0627">
        <w:t>current pric</w:t>
      </w:r>
      <w:r w:rsidR="006A1F62" w:rsidRPr="00AF0627">
        <w:t xml:space="preserve">es </w:t>
      </w:r>
      <w:r w:rsidR="004A4652" w:rsidRPr="00AF0627">
        <w:t>for</w:t>
      </w:r>
      <w:r w:rsidR="000D494D" w:rsidRPr="00AF0627">
        <w:t xml:space="preserve"> </w:t>
      </w:r>
      <w:r w:rsidRPr="00AF0627">
        <w:t xml:space="preserve">bulk water </w:t>
      </w:r>
      <w:r w:rsidR="00425B4A" w:rsidRPr="00AF0627">
        <w:t xml:space="preserve">services provided to </w:t>
      </w:r>
      <w:r w:rsidR="004A09D0" w:rsidRPr="00AF0627">
        <w:t>wholesale customers for</w:t>
      </w:r>
      <w:r w:rsidRPr="00AF0627">
        <w:t xml:space="preserve"> 2023–24 will apply in 2024–25 as part of Goulburn-Murray Water’s proposed </w:t>
      </w:r>
      <w:r w:rsidR="00736762" w:rsidRPr="00AF0627">
        <w:t xml:space="preserve">plan to </w:t>
      </w:r>
      <w:r w:rsidRPr="00AF0627">
        <w:t xml:space="preserve">transition </w:t>
      </w:r>
      <w:r w:rsidR="00736762" w:rsidRPr="00AF0627">
        <w:t xml:space="preserve">its wholesale customers to </w:t>
      </w:r>
      <w:r w:rsidR="006B6D17" w:rsidRPr="00AF0627">
        <w:t>system</w:t>
      </w:r>
      <w:r w:rsidR="0024555E" w:rsidRPr="00AF0627">
        <w:t>-</w:t>
      </w:r>
      <w:r w:rsidR="006B6D17" w:rsidRPr="00AF0627">
        <w:t>based pricing</w:t>
      </w:r>
      <w:r w:rsidR="008559CE" w:rsidRPr="00AF0627">
        <w:t xml:space="preserve">. </w:t>
      </w:r>
    </w:p>
    <w:p w14:paraId="13186BCD" w14:textId="2172B7B3" w:rsidR="00EB0D04" w:rsidRPr="00D56625" w:rsidRDefault="00211638" w:rsidP="00EB0D04">
      <w:r w:rsidRPr="00D56625">
        <w:t xml:space="preserve">Goulburn-Murray Water considers its proposed bulk water tariff reform </w:t>
      </w:r>
      <w:r w:rsidR="0024555E" w:rsidRPr="00D56625">
        <w:t>for its wholesale customers</w:t>
      </w:r>
      <w:r w:rsidR="000708D6" w:rsidRPr="00D56625">
        <w:t xml:space="preserve"> (entitlement holders)</w:t>
      </w:r>
      <w:r w:rsidR="0024555E" w:rsidRPr="00D56625">
        <w:t xml:space="preserve"> </w:t>
      </w:r>
      <w:r w:rsidR="00030FD8">
        <w:t>to be</w:t>
      </w:r>
      <w:r w:rsidRPr="00D56625">
        <w:t xml:space="preserve"> a more equitable pricing system as it aligns with the entitlement storage</w:t>
      </w:r>
      <w:r w:rsidR="000708D6" w:rsidRPr="00D56625">
        <w:t xml:space="preserve"> fees</w:t>
      </w:r>
      <w:r w:rsidRPr="00D56625">
        <w:t xml:space="preserve">, system-wide pricing </w:t>
      </w:r>
      <w:r w:rsidR="00B42368" w:rsidRPr="00D56625">
        <w:t xml:space="preserve">approach </w:t>
      </w:r>
      <w:r w:rsidR="00467B20" w:rsidRPr="00D56625">
        <w:t xml:space="preserve">used </w:t>
      </w:r>
      <w:r w:rsidRPr="00D56625">
        <w:t xml:space="preserve">for </w:t>
      </w:r>
      <w:r w:rsidR="00396F1D" w:rsidRPr="00D56625">
        <w:t xml:space="preserve">its </w:t>
      </w:r>
      <w:r w:rsidRPr="00D56625">
        <w:t>retail</w:t>
      </w:r>
      <w:r w:rsidR="00396F1D" w:rsidRPr="00D56625">
        <w:t xml:space="preserve"> customers</w:t>
      </w:r>
      <w:r w:rsidR="000708D6" w:rsidRPr="00D56625">
        <w:t xml:space="preserve"> (water</w:t>
      </w:r>
      <w:r w:rsidR="00722245">
        <w:t xml:space="preserve"> </w:t>
      </w:r>
      <w:r w:rsidR="000708D6" w:rsidRPr="00514012">
        <w:t>share holders</w:t>
      </w:r>
      <w:r w:rsidR="000708D6" w:rsidRPr="00D56625">
        <w:t>)</w:t>
      </w:r>
      <w:r w:rsidRPr="00D56625">
        <w:t>. We also noted in our guidance we considered basing its storage fees on a system-wide pricing approach is more cost reflective than its previous approach.</w:t>
      </w:r>
      <w:r w:rsidRPr="00D56625">
        <w:rPr>
          <w:rStyle w:val="FootnoteReference"/>
        </w:rPr>
        <w:footnoteReference w:id="86"/>
      </w:r>
      <w:r w:rsidR="00CA676E" w:rsidRPr="00D56625">
        <w:t xml:space="preserve"> </w:t>
      </w:r>
      <w:r w:rsidR="00EB0D04" w:rsidRPr="00D56625">
        <w:t xml:space="preserve">Goulburn-Murray Water stated that its proposal has been informed by pricing principles which includes cost reflectivity, administrative simplicity, ease of understanding and customer support. </w:t>
      </w:r>
    </w:p>
    <w:p w14:paraId="185A7B6B" w14:textId="46E358DA" w:rsidR="00E65FA5" w:rsidRPr="009B4DAD" w:rsidRDefault="00EB0D04" w:rsidP="00E65FA5">
      <w:r w:rsidRPr="00E348EE">
        <w:t xml:space="preserve">During the 2020 water price review, the commission approved Goulburn-Murray Water’s proposal to maintain the basin pricing approach for bulk water tariffs </w:t>
      </w:r>
      <w:r w:rsidR="007354F9" w:rsidRPr="00E348EE">
        <w:t>for wholesale customers</w:t>
      </w:r>
      <w:r w:rsidR="001A1E0C" w:rsidRPr="00E348EE">
        <w:t>,</w:t>
      </w:r>
      <w:r w:rsidR="007354F9" w:rsidRPr="00E348EE">
        <w:t xml:space="preserve"> </w:t>
      </w:r>
      <w:r w:rsidRPr="00E348EE">
        <w:t xml:space="preserve">with the possibility to transition </w:t>
      </w:r>
      <w:r w:rsidR="004C29C0" w:rsidRPr="00E348EE">
        <w:t xml:space="preserve">these </w:t>
      </w:r>
      <w:r w:rsidRPr="00E348EE">
        <w:t xml:space="preserve">bulk water charges to a system pricing approach in the 2024–2028 </w:t>
      </w:r>
      <w:r w:rsidRPr="009B4DAD">
        <w:t>regulatory period.</w:t>
      </w:r>
      <w:r w:rsidR="00166349" w:rsidRPr="009B4DAD">
        <w:rPr>
          <w:rStyle w:val="FootnoteReference"/>
        </w:rPr>
        <w:footnoteReference w:id="87"/>
      </w:r>
      <w:r w:rsidR="00E65FA5" w:rsidRPr="009B4DAD">
        <w:t xml:space="preserve"> </w:t>
      </w:r>
    </w:p>
    <w:p w14:paraId="623D7BC1" w14:textId="1A272D52" w:rsidR="00E65FA5" w:rsidRPr="009B4DAD" w:rsidRDefault="00582ED6" w:rsidP="00E65FA5">
      <w:r w:rsidRPr="009B4DAD">
        <w:t xml:space="preserve">Our consultant </w:t>
      </w:r>
      <w:r w:rsidR="00953806" w:rsidRPr="009B4DAD">
        <w:t xml:space="preserve">Egis </w:t>
      </w:r>
      <w:r w:rsidR="00CB37DF" w:rsidRPr="009B4DAD">
        <w:t>undertook a hi</w:t>
      </w:r>
      <w:r w:rsidR="006265F7" w:rsidRPr="009B4DAD">
        <w:t>gh</w:t>
      </w:r>
      <w:r w:rsidR="00326BDB" w:rsidRPr="009B4DAD">
        <w:t>-</w:t>
      </w:r>
      <w:r w:rsidR="006265F7" w:rsidRPr="009B4DAD">
        <w:t xml:space="preserve">level </w:t>
      </w:r>
      <w:r w:rsidR="005634C2" w:rsidRPr="009B4DAD">
        <w:t xml:space="preserve">review of </w:t>
      </w:r>
      <w:r w:rsidR="0064046F" w:rsidRPr="009B4DAD">
        <w:t xml:space="preserve">Goulburn-Murray Water’s </w:t>
      </w:r>
      <w:r w:rsidR="00953806" w:rsidRPr="009B4DAD">
        <w:t xml:space="preserve">proposed </w:t>
      </w:r>
      <w:r w:rsidR="006E4603" w:rsidRPr="009B4DAD">
        <w:t xml:space="preserve">bulk water tariff reform </w:t>
      </w:r>
      <w:r w:rsidR="005210C6" w:rsidRPr="009B4DAD">
        <w:t>against the requirements of the guidance</w:t>
      </w:r>
      <w:r w:rsidR="00D44D2F" w:rsidRPr="009B4DAD">
        <w:t xml:space="preserve">. Egis </w:t>
      </w:r>
      <w:r w:rsidR="003A1C21" w:rsidRPr="009B4DAD">
        <w:t xml:space="preserve">considered that </w:t>
      </w:r>
      <w:r w:rsidR="0073243C" w:rsidRPr="009B4DAD">
        <w:t>G</w:t>
      </w:r>
      <w:r w:rsidR="00BC163D" w:rsidRPr="009B4DAD">
        <w:t xml:space="preserve">oulburn-Murray Water </w:t>
      </w:r>
      <w:r w:rsidR="003D3034" w:rsidRPr="009B4DAD">
        <w:t xml:space="preserve">has justified </w:t>
      </w:r>
      <w:r w:rsidR="00846F3F" w:rsidRPr="009B4DAD">
        <w:t xml:space="preserve">its </w:t>
      </w:r>
      <w:r w:rsidR="00A1487E" w:rsidRPr="009B4DAD">
        <w:t>propos</w:t>
      </w:r>
      <w:r w:rsidR="0013023E" w:rsidRPr="009B4DAD">
        <w:t>ed</w:t>
      </w:r>
      <w:r w:rsidR="00A1487E" w:rsidRPr="009B4DAD">
        <w:t xml:space="preserve"> bulk water </w:t>
      </w:r>
      <w:r w:rsidR="0013023E" w:rsidRPr="009B4DAD">
        <w:t>reforms</w:t>
      </w:r>
      <w:r w:rsidR="007E35C8" w:rsidRPr="009B4DAD">
        <w:t xml:space="preserve"> and </w:t>
      </w:r>
      <w:r w:rsidR="0013023E" w:rsidRPr="009B4DAD">
        <w:t>has</w:t>
      </w:r>
      <w:r w:rsidR="00EA0A30" w:rsidRPr="009B4DAD">
        <w:t xml:space="preserve"> </w:t>
      </w:r>
      <w:r w:rsidR="008F69E2" w:rsidRPr="009B4DAD">
        <w:t xml:space="preserve">not </w:t>
      </w:r>
      <w:r w:rsidR="005A6A3A" w:rsidRPr="009B4DAD">
        <w:t>identif</w:t>
      </w:r>
      <w:r w:rsidR="0013023E" w:rsidRPr="009B4DAD">
        <w:t>ied</w:t>
      </w:r>
      <w:r w:rsidR="005A6A3A" w:rsidRPr="009B4DAD">
        <w:t xml:space="preserve"> any issues.</w:t>
      </w:r>
      <w:r w:rsidR="00887DC7" w:rsidRPr="009B4DAD">
        <w:rPr>
          <w:rStyle w:val="FootnoteReference"/>
        </w:rPr>
        <w:footnoteReference w:id="88"/>
      </w:r>
      <w:r w:rsidR="005A6A3A" w:rsidRPr="009B4DAD">
        <w:t xml:space="preserve"> </w:t>
      </w:r>
      <w:r w:rsidR="003D153C">
        <w:br/>
      </w:r>
      <w:r w:rsidR="00E65FA5" w:rsidRPr="009B4DAD">
        <w:t>Goulburn-Murray Water has provided evidence of its consultation and support from its bulk water customers</w:t>
      </w:r>
      <w:r w:rsidR="00AF4E63" w:rsidRPr="009B4DAD">
        <w:t xml:space="preserve"> including the </w:t>
      </w:r>
      <w:r w:rsidR="0050060B" w:rsidRPr="009B4DAD">
        <w:t>Victorian Environmental Water Holder</w:t>
      </w:r>
      <w:r w:rsidR="00E65FA5" w:rsidRPr="009B4DAD">
        <w:t xml:space="preserve">. It proposed a transition plan to allow time for the </w:t>
      </w:r>
      <w:r w:rsidR="00B42B74" w:rsidRPr="009B4DAD">
        <w:t>B</w:t>
      </w:r>
      <w:r w:rsidR="00E65FA5" w:rsidRPr="009B4DAD">
        <w:t xml:space="preserve">ulk and </w:t>
      </w:r>
      <w:r w:rsidR="00B42B74" w:rsidRPr="009B4DAD">
        <w:t>E</w:t>
      </w:r>
      <w:r w:rsidR="00E65FA5" w:rsidRPr="009B4DAD">
        <w:t xml:space="preserve">nvironmental </w:t>
      </w:r>
      <w:r w:rsidR="00B42B74" w:rsidRPr="009B4DAD">
        <w:t>E</w:t>
      </w:r>
      <w:r w:rsidR="00E65FA5" w:rsidRPr="009B4DAD">
        <w:t xml:space="preserve">ntitlement </w:t>
      </w:r>
      <w:r w:rsidR="00B42B74" w:rsidRPr="009B4DAD">
        <w:t>O</w:t>
      </w:r>
      <w:r w:rsidR="00E65FA5" w:rsidRPr="009B4DAD">
        <w:t xml:space="preserve">rders to be updated and to continue to engage with its bulk water customers and the Department of Energy, Environment and Climate Action regarding the updating of the </w:t>
      </w:r>
      <w:r w:rsidR="00B42B74" w:rsidRPr="009B4DAD">
        <w:t>O</w:t>
      </w:r>
      <w:r w:rsidR="00E65FA5" w:rsidRPr="009B4DAD">
        <w:t>rders.</w:t>
      </w:r>
    </w:p>
    <w:p w14:paraId="6BC18AAE" w14:textId="451A9C88" w:rsidR="00E65FA5" w:rsidRPr="0091260A" w:rsidRDefault="00E65FA5" w:rsidP="00E65FA5">
      <w:r w:rsidRPr="0091260A">
        <w:t>We did not receive any submissions from stakeholders about the proposed bulk water tariff reform</w:t>
      </w:r>
      <w:r w:rsidR="008535F1" w:rsidRPr="0091260A">
        <w:t xml:space="preserve"> for </w:t>
      </w:r>
      <w:r w:rsidR="000106D6" w:rsidRPr="0091260A">
        <w:t xml:space="preserve">Goulburn-Murray Water’s </w:t>
      </w:r>
      <w:r w:rsidR="008535F1" w:rsidRPr="0091260A">
        <w:t>wholesale</w:t>
      </w:r>
      <w:r w:rsidR="004C5E93" w:rsidRPr="0091260A">
        <w:t xml:space="preserve"> bulk water customers</w:t>
      </w:r>
      <w:r w:rsidRPr="0091260A">
        <w:t xml:space="preserve">. </w:t>
      </w:r>
    </w:p>
    <w:p w14:paraId="30004957" w14:textId="09B05DFF" w:rsidR="00887423" w:rsidRDefault="00E65FA5" w:rsidP="00E65FA5">
      <w:r w:rsidRPr="0091260A">
        <w:t xml:space="preserve">Our draft decision is to accept Goulburn-Murray Water’s proposed bulk water tariff reform </w:t>
      </w:r>
      <w:r w:rsidR="004C5E93" w:rsidRPr="0091260A">
        <w:t xml:space="preserve">for its wholesale customers </w:t>
      </w:r>
      <w:r w:rsidRPr="0091260A">
        <w:t>as it meets the criteria set out in the guidance. The proposal aligns the pricing approach for wholesale and retail bulk water customers</w:t>
      </w:r>
      <w:r w:rsidR="004C5E93" w:rsidRPr="0091260A">
        <w:t>, thereby</w:t>
      </w:r>
      <w:r w:rsidRPr="0091260A">
        <w:t xml:space="preserve"> making them simpler and </w:t>
      </w:r>
      <w:r w:rsidRPr="0091260A">
        <w:lastRenderedPageBreak/>
        <w:t>easier to understand. We also consider charging bulk water fees using a two-system pricing approach is more cost reflective.</w:t>
      </w:r>
    </w:p>
    <w:p w14:paraId="13D472AE" w14:textId="16A57228" w:rsidR="001F4859" w:rsidRDefault="009925CA" w:rsidP="007E129A">
      <w:pPr>
        <w:pStyle w:val="Heading3"/>
      </w:pPr>
      <w:bookmarkStart w:id="163" w:name="_Toc160038338"/>
      <w:bookmarkStart w:id="164" w:name="_Toc161400055"/>
      <w:r>
        <w:t>Entitlement storage fees</w:t>
      </w:r>
      <w:bookmarkEnd w:id="163"/>
      <w:bookmarkEnd w:id="164"/>
      <w:r>
        <w:t xml:space="preserve"> </w:t>
      </w:r>
    </w:p>
    <w:p w14:paraId="52E29B90" w14:textId="44B94D3A" w:rsidR="001F4859" w:rsidRPr="0065081E" w:rsidRDefault="001F4859" w:rsidP="001F4859">
      <w:r>
        <w:t>Goulburn-Murray Water proposed no changes to the tariff structure applying to retail customers.  The system pricing approach for entitlement storage fees, that applies to Goulburn-Mu</w:t>
      </w:r>
      <w:r>
        <w:rPr>
          <w:color w:val="B5082E"/>
        </w:rPr>
        <w:t>r</w:t>
      </w:r>
      <w:r>
        <w:t xml:space="preserve">ray Water retail customers, and which was reformed as part of the 2020 water price review, is proposed to remain. </w:t>
      </w:r>
    </w:p>
    <w:p w14:paraId="3DB90E12" w14:textId="548A12BA" w:rsidR="001F4859" w:rsidRDefault="00164C18" w:rsidP="00E65FA5">
      <w:r>
        <w:t xml:space="preserve">Our draft decision is to accept </w:t>
      </w:r>
      <w:r w:rsidR="006B4BDD">
        <w:t xml:space="preserve">Goulburn-Murray Water’s proposed tariff structure </w:t>
      </w:r>
      <w:r w:rsidR="000A6A0E">
        <w:t xml:space="preserve">for entitlement storage fees </w:t>
      </w:r>
      <w:r w:rsidR="008F0AD5" w:rsidRPr="008F0AD5">
        <w:t>on the basis that they are a continuation of Goulburn-Murray Water’s current approach and otherwise meet our guidance.</w:t>
      </w:r>
    </w:p>
    <w:p w14:paraId="3EA7B90F" w14:textId="77777777" w:rsidR="00F33A43" w:rsidRDefault="00F33A43" w:rsidP="00416FE2">
      <w:pPr>
        <w:pStyle w:val="Heading2"/>
      </w:pPr>
      <w:bookmarkStart w:id="165" w:name="_Toc161400056"/>
      <w:r>
        <w:t>9.2 Prices</w:t>
      </w:r>
      <w:bookmarkEnd w:id="165"/>
    </w:p>
    <w:p w14:paraId="437346F2" w14:textId="297A61C6" w:rsidR="00F33A43" w:rsidRPr="00A11FB5" w:rsidRDefault="00F33A43" w:rsidP="00F33A43">
      <w:r w:rsidRPr="00A11FB5">
        <w:t>For 2024</w:t>
      </w:r>
      <w:r w:rsidR="00D775CB">
        <w:t>-</w:t>
      </w:r>
      <w:r w:rsidRPr="00A11FB5">
        <w:t>25, Goulbourn-Murray Water propose</w:t>
      </w:r>
      <w:r w:rsidR="00E454CE">
        <w:t>d</w:t>
      </w:r>
      <w:r w:rsidRPr="00A11FB5">
        <w:t xml:space="preserve"> to maintain the 2023</w:t>
      </w:r>
      <w:r w:rsidR="00D775CB">
        <w:t>-</w:t>
      </w:r>
      <w:r w:rsidRPr="00A11FB5">
        <w:t xml:space="preserve">24 levels of bulk water prices </w:t>
      </w:r>
      <w:r w:rsidR="007C621B" w:rsidRPr="00A11FB5">
        <w:t xml:space="preserve">(levied to </w:t>
      </w:r>
      <w:r w:rsidRPr="00A11FB5">
        <w:t xml:space="preserve">entitlement </w:t>
      </w:r>
      <w:r w:rsidR="007C621B" w:rsidRPr="00A11FB5">
        <w:t>holders)</w:t>
      </w:r>
      <w:r w:rsidRPr="00A11FB5">
        <w:t xml:space="preserve"> and entitlement storage fees </w:t>
      </w:r>
      <w:r w:rsidR="007C621B" w:rsidRPr="00A11FB5">
        <w:t>(levied to water</w:t>
      </w:r>
      <w:r w:rsidR="007C621B" w:rsidRPr="00A11FB5" w:rsidDel="00D13BD9">
        <w:t xml:space="preserve"> </w:t>
      </w:r>
      <w:r w:rsidR="00E551A6" w:rsidRPr="00A11FB5">
        <w:t>share</w:t>
      </w:r>
      <w:r w:rsidR="00BA619A">
        <w:t xml:space="preserve"> </w:t>
      </w:r>
      <w:r w:rsidR="00E551A6" w:rsidRPr="00A11FB5">
        <w:t>holders</w:t>
      </w:r>
      <w:r w:rsidR="007C621B" w:rsidRPr="00A11FB5">
        <w:t>)</w:t>
      </w:r>
      <w:r w:rsidRPr="00A11FB5">
        <w:t xml:space="preserve"> across the different tariffs.</w:t>
      </w:r>
      <w:r w:rsidR="00713793" w:rsidRPr="00A11FB5">
        <w:rPr>
          <w:rStyle w:val="FootnoteReference"/>
        </w:rPr>
        <w:footnoteReference w:id="89"/>
      </w:r>
      <w:r w:rsidRPr="00A11FB5">
        <w:t xml:space="preserve"> In 2025</w:t>
      </w:r>
      <w:r w:rsidR="00DB38DA">
        <w:t>-</w:t>
      </w:r>
      <w:r w:rsidRPr="00A11FB5">
        <w:t>26, most of the bulk water prices and entitlement storage fees in the Murray and Goulburn systems are proposed to decrease.</w:t>
      </w:r>
      <w:r w:rsidR="00E110CF" w:rsidRPr="00A11FB5">
        <w:rPr>
          <w:rStyle w:val="FootnoteReference"/>
        </w:rPr>
        <w:footnoteReference w:id="90"/>
      </w:r>
      <w:r w:rsidRPr="00A11FB5">
        <w:t xml:space="preserve"> For the remaining years of the regulatory period, bulk water prices and entitlement storage fees in the Murray system are proposed to decrease further while the Goulburn system are proposed to increase slightly.  </w:t>
      </w:r>
    </w:p>
    <w:p w14:paraId="06DAC5A3" w14:textId="77777777" w:rsidR="00044B38" w:rsidRDefault="00F33A43" w:rsidP="00F33A43">
      <w:pPr>
        <w:sectPr w:rsidR="00044B38" w:rsidSect="00DB48F2">
          <w:footerReference w:type="default" r:id="rId42"/>
          <w:type w:val="continuous"/>
          <w:pgSz w:w="11906" w:h="16838" w:code="9"/>
          <w:pgMar w:top="1134" w:right="1134" w:bottom="1134" w:left="1134" w:header="709" w:footer="692" w:gutter="0"/>
          <w:cols w:space="708"/>
          <w:docGrid w:linePitch="360"/>
        </w:sectPr>
      </w:pPr>
      <w:r w:rsidRPr="000C72BA">
        <w:t xml:space="preserve">In response to our draft decision, Goulburn-Murray Water will need to update </w:t>
      </w:r>
      <w:r w:rsidR="00E122CD">
        <w:t>its proposed</w:t>
      </w:r>
      <w:r w:rsidRPr="000C72BA">
        <w:t xml:space="preserve"> prices </w:t>
      </w:r>
      <w:r w:rsidR="00B63363" w:rsidRPr="000C72BA">
        <w:t>in</w:t>
      </w:r>
      <w:r w:rsidR="00B63363">
        <w:t xml:space="preserve"> response to </w:t>
      </w:r>
      <w:r w:rsidR="00E122CD">
        <w:t xml:space="preserve">our </w:t>
      </w:r>
      <w:r w:rsidR="00B63363">
        <w:t xml:space="preserve">update to </w:t>
      </w:r>
      <w:r w:rsidR="00E122CD">
        <w:t xml:space="preserve">long-term inflation in our draft decision, and upcoming </w:t>
      </w:r>
      <w:r w:rsidR="00B63363">
        <w:t xml:space="preserve">cost of debt </w:t>
      </w:r>
      <w:r w:rsidR="00C57E67">
        <w:t>update.</w:t>
      </w:r>
    </w:p>
    <w:p w14:paraId="052DC7BE" w14:textId="0DC13A2F" w:rsidR="00F33A43" w:rsidRDefault="00F33A43" w:rsidP="00F33A43"/>
    <w:p w14:paraId="0E7EE500" w14:textId="77777777" w:rsidR="0042469A" w:rsidRPr="00CF726C" w:rsidRDefault="0042469A" w:rsidP="00CF726C"/>
    <w:p w14:paraId="7647E316" w14:textId="523942C8" w:rsidR="00BA653C" w:rsidRDefault="00831953" w:rsidP="00763E74">
      <w:pPr>
        <w:pStyle w:val="Heading1"/>
      </w:pPr>
      <w:bookmarkStart w:id="166" w:name="_Toc161400057"/>
      <w:bookmarkStart w:id="167" w:name="_Toc150866262"/>
      <w:r>
        <w:lastRenderedPageBreak/>
        <w:t>10</w:t>
      </w:r>
      <w:r w:rsidR="00763E74">
        <w:t>.</w:t>
      </w:r>
      <w:r w:rsidR="00522C6D">
        <w:tab/>
      </w:r>
      <w:r w:rsidR="00BA653C">
        <w:t>S</w:t>
      </w:r>
      <w:r w:rsidR="00BA653C" w:rsidRPr="007B47A4">
        <w:t>ervice point fees</w:t>
      </w:r>
      <w:bookmarkEnd w:id="166"/>
      <w:r w:rsidR="006C7410">
        <w:t xml:space="preserve"> </w:t>
      </w:r>
      <w:bookmarkEnd w:id="167"/>
    </w:p>
    <w:p w14:paraId="34091370" w14:textId="6A97EB46" w:rsidR="00174AF3" w:rsidRPr="00A8066F" w:rsidRDefault="00174AF3" w:rsidP="00174AF3">
      <w:r w:rsidRPr="00A8066F">
        <w:t>Service points are the connection point between a farm and the water supply network (channel, pipeline, river or aquifer).</w:t>
      </w:r>
      <w:r w:rsidRPr="00A8066F">
        <w:rPr>
          <w:rStyle w:val="FootnoteReference"/>
        </w:rPr>
        <w:footnoteReference w:id="91"/>
      </w:r>
      <w:r w:rsidRPr="00A8066F">
        <w:t xml:space="preserve"> For most significant water users, the service point incorporates a meter to measure water deliveries for water sharing and entitlement compliance management, and for charging purposes. </w:t>
      </w:r>
    </w:p>
    <w:p w14:paraId="2F4AB215" w14:textId="29FE3C40" w:rsidR="0072493B" w:rsidRDefault="00174AF3" w:rsidP="00174AF3">
      <w:r w:rsidRPr="00A8066F">
        <w:t>Service point fees reflect the costs associated with operating, maintaining and replacing service points. They also provide price signals to encourage removal of unneeded service points which can facilitate the wider rationalisation of distribution network assets.</w:t>
      </w:r>
    </w:p>
    <w:p w14:paraId="70838EA9" w14:textId="77777777" w:rsidR="008178A4" w:rsidRDefault="008178A4" w:rsidP="008178A4">
      <w:pPr>
        <w:pStyle w:val="Heading2"/>
      </w:pPr>
      <w:bookmarkStart w:id="168" w:name="_Toc161400058"/>
      <w:r>
        <w:t>10.1 Tariff structures</w:t>
      </w:r>
      <w:bookmarkEnd w:id="168"/>
    </w:p>
    <w:p w14:paraId="0204CC3B" w14:textId="2770673D" w:rsidR="008178A4" w:rsidRPr="00A643BA" w:rsidRDefault="008178A4" w:rsidP="008178A4">
      <w:r w:rsidRPr="00A643BA">
        <w:t xml:space="preserve">Goulburn-Murray Water currently charges service point tariff for the following irrigation service points (meters and outlets) for the delivery of water to recover operating and maintenance costs: </w:t>
      </w:r>
    </w:p>
    <w:p w14:paraId="0D1B9707" w14:textId="48C2B7F3" w:rsidR="008178A4" w:rsidRPr="00A643BA" w:rsidRDefault="00B80FB8" w:rsidP="00821A3A">
      <w:pPr>
        <w:pStyle w:val="ListBullet"/>
      </w:pPr>
      <w:r w:rsidRPr="00A643BA">
        <w:t>d</w:t>
      </w:r>
      <w:r w:rsidR="008178A4" w:rsidRPr="00A643BA">
        <w:t xml:space="preserve">omestic and </w:t>
      </w:r>
      <w:r w:rsidR="00BE336F" w:rsidRPr="00A643BA">
        <w:t>s</w:t>
      </w:r>
      <w:r w:rsidR="008178A4" w:rsidRPr="00A643BA">
        <w:t xml:space="preserve">tock – </w:t>
      </w:r>
      <w:r w:rsidR="00B00016" w:rsidRPr="00A643BA">
        <w:t xml:space="preserve">service point </w:t>
      </w:r>
      <w:r w:rsidR="004F1092" w:rsidRPr="00A643BA">
        <w:t>that relates to</w:t>
      </w:r>
      <w:r w:rsidR="008178A4" w:rsidRPr="00A643BA">
        <w:t xml:space="preserve"> domestic and stock </w:t>
      </w:r>
      <w:r w:rsidR="004F1092" w:rsidRPr="00A643BA">
        <w:t>customers</w:t>
      </w:r>
      <w:r w:rsidR="008178A4" w:rsidRPr="00A643BA">
        <w:t xml:space="preserve"> </w:t>
      </w:r>
    </w:p>
    <w:p w14:paraId="767DA5BC" w14:textId="5AD79CC2" w:rsidR="008178A4" w:rsidRPr="00A643BA" w:rsidRDefault="00822E39" w:rsidP="00821A3A">
      <w:pPr>
        <w:pStyle w:val="ListBullet"/>
      </w:pPr>
      <w:r w:rsidRPr="00A643BA">
        <w:t>l</w:t>
      </w:r>
      <w:r w:rsidR="008178A4" w:rsidRPr="00A643BA">
        <w:t xml:space="preserve">ocal </w:t>
      </w:r>
      <w:r w:rsidR="00BE336F" w:rsidRPr="00A643BA">
        <w:t>r</w:t>
      </w:r>
      <w:r w:rsidR="008178A4" w:rsidRPr="00A643BA">
        <w:t xml:space="preserve">ead – service point that is manually operated and the meter reading is manually collected </w:t>
      </w:r>
    </w:p>
    <w:p w14:paraId="4D4C04FD" w14:textId="3241AE9A" w:rsidR="008178A4" w:rsidRPr="00A643BA" w:rsidRDefault="00822E39" w:rsidP="00821A3A">
      <w:pPr>
        <w:pStyle w:val="ListBullet"/>
      </w:pPr>
      <w:r w:rsidRPr="00A643BA">
        <w:t>l</w:t>
      </w:r>
      <w:r w:rsidR="008178A4" w:rsidRPr="00A643BA">
        <w:t xml:space="preserve">ocal </w:t>
      </w:r>
      <w:r w:rsidRPr="00A643BA">
        <w:t>o</w:t>
      </w:r>
      <w:r w:rsidR="008178A4" w:rsidRPr="00A643BA">
        <w:t xml:space="preserve">perate – service point with some electronic features which is manually operated and the meter reading is automatically recorded </w:t>
      </w:r>
    </w:p>
    <w:p w14:paraId="78683799" w14:textId="4FBD7538" w:rsidR="008178A4" w:rsidRPr="00A643BA" w:rsidRDefault="009645F1" w:rsidP="00821A3A">
      <w:pPr>
        <w:pStyle w:val="ListBullet"/>
      </w:pPr>
      <w:r w:rsidRPr="00A643BA">
        <w:t>r</w:t>
      </w:r>
      <w:r w:rsidR="008178A4" w:rsidRPr="00A643BA">
        <w:t xml:space="preserve">emote </w:t>
      </w:r>
      <w:r w:rsidR="007C039A" w:rsidRPr="00A643BA">
        <w:t>o</w:t>
      </w:r>
      <w:r w:rsidR="008178A4" w:rsidRPr="00A643BA">
        <w:t xml:space="preserve">perate – service point is automatically operated and the meter reading is automatically recorded. </w:t>
      </w:r>
    </w:p>
    <w:p w14:paraId="5129D2AE" w14:textId="7D131F94" w:rsidR="008178A4" w:rsidRPr="00A643BA" w:rsidRDefault="008178A4" w:rsidP="008178A4">
      <w:r w:rsidRPr="00A643BA">
        <w:t xml:space="preserve">Goulburn-Murray Water also charges </w:t>
      </w:r>
      <w:r w:rsidR="00ED463E" w:rsidRPr="00A643BA">
        <w:t xml:space="preserve">the following </w:t>
      </w:r>
      <w:r w:rsidRPr="00A643BA">
        <w:t>service point tariffs to surface water and groundwater diverters to recover the costs of compliance, monitoring, usage, and maintenance of meters (where installed) at each diversion site:</w:t>
      </w:r>
    </w:p>
    <w:p w14:paraId="4C843ED8" w14:textId="478C9E09" w:rsidR="008178A4" w:rsidRPr="00A643BA" w:rsidRDefault="00FF70EA" w:rsidP="00821A3A">
      <w:pPr>
        <w:pStyle w:val="ListBullet"/>
      </w:pPr>
      <w:r w:rsidRPr="00A643BA">
        <w:t>u</w:t>
      </w:r>
      <w:r w:rsidR="008178A4" w:rsidRPr="00A643BA">
        <w:t xml:space="preserve">nmetered service points – refers to service points that do not have a meter installed, or are used only for domestic and stock purposes </w:t>
      </w:r>
    </w:p>
    <w:p w14:paraId="32010A4E" w14:textId="6AE7F832" w:rsidR="008178A4" w:rsidRPr="00A643BA" w:rsidRDefault="00FF70EA" w:rsidP="00821A3A">
      <w:pPr>
        <w:pStyle w:val="ListBullet"/>
      </w:pPr>
      <w:r w:rsidRPr="00A643BA">
        <w:t>m</w:t>
      </w:r>
      <w:r w:rsidR="008178A4" w:rsidRPr="00A643BA">
        <w:t>etered service points – refers to service points where a meter is installed and is used for purposes other than domestic and stock.</w:t>
      </w:r>
    </w:p>
    <w:p w14:paraId="366F369B" w14:textId="61AF6068" w:rsidR="00BB74CA" w:rsidRPr="00A643BA" w:rsidRDefault="00BB74CA" w:rsidP="00BB74CA">
      <w:r w:rsidRPr="00A643BA">
        <w:t>Goulburn-Murray Water’s service point fees are outlined on pages 94 to 98 of its price submission. Under the current tariff structure, the level of service point fees for all metered customers are the same ($455) and the level of service point fees for all unmetered customers are the same ($145).</w:t>
      </w:r>
      <w:r w:rsidR="00B857F4" w:rsidRPr="00A643BA">
        <w:rPr>
          <w:rStyle w:val="FootnoteReference"/>
        </w:rPr>
        <w:footnoteReference w:id="92"/>
      </w:r>
      <w:r w:rsidRPr="00A643BA">
        <w:t xml:space="preserve">   </w:t>
      </w:r>
    </w:p>
    <w:p w14:paraId="3FEDE7B9" w14:textId="1862D834" w:rsidR="00A24320" w:rsidRPr="00F52A81" w:rsidRDefault="00A24320" w:rsidP="00A24320">
      <w:r w:rsidRPr="00F52A81">
        <w:lastRenderedPageBreak/>
        <w:t xml:space="preserve">In response to stakeholders’ feedback, Goulburn-Murray Water engaged an external consultant to review and validate its current costing assumptions and logic for service point fees. </w:t>
      </w:r>
      <w:r w:rsidR="006627CD" w:rsidRPr="00F52A81">
        <w:br/>
      </w:r>
      <w:r w:rsidRPr="00F52A81">
        <w:t xml:space="preserve">Goulburn-Murray Water stated in its price submission that its consultant: </w:t>
      </w:r>
    </w:p>
    <w:p w14:paraId="24DF8BD6" w14:textId="0402CE56" w:rsidR="00A24320" w:rsidRPr="00F52A81" w:rsidRDefault="00A24320" w:rsidP="00821A3A">
      <w:pPr>
        <w:pStyle w:val="ListBullet"/>
      </w:pPr>
      <w:r w:rsidRPr="00F52A81">
        <w:t xml:space="preserve">found that its tariffs and pricing method for service point fees </w:t>
      </w:r>
      <w:r w:rsidR="00ED430B" w:rsidRPr="00F52A81">
        <w:t>are</w:t>
      </w:r>
      <w:r w:rsidRPr="00F52A81">
        <w:t xml:space="preserve"> fit-for-purpose but noted that the process relies on a range of assumptions to derive each price</w:t>
      </w:r>
    </w:p>
    <w:p w14:paraId="2F044C3D" w14:textId="4FBE8754" w:rsidR="00A24320" w:rsidRPr="00F52A81" w:rsidRDefault="00A24320" w:rsidP="00821A3A">
      <w:pPr>
        <w:pStyle w:val="ListBullet"/>
      </w:pPr>
      <w:r w:rsidRPr="00F52A81">
        <w:t>suggested that Goulburn-Murray Water should consider separating service point fees for diversion and irrigation district customers in the future. Goulburn-Murray Water’s consultants noted this does not necessarily mean different prices, but it would allow for flexibility of cost drivers for each group to change in the future.</w:t>
      </w:r>
    </w:p>
    <w:p w14:paraId="52ED7C2D" w14:textId="5D7EC2BD" w:rsidR="00A24320" w:rsidRPr="00F52A81" w:rsidRDefault="00A24320" w:rsidP="00821A3A">
      <w:pPr>
        <w:pStyle w:val="ListBullet"/>
      </w:pPr>
      <w:r w:rsidRPr="00F52A81">
        <w:t xml:space="preserve">determined that separating domestic and stock on unregulated waterways from unmetered irrigation in diversions does not have any intrinsic merit. </w:t>
      </w:r>
      <w:r w:rsidR="0099607C" w:rsidRPr="00F52A81">
        <w:rPr>
          <w:rStyle w:val="FootnoteReference"/>
        </w:rPr>
        <w:footnoteReference w:id="93"/>
      </w:r>
      <w:r w:rsidRPr="00F52A81">
        <w:t xml:space="preserve"> </w:t>
      </w:r>
    </w:p>
    <w:p w14:paraId="12294768" w14:textId="28234160" w:rsidR="00A24320" w:rsidRPr="00F52A81" w:rsidRDefault="00A24320" w:rsidP="00A24320">
      <w:r w:rsidRPr="00F52A81">
        <w:t>Goulburn-Murray Water propose</w:t>
      </w:r>
      <w:r w:rsidR="00B07A64" w:rsidRPr="00F52A81">
        <w:t>d</w:t>
      </w:r>
      <w:r w:rsidRPr="00F52A81">
        <w:t xml:space="preserve"> to maintain its service point fees tariff structure for the</w:t>
      </w:r>
      <w:r w:rsidR="00D33515" w:rsidRPr="00F52A81">
        <w:t xml:space="preserve"> </w:t>
      </w:r>
      <w:r w:rsidR="00070141" w:rsidRPr="00F52A81">
        <w:br/>
      </w:r>
      <w:r w:rsidRPr="00F52A81">
        <w:t>2024</w:t>
      </w:r>
      <w:r w:rsidR="00D33515" w:rsidRPr="00F52A81">
        <w:t>–</w:t>
      </w:r>
      <w:r w:rsidRPr="00F52A81">
        <w:t xml:space="preserve">28 regulatory period </w:t>
      </w:r>
      <w:r w:rsidR="00700571" w:rsidRPr="00F52A81">
        <w:t xml:space="preserve">after </w:t>
      </w:r>
      <w:r w:rsidR="00D719C1" w:rsidRPr="00F52A81">
        <w:t>considering</w:t>
      </w:r>
      <w:r w:rsidRPr="00F52A81">
        <w:t xml:space="preserve"> its consultant’s findings. It considers </w:t>
      </w:r>
      <w:r w:rsidR="005E22BE">
        <w:t xml:space="preserve">that </w:t>
      </w:r>
      <w:r w:rsidRPr="00F52A81">
        <w:t xml:space="preserve">the tariff structure </w:t>
      </w:r>
      <w:r w:rsidR="005E22BE">
        <w:t>is</w:t>
      </w:r>
      <w:r w:rsidRPr="00F52A81">
        <w:t xml:space="preserve"> consistent with pricing principles of sustainable revenue and customer focus including in relation to service standards, price path stability and the costs of implementing the tariff offering, including administration costs.</w:t>
      </w:r>
      <w:r w:rsidR="00BF31B2" w:rsidRPr="00F52A81">
        <w:rPr>
          <w:rStyle w:val="FootnoteReference"/>
        </w:rPr>
        <w:footnoteReference w:id="94"/>
      </w:r>
      <w:r w:rsidRPr="00F52A81">
        <w:t xml:space="preserve">    </w:t>
      </w:r>
    </w:p>
    <w:p w14:paraId="34308D6E" w14:textId="77777777" w:rsidR="00870B5E" w:rsidRDefault="00870B5E" w:rsidP="005C5F92">
      <w:pPr>
        <w:pStyle w:val="Heading3"/>
      </w:pPr>
      <w:bookmarkStart w:id="169" w:name="_Toc160038342"/>
      <w:bookmarkStart w:id="170" w:name="_Toc161400059"/>
      <w:r>
        <w:t>Our assessment and consideration of stakeholders’ feedback</w:t>
      </w:r>
      <w:bookmarkEnd w:id="169"/>
      <w:bookmarkEnd w:id="170"/>
    </w:p>
    <w:p w14:paraId="45AE90E6" w14:textId="0BA9BC7D" w:rsidR="00870B5E" w:rsidRPr="00F52A81" w:rsidRDefault="00870B5E" w:rsidP="00870B5E">
      <w:r w:rsidRPr="00F52A81">
        <w:t xml:space="preserve">We received 16 submissions from a total of 34 </w:t>
      </w:r>
      <w:r w:rsidRPr="00392969">
        <w:t>diverters</w:t>
      </w:r>
      <w:r w:rsidRPr="00F52A81">
        <w:t xml:space="preserve"> on unregulated waterways. </w:t>
      </w:r>
      <w:r w:rsidR="00EE3CD2">
        <w:t>Nine</w:t>
      </w:r>
      <w:r w:rsidRPr="00F52A81">
        <w:t xml:space="preserve"> of these submissions raised the following concerns about service point fees that apply to unmetered diverters on unregulated waterways:   </w:t>
      </w:r>
    </w:p>
    <w:p w14:paraId="54F99C86" w14:textId="7194875D" w:rsidR="00870B5E" w:rsidRPr="00F52A81" w:rsidRDefault="006E60AE" w:rsidP="00821A3A">
      <w:pPr>
        <w:pStyle w:val="ListBullet"/>
      </w:pPr>
      <w:r w:rsidRPr="00F52A81">
        <w:t>C</w:t>
      </w:r>
      <w:r w:rsidR="00870B5E" w:rsidRPr="00F52A81">
        <w:t xml:space="preserve">ost assumptions underpinning price proposals are not reasonable </w:t>
      </w:r>
      <w:r w:rsidR="00D06754" w:rsidRPr="00F52A81">
        <w:t>or</w:t>
      </w:r>
      <w:r w:rsidR="00870B5E" w:rsidRPr="00F52A81">
        <w:t xml:space="preserve"> transparent</w:t>
      </w:r>
      <w:r w:rsidRPr="00F52A81">
        <w:t>.</w:t>
      </w:r>
      <w:r w:rsidR="00870B5E" w:rsidRPr="00F52A81">
        <w:t xml:space="preserve"> </w:t>
      </w:r>
    </w:p>
    <w:p w14:paraId="06F699C6" w14:textId="5957A5DA" w:rsidR="00870B5E" w:rsidRPr="00F52A81" w:rsidRDefault="006E60AE" w:rsidP="00821A3A">
      <w:pPr>
        <w:pStyle w:val="ListBullet"/>
      </w:pPr>
      <w:r w:rsidRPr="00F52A81">
        <w:t>S</w:t>
      </w:r>
      <w:r w:rsidR="00870B5E" w:rsidRPr="00F52A81">
        <w:t>ervice point fee</w:t>
      </w:r>
      <w:r w:rsidR="00155553" w:rsidRPr="00F52A81">
        <w:t>s</w:t>
      </w:r>
      <w:r w:rsidR="00870B5E" w:rsidRPr="00F52A81">
        <w:t xml:space="preserve"> should not apply to them given no service </w:t>
      </w:r>
      <w:r w:rsidR="00D93E30" w:rsidRPr="00F52A81">
        <w:t xml:space="preserve">is </w:t>
      </w:r>
      <w:r w:rsidR="00870B5E" w:rsidRPr="00F52A81">
        <w:t>being provided</w:t>
      </w:r>
      <w:r w:rsidRPr="00F52A81">
        <w:t>.</w:t>
      </w:r>
    </w:p>
    <w:p w14:paraId="3D75F348" w14:textId="21986897" w:rsidR="00870B5E" w:rsidRPr="00F52A81" w:rsidRDefault="006E60AE" w:rsidP="00821A3A">
      <w:pPr>
        <w:pStyle w:val="ListBullet"/>
      </w:pPr>
      <w:r w:rsidRPr="00F52A81">
        <w:t>I</w:t>
      </w:r>
      <w:r w:rsidR="00870B5E" w:rsidRPr="00F52A81">
        <w:t>t is not reasonable to apply deeming costs to all unmetered users as it promotes cross-subsidisation</w:t>
      </w:r>
      <w:r w:rsidR="00183104" w:rsidRPr="00F52A81">
        <w:t>.</w:t>
      </w:r>
    </w:p>
    <w:p w14:paraId="7102ED64" w14:textId="38CBF7B7" w:rsidR="00870B5E" w:rsidRPr="00F52A81" w:rsidRDefault="00183104" w:rsidP="00821A3A">
      <w:pPr>
        <w:pStyle w:val="ListBullet"/>
      </w:pPr>
      <w:r w:rsidRPr="00F52A81">
        <w:t>I</w:t>
      </w:r>
      <w:r w:rsidR="00870B5E" w:rsidRPr="00F52A81">
        <w:t>t is not unreasonable for inspection and surveillance cost to be related to entitlements</w:t>
      </w:r>
      <w:r w:rsidRPr="00F52A81">
        <w:t>.</w:t>
      </w:r>
    </w:p>
    <w:p w14:paraId="65ADE545" w14:textId="64799398" w:rsidR="00563C05" w:rsidRPr="00F52A81" w:rsidRDefault="00183104" w:rsidP="00821A3A">
      <w:pPr>
        <w:pStyle w:val="ListBullet"/>
      </w:pPr>
      <w:r w:rsidRPr="00F52A81">
        <w:t>D</w:t>
      </w:r>
      <w:r w:rsidR="00870B5E" w:rsidRPr="00F52A81">
        <w:t>iverters on unregulated waterways should be treated as a separate customer group.</w:t>
      </w:r>
      <w:r w:rsidR="00312FF7" w:rsidRPr="00F52A81">
        <w:rPr>
          <w:rStyle w:val="FootnoteReference"/>
        </w:rPr>
        <w:footnoteReference w:id="95"/>
      </w:r>
      <w:r w:rsidR="00870B5E" w:rsidRPr="00F52A81">
        <w:t xml:space="preserve">   </w:t>
      </w:r>
    </w:p>
    <w:p w14:paraId="7DF9C761" w14:textId="0DCF79CD" w:rsidR="00BC7EB1" w:rsidRPr="004E4EC2" w:rsidRDefault="00BC7EB1" w:rsidP="00BC7EB1">
      <w:r w:rsidRPr="004E4EC2">
        <w:lastRenderedPageBreak/>
        <w:t xml:space="preserve">Egis </w:t>
      </w:r>
      <w:r w:rsidR="00AC4330" w:rsidRPr="004E4EC2">
        <w:t>assess</w:t>
      </w:r>
      <w:r w:rsidR="00B13E75" w:rsidRPr="004E4EC2">
        <w:t>ed</w:t>
      </w:r>
      <w:r w:rsidRPr="004E4EC2">
        <w:t xml:space="preserve"> Goulburn</w:t>
      </w:r>
      <w:r w:rsidR="00D123D9" w:rsidRPr="004E4EC2">
        <w:t>-</w:t>
      </w:r>
      <w:r w:rsidRPr="004E4EC2">
        <w:t xml:space="preserve">Murray Water’s proposed service point fees </w:t>
      </w:r>
      <w:r w:rsidR="00B47BA9" w:rsidRPr="004E4EC2">
        <w:t>against the commission’s guidance</w:t>
      </w:r>
      <w:r w:rsidR="00762FA2" w:rsidRPr="004E4EC2">
        <w:t xml:space="preserve"> in relation to diversion tariffs that are payable by domestic and stock users</w:t>
      </w:r>
      <w:r w:rsidR="009B37D4" w:rsidRPr="004E4EC2" w:rsidDel="00BE12D2">
        <w:t>.</w:t>
      </w:r>
      <w:r w:rsidR="001D4346" w:rsidRPr="004E4EC2">
        <w:rPr>
          <w:rStyle w:val="FootnoteReference"/>
        </w:rPr>
        <w:footnoteReference w:id="96"/>
      </w:r>
      <w:r w:rsidR="00BE12D2" w:rsidRPr="004E4EC2">
        <w:t xml:space="preserve"> </w:t>
      </w:r>
      <w:r w:rsidRPr="004E4EC2">
        <w:t xml:space="preserve">Egis </w:t>
      </w:r>
      <w:r w:rsidR="00920D9F" w:rsidRPr="004E4EC2">
        <w:t>considered that Goulburn-Murray Water has not demonstrated</w:t>
      </w:r>
      <w:r w:rsidRPr="004E4EC2">
        <w:t xml:space="preserve"> </w:t>
      </w:r>
      <w:r w:rsidR="00C264EC" w:rsidRPr="004E4EC2">
        <w:t xml:space="preserve">that the </w:t>
      </w:r>
      <w:r w:rsidR="00CB7A1E" w:rsidRPr="004E4EC2">
        <w:t>service point fee</w:t>
      </w:r>
      <w:r w:rsidR="00C54AE2" w:rsidRPr="004E4EC2">
        <w:t xml:space="preserve"> reflect</w:t>
      </w:r>
      <w:r w:rsidR="00F66227" w:rsidRPr="004E4EC2">
        <w:t>s</w:t>
      </w:r>
      <w:r w:rsidR="00C54AE2" w:rsidRPr="004E4EC2">
        <w:t xml:space="preserve"> an efficient cost</w:t>
      </w:r>
      <w:r w:rsidR="00B519A7" w:rsidRPr="004E4EC2">
        <w:t>.</w:t>
      </w:r>
      <w:r w:rsidR="00856A32" w:rsidRPr="00244841">
        <w:rPr>
          <w:rStyle w:val="FootnoteReference"/>
        </w:rPr>
        <w:footnoteReference w:id="97"/>
      </w:r>
      <w:r w:rsidR="00321C5B" w:rsidRPr="00244841">
        <w:t xml:space="preserve"> Goulburn-Murray Water reviewed Egis’s</w:t>
      </w:r>
      <w:r w:rsidR="00DE33E9" w:rsidRPr="00244841">
        <w:t xml:space="preserve"> draft</w:t>
      </w:r>
      <w:r w:rsidR="00321C5B" w:rsidRPr="00244841">
        <w:t xml:space="preserve"> report</w:t>
      </w:r>
      <w:r w:rsidR="00A61E54" w:rsidRPr="00244841">
        <w:t xml:space="preserve"> </w:t>
      </w:r>
      <w:r w:rsidR="006D3F42" w:rsidRPr="00244841">
        <w:t xml:space="preserve">for errors and </w:t>
      </w:r>
      <w:r w:rsidR="00495E6F" w:rsidRPr="00244841">
        <w:t>omissions, and generally accepted the report’s findings.</w:t>
      </w:r>
      <w:r w:rsidR="00495E6F">
        <w:t xml:space="preserve"> </w:t>
      </w:r>
    </w:p>
    <w:p w14:paraId="05BFBD74" w14:textId="085A1329" w:rsidR="00B26FD4" w:rsidRPr="00FD227B" w:rsidRDefault="00B26FD4" w:rsidP="00BC7EB1">
      <w:r w:rsidRPr="00FD227B">
        <w:t>Egis’ findings on key elements of the service point fee</w:t>
      </w:r>
      <w:r w:rsidR="002627F6" w:rsidRPr="00FD227B">
        <w:t xml:space="preserve"> </w:t>
      </w:r>
      <w:r w:rsidR="0076635D" w:rsidRPr="00FD227B">
        <w:t xml:space="preserve">are </w:t>
      </w:r>
      <w:r w:rsidR="002627F6" w:rsidRPr="00FD227B">
        <w:t>set out below</w:t>
      </w:r>
      <w:r w:rsidR="00034B31" w:rsidRPr="00FD227B">
        <w:t>.</w:t>
      </w:r>
    </w:p>
    <w:p w14:paraId="723778B3" w14:textId="4406231D" w:rsidR="005C145A" w:rsidRPr="004E4EC2" w:rsidRDefault="005C145A" w:rsidP="005C145A">
      <w:pPr>
        <w:pStyle w:val="Heading4"/>
      </w:pPr>
      <w:r w:rsidRPr="004E4EC2">
        <w:t>Inspection and surveillance</w:t>
      </w:r>
    </w:p>
    <w:p w14:paraId="3E08203A" w14:textId="2713E522" w:rsidR="00021667" w:rsidRPr="004E4EC2" w:rsidRDefault="00754587" w:rsidP="00754587">
      <w:r w:rsidRPr="004E4EC2">
        <w:t xml:space="preserve">Egis </w:t>
      </w:r>
      <w:r w:rsidR="00021667" w:rsidRPr="004E4EC2">
        <w:t>considered that Goulburn-Murray Water needs to improve the accuracy of its data</w:t>
      </w:r>
      <w:r w:rsidR="00E02CB9">
        <w:t xml:space="preserve"> and </w:t>
      </w:r>
      <w:r w:rsidR="00C0459C" w:rsidRPr="004E4EC2">
        <w:t>assumptions</w:t>
      </w:r>
      <w:r w:rsidR="0018515B" w:rsidRPr="004E4EC2">
        <w:t xml:space="preserve"> </w:t>
      </w:r>
      <w:r w:rsidR="0008228D" w:rsidRPr="004E4EC2">
        <w:t>under</w:t>
      </w:r>
      <w:r w:rsidR="00021667" w:rsidRPr="004E4EC2">
        <w:t>lying the calculations of inspection and surveillance costs</w:t>
      </w:r>
      <w:r w:rsidR="00812559" w:rsidRPr="004E4EC2">
        <w:t xml:space="preserve"> (the biggest cost component of service point fee for diverters on unregulated waterways)</w:t>
      </w:r>
      <w:r w:rsidR="00513C24" w:rsidRPr="004E4EC2">
        <w:t>.</w:t>
      </w:r>
    </w:p>
    <w:p w14:paraId="7262C3A7" w14:textId="6BDAF48E" w:rsidR="00BC7EB1" w:rsidRPr="004E4EC2" w:rsidRDefault="008D1E9A" w:rsidP="003019C4">
      <w:r>
        <w:t>They</w:t>
      </w:r>
      <w:r w:rsidR="003019C4" w:rsidRPr="004E4EC2">
        <w:t xml:space="preserve"> found </w:t>
      </w:r>
      <w:r w:rsidR="00EE6866" w:rsidRPr="004E4EC2">
        <w:t xml:space="preserve">that </w:t>
      </w:r>
      <w:r w:rsidR="00A84B64" w:rsidRPr="004E4EC2">
        <w:t>many of</w:t>
      </w:r>
      <w:r w:rsidR="00EE6866" w:rsidRPr="004E4EC2">
        <w:t xml:space="preserve"> Goulburn-Murray Water’s </w:t>
      </w:r>
      <w:r w:rsidR="00FB091E" w:rsidRPr="004E4EC2">
        <w:t xml:space="preserve">assumptions </w:t>
      </w:r>
      <w:r w:rsidR="00BB3D46" w:rsidRPr="004E4EC2">
        <w:t xml:space="preserve">for annual inspections </w:t>
      </w:r>
      <w:r w:rsidR="00FB091E" w:rsidRPr="004E4EC2">
        <w:t>are not clearly justified</w:t>
      </w:r>
      <w:r w:rsidR="00712B43" w:rsidRPr="004E4EC2">
        <w:t xml:space="preserve"> and</w:t>
      </w:r>
      <w:r w:rsidR="007D5558" w:rsidRPr="004E4EC2">
        <w:t xml:space="preserve"> may be overly simplistic </w:t>
      </w:r>
      <w:r w:rsidR="00164565" w:rsidRPr="004E4EC2">
        <w:t xml:space="preserve">because </w:t>
      </w:r>
      <w:r w:rsidR="007D5558" w:rsidRPr="004E4EC2">
        <w:t>t</w:t>
      </w:r>
      <w:r w:rsidR="004168DC" w:rsidRPr="004E4EC2">
        <w:t>hey</w:t>
      </w:r>
      <w:r w:rsidR="007D5558" w:rsidRPr="004E4EC2">
        <w:t xml:space="preserve"> may not reflect the actual activity that occurs nor </w:t>
      </w:r>
      <w:r w:rsidR="0095266F" w:rsidRPr="004E4EC2">
        <w:t xml:space="preserve">do they </w:t>
      </w:r>
      <w:r w:rsidR="007D5558" w:rsidRPr="004E4EC2">
        <w:t>adopt a risk-based approach to inspect some sites more frequently than others</w:t>
      </w:r>
      <w:r w:rsidR="00D9188B" w:rsidRPr="004E4EC2">
        <w:t xml:space="preserve">. </w:t>
      </w:r>
    </w:p>
    <w:p w14:paraId="3DF92606" w14:textId="4F2F100E" w:rsidR="00766BE2" w:rsidRPr="004E4EC2" w:rsidRDefault="00AB03D6" w:rsidP="00451D9D">
      <w:r w:rsidRPr="004E4EC2">
        <w:t xml:space="preserve">Egis </w:t>
      </w:r>
      <w:r w:rsidR="008062C2" w:rsidRPr="004E4EC2">
        <w:t>considered that</w:t>
      </w:r>
      <w:r w:rsidR="00FD7241" w:rsidRPr="004E4EC2">
        <w:t>,</w:t>
      </w:r>
      <w:r w:rsidR="008062C2" w:rsidRPr="004E4EC2">
        <w:t xml:space="preserve"> where possible, efficient costs should be </w:t>
      </w:r>
      <w:r w:rsidR="00923E02" w:rsidRPr="004E4EC2">
        <w:t>calculat</w:t>
      </w:r>
      <w:r w:rsidR="008062C2" w:rsidRPr="004E4EC2">
        <w:t>ed on a risk-based approach so that inspections are tailored to the relative risks for th</w:t>
      </w:r>
      <w:r w:rsidR="009470A2" w:rsidRPr="004E4EC2">
        <w:t>e</w:t>
      </w:r>
      <w:r w:rsidR="008062C2" w:rsidRPr="004E4EC2">
        <w:t xml:space="preserve"> customer group</w:t>
      </w:r>
      <w:r w:rsidR="00451D9D" w:rsidRPr="004E4EC2">
        <w:t xml:space="preserve"> and </w:t>
      </w:r>
      <w:r w:rsidR="00D811B7" w:rsidRPr="004E4EC2">
        <w:t>suggested</w:t>
      </w:r>
      <w:r w:rsidR="009A1DB7" w:rsidRPr="004E4EC2">
        <w:t xml:space="preserve"> that </w:t>
      </w:r>
      <w:r w:rsidR="002106FC" w:rsidRPr="004E4EC2">
        <w:t xml:space="preserve">opportunity exists to collect actual activity </w:t>
      </w:r>
      <w:r w:rsidR="006C1F85" w:rsidRPr="004E4EC2">
        <w:t xml:space="preserve">data </w:t>
      </w:r>
      <w:r w:rsidR="002106FC" w:rsidRPr="004E4EC2">
        <w:t>and costs to improve robustness of calculations</w:t>
      </w:r>
      <w:r w:rsidR="00FA1721" w:rsidRPr="004E4EC2">
        <w:t xml:space="preserve">. </w:t>
      </w:r>
    </w:p>
    <w:p w14:paraId="657DAA31" w14:textId="4E6D7FF1" w:rsidR="00050221" w:rsidRPr="00172336" w:rsidRDefault="00050221" w:rsidP="00050221">
      <w:pPr>
        <w:pStyle w:val="Heading4"/>
      </w:pPr>
      <w:r w:rsidRPr="00172336">
        <w:t>Deeming</w:t>
      </w:r>
      <w:r w:rsidR="00927C7B" w:rsidRPr="00172336">
        <w:t xml:space="preserve"> costs</w:t>
      </w:r>
      <w:r w:rsidRPr="00172336">
        <w:t xml:space="preserve"> </w:t>
      </w:r>
    </w:p>
    <w:p w14:paraId="05E1B210" w14:textId="6B6A5773" w:rsidR="00FB4E51" w:rsidRPr="00172336" w:rsidRDefault="00A66BCF" w:rsidP="007834CE">
      <w:r w:rsidRPr="00244841">
        <w:t xml:space="preserve">Deeming is used by Goulburn-Murray Water to assess the usage of low volume water users who do not have meters. </w:t>
      </w:r>
      <w:r w:rsidR="007834CE" w:rsidRPr="00244841">
        <w:t>Egis</w:t>
      </w:r>
      <w:r w:rsidR="007834CE" w:rsidRPr="00172336">
        <w:t xml:space="preserve"> </w:t>
      </w:r>
      <w:r w:rsidR="008D2EC3" w:rsidRPr="00172336">
        <w:t>considered</w:t>
      </w:r>
      <w:r w:rsidR="003E03D7" w:rsidRPr="00172336">
        <w:t xml:space="preserve"> that Goulburn-Murray Water did not provide sufficient </w:t>
      </w:r>
      <w:r w:rsidR="00630D34" w:rsidRPr="00172336">
        <w:t xml:space="preserve">evidence that the deeming costs </w:t>
      </w:r>
      <w:r w:rsidR="00CC6FBB" w:rsidRPr="00172336">
        <w:t xml:space="preserve">(the second biggest component of service point fee for diverters on unregulated waterways) </w:t>
      </w:r>
      <w:r w:rsidR="00630D34" w:rsidRPr="00172336">
        <w:t>for each customer group are based on assumptions that promote efficiency</w:t>
      </w:r>
      <w:r w:rsidR="00F65C3F" w:rsidRPr="00172336">
        <w:t xml:space="preserve">. </w:t>
      </w:r>
      <w:r w:rsidR="00630D34" w:rsidRPr="00172336">
        <w:t xml:space="preserve"> </w:t>
      </w:r>
    </w:p>
    <w:p w14:paraId="4A689D74" w14:textId="587E9C2E" w:rsidR="00DF74C4" w:rsidRPr="00172336" w:rsidRDefault="00654A57" w:rsidP="009A5919">
      <w:r w:rsidRPr="00172336">
        <w:t xml:space="preserve">Egis found </w:t>
      </w:r>
      <w:r w:rsidR="00FB4E51" w:rsidRPr="00172336">
        <w:t>that</w:t>
      </w:r>
      <w:r w:rsidR="00630D34" w:rsidRPr="00172336">
        <w:t xml:space="preserve"> </w:t>
      </w:r>
      <w:r w:rsidR="00B35E3B" w:rsidRPr="00172336">
        <w:t>the use of</w:t>
      </w:r>
      <w:r w:rsidR="00630D34" w:rsidRPr="00172336">
        <w:t xml:space="preserve"> average deeming cost per service point </w:t>
      </w:r>
      <w:r w:rsidR="004F3433" w:rsidRPr="00172336">
        <w:t>(</w:t>
      </w:r>
      <w:r w:rsidR="00630D34" w:rsidRPr="00172336">
        <w:t>across all customer groups</w:t>
      </w:r>
      <w:r w:rsidRPr="00172336">
        <w:t xml:space="preserve"> </w:t>
      </w:r>
      <w:r w:rsidR="00160D13" w:rsidRPr="00172336">
        <w:t>that</w:t>
      </w:r>
      <w:r w:rsidR="00630D34" w:rsidRPr="00172336">
        <w:t xml:space="preserve"> are deemed</w:t>
      </w:r>
      <w:r w:rsidR="00160D13" w:rsidRPr="00172336">
        <w:t>)</w:t>
      </w:r>
      <w:r w:rsidR="00630D34" w:rsidRPr="00172336">
        <w:t xml:space="preserve"> does not adequately capture the expected variability in activities and costs associated with each of the six methods </w:t>
      </w:r>
      <w:r w:rsidR="00017796" w:rsidRPr="00172336">
        <w:t>(area and depth, flow rate and duration, property area and service level, representative sampling, entitlement volume and representative use)</w:t>
      </w:r>
      <w:r w:rsidR="0052656E" w:rsidRPr="00172336">
        <w:t xml:space="preserve"> </w:t>
      </w:r>
      <w:r w:rsidR="00630D34" w:rsidRPr="00172336">
        <w:t xml:space="preserve">used by </w:t>
      </w:r>
      <w:r w:rsidR="00172336">
        <w:br/>
      </w:r>
      <w:r w:rsidR="00DF74C4" w:rsidRPr="00172336">
        <w:t>Goulburn-Murray Water</w:t>
      </w:r>
      <w:r w:rsidR="000B2E6E">
        <w:t>.</w:t>
      </w:r>
    </w:p>
    <w:p w14:paraId="548922DE" w14:textId="087E5C51" w:rsidR="00D04EF7" w:rsidRPr="002D3C62" w:rsidRDefault="0059055D" w:rsidP="009A5919">
      <w:r w:rsidRPr="002D3C62">
        <w:lastRenderedPageBreak/>
        <w:t xml:space="preserve">Egis </w:t>
      </w:r>
      <w:r w:rsidR="0004636B" w:rsidRPr="002D3C62">
        <w:t xml:space="preserve">recommended </w:t>
      </w:r>
      <w:r w:rsidR="004B4223" w:rsidRPr="002D3C62">
        <w:t xml:space="preserve">that </w:t>
      </w:r>
      <w:r w:rsidR="00644F86" w:rsidRPr="002D3C62">
        <w:t xml:space="preserve">a </w:t>
      </w:r>
      <w:r w:rsidR="00CB618A" w:rsidRPr="002D3C62">
        <w:t xml:space="preserve">cost for each </w:t>
      </w:r>
      <w:r w:rsidR="002758EA" w:rsidRPr="002D3C62">
        <w:t xml:space="preserve">of the six </w:t>
      </w:r>
      <w:r w:rsidR="00CB618A" w:rsidRPr="002D3C62">
        <w:t xml:space="preserve">deeming </w:t>
      </w:r>
      <w:r w:rsidR="003A3209" w:rsidRPr="002D3C62">
        <w:t>method</w:t>
      </w:r>
      <w:r w:rsidR="002758EA" w:rsidRPr="002D3C62">
        <w:t>s</w:t>
      </w:r>
      <w:r w:rsidR="00FE498C" w:rsidRPr="002D3C62">
        <w:t xml:space="preserve"> </w:t>
      </w:r>
      <w:r w:rsidR="00000D00" w:rsidRPr="002D3C62">
        <w:t>(listed</w:t>
      </w:r>
      <w:r w:rsidR="00FE498C" w:rsidRPr="002D3C62">
        <w:t xml:space="preserve"> </w:t>
      </w:r>
      <w:r w:rsidR="004B56CA" w:rsidRPr="002D3C62">
        <w:t>above</w:t>
      </w:r>
      <w:r w:rsidR="00000D00" w:rsidRPr="002D3C62">
        <w:t>)</w:t>
      </w:r>
      <w:r w:rsidR="004B56CA" w:rsidRPr="002D3C62">
        <w:t xml:space="preserve"> </w:t>
      </w:r>
      <w:r w:rsidR="00632346" w:rsidRPr="002D3C62">
        <w:t>should be estimated and</w:t>
      </w:r>
      <w:r w:rsidR="00DC0B3F" w:rsidRPr="002D3C62">
        <w:t xml:space="preserve"> </w:t>
      </w:r>
      <w:r w:rsidR="00EA4B56" w:rsidRPr="002D3C62">
        <w:t>the</w:t>
      </w:r>
      <w:r w:rsidR="00C91C39" w:rsidRPr="002D3C62">
        <w:t xml:space="preserve"> </w:t>
      </w:r>
      <w:r w:rsidR="00EA4B56" w:rsidRPr="002D3C62">
        <w:t xml:space="preserve">cost </w:t>
      </w:r>
      <w:r w:rsidR="00CD2131" w:rsidRPr="002D3C62">
        <w:t xml:space="preserve">for the method </w:t>
      </w:r>
      <w:r w:rsidR="004B1D71" w:rsidRPr="002D3C62">
        <w:t xml:space="preserve">which applies </w:t>
      </w:r>
      <w:r w:rsidR="00D04EF7" w:rsidRPr="002D3C62">
        <w:t>to</w:t>
      </w:r>
      <w:r w:rsidR="004B1D71" w:rsidRPr="002D3C62">
        <w:t xml:space="preserve"> the customer group </w:t>
      </w:r>
      <w:r w:rsidR="00D04EF7" w:rsidRPr="002D3C62">
        <w:t xml:space="preserve">should be used to </w:t>
      </w:r>
      <w:r w:rsidR="00377A1F" w:rsidRPr="002D3C62">
        <w:t>calculat</w:t>
      </w:r>
      <w:r w:rsidR="00D04EF7" w:rsidRPr="002D3C62">
        <w:t>e</w:t>
      </w:r>
      <w:r w:rsidR="00377A1F" w:rsidRPr="002D3C62">
        <w:t xml:space="preserve"> </w:t>
      </w:r>
      <w:r w:rsidR="00EA0828" w:rsidRPr="002D3C62">
        <w:t xml:space="preserve">the </w:t>
      </w:r>
      <w:r w:rsidR="00377A1F" w:rsidRPr="002D3C62">
        <w:t xml:space="preserve">service point </w:t>
      </w:r>
      <w:r w:rsidR="004B253A" w:rsidRPr="002D3C62">
        <w:t xml:space="preserve">fees </w:t>
      </w:r>
      <w:r w:rsidR="00FD6361" w:rsidRPr="002D3C62">
        <w:t>for th</w:t>
      </w:r>
      <w:r w:rsidR="00D04EF7" w:rsidRPr="002D3C62">
        <w:t xml:space="preserve">at customer group. </w:t>
      </w:r>
    </w:p>
    <w:p w14:paraId="58D1E1CF" w14:textId="47700A95" w:rsidR="00BB6E70" w:rsidRPr="00244841" w:rsidRDefault="00BB6E70" w:rsidP="00BB6E70">
      <w:r w:rsidRPr="00244841">
        <w:t xml:space="preserve">We agree with Egis’ recommendations regarding actual data collection </w:t>
      </w:r>
      <w:r w:rsidR="002010C3" w:rsidRPr="00244841">
        <w:t>of acti</w:t>
      </w:r>
      <w:r w:rsidR="006D3D05" w:rsidRPr="00244841">
        <w:t xml:space="preserve">vities related </w:t>
      </w:r>
      <w:r w:rsidR="002338DE" w:rsidRPr="00244841">
        <w:t xml:space="preserve">to </w:t>
      </w:r>
      <w:r w:rsidR="00695D09" w:rsidRPr="00244841">
        <w:t>inspection and surve</w:t>
      </w:r>
      <w:r w:rsidR="0086466A" w:rsidRPr="00244841">
        <w:t>i</w:t>
      </w:r>
      <w:r w:rsidR="00695D09" w:rsidRPr="00244841">
        <w:t>ll</w:t>
      </w:r>
      <w:r w:rsidR="00384B8C" w:rsidRPr="00244841">
        <w:t>a</w:t>
      </w:r>
      <w:r w:rsidR="00695D09" w:rsidRPr="00244841">
        <w:t>nce</w:t>
      </w:r>
      <w:r w:rsidRPr="00244841">
        <w:t xml:space="preserve"> to improve cost reflectivity and efficiencies in setting service point fees, which could </w:t>
      </w:r>
      <w:r w:rsidR="003E4EEB" w:rsidRPr="00244841">
        <w:t xml:space="preserve">potentially </w:t>
      </w:r>
      <w:r w:rsidRPr="00244841">
        <w:t xml:space="preserve">lower fees. </w:t>
      </w:r>
      <w:r w:rsidR="00614949" w:rsidRPr="00244841">
        <w:t>In addition, diverters on unregulated waterways have raised concern</w:t>
      </w:r>
      <w:r w:rsidR="006E2680" w:rsidRPr="00244841">
        <w:t>s</w:t>
      </w:r>
      <w:r w:rsidR="00614949" w:rsidRPr="00244841">
        <w:t xml:space="preserve"> over these issues </w:t>
      </w:r>
      <w:r w:rsidR="00DF1616" w:rsidRPr="00244841">
        <w:t>in both this</w:t>
      </w:r>
      <w:r w:rsidR="00614949" w:rsidRPr="00244841">
        <w:t xml:space="preserve"> price review</w:t>
      </w:r>
      <w:r w:rsidR="00DF1616" w:rsidRPr="00244841">
        <w:t xml:space="preserve"> and the 2020</w:t>
      </w:r>
      <w:r w:rsidR="00D94DD3" w:rsidRPr="00244841">
        <w:t xml:space="preserve"> </w:t>
      </w:r>
      <w:r w:rsidR="00614949" w:rsidRPr="00244841">
        <w:t>price review.</w:t>
      </w:r>
      <w:r w:rsidR="00B7197E" w:rsidRPr="00244841">
        <w:t xml:space="preserve"> </w:t>
      </w:r>
      <w:r w:rsidRPr="00244841">
        <w:t>We are aware that Goulburn</w:t>
      </w:r>
      <w:r w:rsidR="00D94DD3" w:rsidRPr="00244841">
        <w:t>-</w:t>
      </w:r>
      <w:r w:rsidRPr="00244841">
        <w:t xml:space="preserve">Murray Water is open to collecting actual data going forward. </w:t>
      </w:r>
    </w:p>
    <w:p w14:paraId="549572FF" w14:textId="57EE9400" w:rsidR="00804E56" w:rsidRPr="00244841" w:rsidRDefault="00847AEC" w:rsidP="0057398E">
      <w:pPr>
        <w:spacing w:after="120"/>
      </w:pPr>
      <w:r w:rsidRPr="00244841">
        <w:t xml:space="preserve">We consider that on balance, </w:t>
      </w:r>
      <w:r w:rsidR="00DF6F77" w:rsidRPr="00244841">
        <w:t xml:space="preserve">as suggested by Egis, </w:t>
      </w:r>
      <w:r w:rsidR="001A77F1" w:rsidRPr="00244841">
        <w:t xml:space="preserve">Goulburn-Murray Water could collect actual </w:t>
      </w:r>
      <w:r w:rsidR="00DE7C02" w:rsidRPr="00244841">
        <w:t>data on activity and costs</w:t>
      </w:r>
      <w:r w:rsidR="003218D6" w:rsidRPr="00244841">
        <w:t xml:space="preserve"> to improve the robustness of </w:t>
      </w:r>
      <w:r w:rsidR="00241446" w:rsidRPr="00244841">
        <w:t xml:space="preserve">its </w:t>
      </w:r>
      <w:r w:rsidR="00597C0A" w:rsidRPr="00244841">
        <w:t>calculation</w:t>
      </w:r>
      <w:r w:rsidR="00241446" w:rsidRPr="00244841">
        <w:t>s for</w:t>
      </w:r>
      <w:r w:rsidR="00597C0A" w:rsidRPr="00244841">
        <w:t xml:space="preserve"> service point fees</w:t>
      </w:r>
      <w:r w:rsidR="003218D6" w:rsidRPr="00244841">
        <w:t xml:space="preserve">. </w:t>
      </w:r>
      <w:r w:rsidR="00597127" w:rsidRPr="00244841">
        <w:t xml:space="preserve">The </w:t>
      </w:r>
      <w:r w:rsidRPr="00244841">
        <w:t xml:space="preserve">proposed data collection </w:t>
      </w:r>
      <w:r w:rsidR="00596821" w:rsidRPr="00244841">
        <w:t xml:space="preserve">could occur </w:t>
      </w:r>
      <w:r w:rsidRPr="00244841">
        <w:t>every four years</w:t>
      </w:r>
      <w:r w:rsidR="00967DA5" w:rsidRPr="00244841">
        <w:t xml:space="preserve"> to minimise costs.</w:t>
      </w:r>
      <w:r w:rsidRPr="00244841">
        <w:t xml:space="preserve"> </w:t>
      </w:r>
      <w:r w:rsidR="00967DA5" w:rsidRPr="00244841">
        <w:t>We consider that this</w:t>
      </w:r>
      <w:r w:rsidRPr="00244841">
        <w:t xml:space="preserve"> will lead to more cost reflective service point fees for domestic and stock customers on unregulated waterways and other unmetered diverters. It will also help increase data transparency and customer knowledge.</w:t>
      </w:r>
      <w:r w:rsidR="00551118" w:rsidRPr="00244841">
        <w:t xml:space="preserve"> </w:t>
      </w:r>
      <w:r w:rsidR="00804E56" w:rsidRPr="00244841">
        <w:t xml:space="preserve">We </w:t>
      </w:r>
      <w:r w:rsidR="00551118" w:rsidRPr="00244841">
        <w:t xml:space="preserve">also </w:t>
      </w:r>
      <w:r w:rsidR="00804E56" w:rsidRPr="00244841">
        <w:t xml:space="preserve">accept Egis’s recommendations about estimating the deeming costs. </w:t>
      </w:r>
    </w:p>
    <w:p w14:paraId="53120E7F" w14:textId="19F73315" w:rsidR="0066123A" w:rsidRPr="0066123A" w:rsidRDefault="00CB598B" w:rsidP="001C2DEF">
      <w:pPr>
        <w:rPr>
          <w:strike/>
        </w:rPr>
      </w:pPr>
      <w:r w:rsidRPr="00244841">
        <w:t>We consider</w:t>
      </w:r>
      <w:r w:rsidR="000A1710" w:rsidRPr="00244841">
        <w:t xml:space="preserve"> that</w:t>
      </w:r>
      <w:r w:rsidR="006F4A93" w:rsidRPr="00244841">
        <w:t>,</w:t>
      </w:r>
      <w:r w:rsidR="000A1710" w:rsidRPr="00244841">
        <w:t xml:space="preserve"> once Goulburn-Murray Water </w:t>
      </w:r>
      <w:r w:rsidR="007F267B" w:rsidRPr="00244841">
        <w:t>collects and costs actual data on activit</w:t>
      </w:r>
      <w:r w:rsidR="000D559D" w:rsidRPr="00244841">
        <w:t>ies,</w:t>
      </w:r>
      <w:r w:rsidRPr="00244841">
        <w:t xml:space="preserve"> t</w:t>
      </w:r>
      <w:r w:rsidR="001C2DEF" w:rsidRPr="00244841">
        <w:t>reating</w:t>
      </w:r>
      <w:r w:rsidR="001C2DEF" w:rsidRPr="00BE4F87">
        <w:t xml:space="preserve"> domestic and stock customers on unregulated waterways</w:t>
      </w:r>
      <w:r w:rsidR="00280391">
        <w:t>,</w:t>
      </w:r>
      <w:r w:rsidR="001C2DEF" w:rsidRPr="00BE4F87">
        <w:t xml:space="preserve"> such as Upper Ovens customers</w:t>
      </w:r>
      <w:r w:rsidR="00280391">
        <w:t>,</w:t>
      </w:r>
      <w:r w:rsidR="001C2DEF" w:rsidRPr="00BE4F87">
        <w:t xml:space="preserve"> as a separate customer group could potentially result </w:t>
      </w:r>
      <w:r w:rsidR="00CB324C" w:rsidRPr="00BE4F87">
        <w:t xml:space="preserve">in </w:t>
      </w:r>
      <w:r w:rsidR="001C2DEF" w:rsidRPr="00BE4F87">
        <w:t xml:space="preserve">higher cost of service for </w:t>
      </w:r>
      <w:r w:rsidR="00006793">
        <w:t xml:space="preserve">domestic and </w:t>
      </w:r>
      <w:r w:rsidR="002828D5" w:rsidRPr="00BE4F87">
        <w:t>stock</w:t>
      </w:r>
      <w:r w:rsidR="001C2DEF" w:rsidRPr="00BE4F87">
        <w:t xml:space="preserve"> customers </w:t>
      </w:r>
      <w:r w:rsidR="0095364D" w:rsidRPr="00BE4F87">
        <w:t xml:space="preserve">on unregulated waterways </w:t>
      </w:r>
      <w:r w:rsidR="001C2DEF" w:rsidRPr="00BE4F87">
        <w:t>compared to the current average pricing approach. We note that Goulburn</w:t>
      </w:r>
      <w:r w:rsidR="00CB059E">
        <w:t>-</w:t>
      </w:r>
      <w:r w:rsidR="001C2DEF" w:rsidRPr="00BE4F87">
        <w:t>Murray Water collects around $3.4 million per annum in revenue from surface water diverters (or approximately 3 per cent of its total revenue requirement).</w:t>
      </w:r>
      <w:r w:rsidR="002C419F" w:rsidRPr="00BE4F87">
        <w:rPr>
          <w:rStyle w:val="FootnoteReference"/>
        </w:rPr>
        <w:footnoteReference w:id="98"/>
      </w:r>
      <w:r w:rsidR="001C2DEF" w:rsidRPr="00BE4F87">
        <w:t xml:space="preserve"> </w:t>
      </w:r>
    </w:p>
    <w:p w14:paraId="1B3D17D9" w14:textId="75D97B82" w:rsidR="001C2DEF" w:rsidRPr="0066123A" w:rsidRDefault="001C2DEF" w:rsidP="001C2DEF">
      <w:r w:rsidRPr="00244841">
        <w:t xml:space="preserve">We also consider </w:t>
      </w:r>
      <w:r w:rsidR="00A22EBF" w:rsidRPr="00244841">
        <w:t>that</w:t>
      </w:r>
      <w:r w:rsidRPr="00244841">
        <w:t xml:space="preserve"> Goulburn-Murray Water should review its tariff name for service point fees </w:t>
      </w:r>
      <w:r w:rsidR="00103924" w:rsidRPr="00244841">
        <w:t xml:space="preserve">or tariff description </w:t>
      </w:r>
      <w:r w:rsidRPr="00244841">
        <w:t>applying to unmetered diverters and domestic and stock customers. Goulburn-</w:t>
      </w:r>
      <w:r w:rsidRPr="0066123A">
        <w:t>Murray Water defines service point fee as a charge to recover its costs associated with compliance monitoring, water use accounting (deeming, meter readings, overuse management), asset maintenance and replacements (new meters and replacements) and managing authorised use. This could create confusion for customer</w:t>
      </w:r>
      <w:r w:rsidR="0039132D" w:rsidRPr="0066123A">
        <w:t>s</w:t>
      </w:r>
      <w:r w:rsidRPr="0066123A">
        <w:t xml:space="preserve"> who do not have meters.   </w:t>
      </w:r>
    </w:p>
    <w:p w14:paraId="1C4D571B" w14:textId="77777777" w:rsidR="00EE3998" w:rsidRPr="00973512" w:rsidRDefault="00EE3998" w:rsidP="00EE3998">
      <w:pPr>
        <w:pStyle w:val="Heading3"/>
      </w:pPr>
      <w:bookmarkStart w:id="171" w:name="_Toc160038343"/>
      <w:bookmarkStart w:id="172" w:name="_Toc161400060"/>
      <w:r w:rsidRPr="00973512">
        <w:t>Woorinen service point fees</w:t>
      </w:r>
      <w:bookmarkEnd w:id="171"/>
      <w:bookmarkEnd w:id="172"/>
    </w:p>
    <w:p w14:paraId="0AFC274D" w14:textId="46F48597" w:rsidR="00EE3998" w:rsidRPr="00CB0696" w:rsidRDefault="00EE3998" w:rsidP="00EE3998">
      <w:r w:rsidRPr="00973512">
        <w:t>Goulburn-Murray Water propose</w:t>
      </w:r>
      <w:r w:rsidR="001220AA" w:rsidRPr="00973512">
        <w:t>d</w:t>
      </w:r>
      <w:r w:rsidRPr="00973512">
        <w:t xml:space="preserve"> to increase Woorinen’s service point fee </w:t>
      </w:r>
      <w:r w:rsidR="009F12B0" w:rsidRPr="00973512">
        <w:t>(</w:t>
      </w:r>
      <w:r w:rsidRPr="00973512">
        <w:t>local operate</w:t>
      </w:r>
      <w:r w:rsidR="009F12B0" w:rsidRPr="00973512">
        <w:t>)</w:t>
      </w:r>
      <w:r w:rsidRPr="00973512">
        <w:t xml:space="preserve"> by 25 per cent annually over the regulatory period. Goulburn-Murray Water noted that the electronic meters in Woorinen have reached </w:t>
      </w:r>
      <w:r w:rsidR="001F003A" w:rsidRPr="00973512">
        <w:t xml:space="preserve">the end </w:t>
      </w:r>
      <w:r w:rsidR="00734B31" w:rsidRPr="00973512">
        <w:t xml:space="preserve">of </w:t>
      </w:r>
      <w:r w:rsidR="00A47CCC">
        <w:t xml:space="preserve">its </w:t>
      </w:r>
      <w:r w:rsidRPr="00973512">
        <w:t xml:space="preserve">useful life and need to be replaced to meet their national metering obligations. Our draft decision accepts Goulburn-Murray Water’s proposed </w:t>
      </w:r>
      <w:r w:rsidRPr="00973512">
        <w:lastRenderedPageBreak/>
        <w:t xml:space="preserve">capital expenditure for the regulatory period which includes expenditure for the replacement of failed meters at services points (see Section 4.2 for details). Goulburn-Murray Water has also </w:t>
      </w:r>
      <w:r w:rsidRPr="00CB0696">
        <w:t>provided additional information supporting its proposed service point fee for Woorinen including options and transition plans considered and its engagement.</w:t>
      </w:r>
      <w:r w:rsidR="0012468B" w:rsidRPr="00CB0696">
        <w:rPr>
          <w:rStyle w:val="FootnoteReference"/>
        </w:rPr>
        <w:footnoteReference w:id="99"/>
      </w:r>
    </w:p>
    <w:p w14:paraId="6303A907" w14:textId="77777777" w:rsidR="005C1C97" w:rsidRPr="00CB0696" w:rsidRDefault="005C1C97" w:rsidP="002B401D">
      <w:pPr>
        <w:pStyle w:val="Heading3"/>
      </w:pPr>
      <w:bookmarkStart w:id="173" w:name="_Toc160038344"/>
      <w:bookmarkStart w:id="174" w:name="_Toc161400061"/>
      <w:r w:rsidRPr="00CB0696">
        <w:t>Our draft decision</w:t>
      </w:r>
      <w:bookmarkEnd w:id="173"/>
      <w:bookmarkEnd w:id="174"/>
    </w:p>
    <w:p w14:paraId="5E4272BE" w14:textId="01E782A9" w:rsidR="007365C3" w:rsidRPr="00CB0696" w:rsidRDefault="005C1C97" w:rsidP="005C1C97">
      <w:r w:rsidRPr="00CB0696">
        <w:t xml:space="preserve">Our draft decision </w:t>
      </w:r>
      <w:r w:rsidR="00471547" w:rsidRPr="00CB0696">
        <w:t>is</w:t>
      </w:r>
      <w:r w:rsidRPr="00CB0696">
        <w:t xml:space="preserve"> to</w:t>
      </w:r>
      <w:r w:rsidR="007365C3" w:rsidRPr="00CB0696">
        <w:t>:</w:t>
      </w:r>
    </w:p>
    <w:p w14:paraId="03E4DBFD" w14:textId="19E94103" w:rsidR="007365C3" w:rsidRPr="00CB0696" w:rsidRDefault="007365C3" w:rsidP="00821A3A">
      <w:pPr>
        <w:pStyle w:val="ListBullet"/>
      </w:pPr>
      <w:r w:rsidRPr="00CB0696">
        <w:t xml:space="preserve">accept </w:t>
      </w:r>
      <w:r w:rsidR="00900720" w:rsidRPr="00CB0696">
        <w:t>the</w:t>
      </w:r>
      <w:r w:rsidRPr="00CB0696">
        <w:t xml:space="preserve"> Woorinen Service Point Fee</w:t>
      </w:r>
      <w:r w:rsidR="00FB499F" w:rsidRPr="00CB0696">
        <w:t xml:space="preserve"> </w:t>
      </w:r>
      <w:r w:rsidR="00910148" w:rsidRPr="00CB0696">
        <w:t xml:space="preserve">and </w:t>
      </w:r>
      <w:r w:rsidR="007D217E" w:rsidRPr="00CB0696">
        <w:t xml:space="preserve">the </w:t>
      </w:r>
      <w:r w:rsidR="00910148" w:rsidRPr="00CB0696">
        <w:t xml:space="preserve">service point fee </w:t>
      </w:r>
      <w:r w:rsidR="001B4FE9" w:rsidRPr="00CB0696">
        <w:t xml:space="preserve">tariff structure </w:t>
      </w:r>
      <w:r w:rsidR="00910148" w:rsidRPr="00CB0696">
        <w:t xml:space="preserve">for metered customers </w:t>
      </w:r>
      <w:r w:rsidR="00FB499F" w:rsidRPr="00CB0696">
        <w:t xml:space="preserve">as we consider </w:t>
      </w:r>
      <w:r w:rsidR="00910148" w:rsidRPr="00CB0696">
        <w:t xml:space="preserve">they </w:t>
      </w:r>
      <w:r w:rsidR="00FB499F" w:rsidRPr="00CB0696">
        <w:t xml:space="preserve">meet the requirements of our </w:t>
      </w:r>
      <w:r w:rsidR="00C5776A" w:rsidRPr="00CB0696">
        <w:t>guidance</w:t>
      </w:r>
    </w:p>
    <w:p w14:paraId="4C4C7307" w14:textId="3921DAE2" w:rsidR="00DA1EF1" w:rsidRPr="00CB0696" w:rsidRDefault="005C1C97" w:rsidP="00821A3A">
      <w:pPr>
        <w:pStyle w:val="ListBullet"/>
      </w:pPr>
      <w:r w:rsidRPr="00CB0696">
        <w:t>not accept Goulburn</w:t>
      </w:r>
      <w:r w:rsidR="00B82DD7" w:rsidRPr="00CB0696">
        <w:t>-</w:t>
      </w:r>
      <w:r w:rsidRPr="00CB0696">
        <w:t xml:space="preserve">Murray Water’s proposed tariff structure for </w:t>
      </w:r>
      <w:r w:rsidR="00FB499F" w:rsidRPr="00CB0696">
        <w:t xml:space="preserve">the </w:t>
      </w:r>
      <w:r w:rsidRPr="00CB0696">
        <w:t>service point fees</w:t>
      </w:r>
      <w:r w:rsidR="001B4FE9" w:rsidRPr="00CB0696">
        <w:t xml:space="preserve"> applying to unmetered customers</w:t>
      </w:r>
      <w:r w:rsidRPr="00CB0696" w:rsidDel="007365C3">
        <w:t xml:space="preserve"> </w:t>
      </w:r>
      <w:r w:rsidRPr="00CB0696">
        <w:t xml:space="preserve">as we do not consider </w:t>
      </w:r>
      <w:r w:rsidR="003306AA" w:rsidRPr="00CB0696">
        <w:t>they</w:t>
      </w:r>
      <w:r w:rsidRPr="00CB0696">
        <w:t xml:space="preserve"> meet the requirements of our guidance. </w:t>
      </w:r>
    </w:p>
    <w:p w14:paraId="65A87EFA" w14:textId="59C3EC48" w:rsidR="005C1C97" w:rsidRPr="00CB0696" w:rsidRDefault="005C1C97" w:rsidP="005C1C97">
      <w:r w:rsidRPr="00CB0696">
        <w:t>In response to our draft decision, Goulburn-Murray Water must:</w:t>
      </w:r>
    </w:p>
    <w:p w14:paraId="1BD2225E" w14:textId="43C902E7" w:rsidR="005C1C97" w:rsidRPr="00CB0696" w:rsidRDefault="005C1C97" w:rsidP="00821A3A">
      <w:pPr>
        <w:pStyle w:val="ListBullet"/>
      </w:pPr>
      <w:r w:rsidRPr="00CB0696">
        <w:t xml:space="preserve">recalculate its service point fees for unmetered diverters and domestic and stock customers </w:t>
      </w:r>
      <w:r w:rsidR="009A0ECF" w:rsidRPr="00CB0696">
        <w:t>considering</w:t>
      </w:r>
      <w:r w:rsidRPr="00CB0696">
        <w:t xml:space="preserve"> </w:t>
      </w:r>
      <w:r w:rsidR="00245B78" w:rsidRPr="00CB0696">
        <w:t xml:space="preserve">Egis’s </w:t>
      </w:r>
      <w:r w:rsidR="00CE0E3E" w:rsidRPr="00CB0696">
        <w:t>findings and recommendations</w:t>
      </w:r>
      <w:r w:rsidR="00DB533C" w:rsidRPr="00CB0696">
        <w:t xml:space="preserve"> on deeming costs.</w:t>
      </w:r>
      <w:r w:rsidR="0092311F" w:rsidRPr="00CB0696">
        <w:t xml:space="preserve"> The recalculation model should clearly set out the assumptions and formulas used and should include notes on the workings of the model. Goulburn-Murray Water should also provide information supporting its assumptions.</w:t>
      </w:r>
      <w:r w:rsidRPr="00CB0696">
        <w:t xml:space="preserve"> </w:t>
      </w:r>
    </w:p>
    <w:p w14:paraId="560DE1BA" w14:textId="630027D4" w:rsidR="005F55F4" w:rsidRPr="00244841" w:rsidRDefault="00FF1FC6" w:rsidP="00821A3A">
      <w:pPr>
        <w:pStyle w:val="ListBullet"/>
      </w:pPr>
      <w:r w:rsidRPr="00244841">
        <w:t>c</w:t>
      </w:r>
      <w:r w:rsidR="00014736" w:rsidRPr="00244841">
        <w:t>onside</w:t>
      </w:r>
      <w:r w:rsidR="001101D7" w:rsidRPr="00244841">
        <w:t xml:space="preserve">r review </w:t>
      </w:r>
      <w:r w:rsidR="00EC58BC" w:rsidRPr="00244841">
        <w:t>of</w:t>
      </w:r>
      <w:r w:rsidR="001101D7" w:rsidRPr="00244841">
        <w:t xml:space="preserve"> its tariff name for service point fees or tariff description applying to unmetered diverters and domestic and stock customers.</w:t>
      </w:r>
    </w:p>
    <w:p w14:paraId="41E42E52" w14:textId="77777777" w:rsidR="000B09C2" w:rsidRDefault="005C1C97" w:rsidP="005C1C97">
      <w:pPr>
        <w:sectPr w:rsidR="000B09C2" w:rsidSect="00DB48F2">
          <w:footerReference w:type="default" r:id="rId43"/>
          <w:type w:val="continuous"/>
          <w:pgSz w:w="11906" w:h="16838" w:code="9"/>
          <w:pgMar w:top="1134" w:right="1134" w:bottom="1134" w:left="1134" w:header="709" w:footer="692" w:gutter="0"/>
          <w:cols w:space="708"/>
          <w:docGrid w:linePitch="360"/>
        </w:sectPr>
      </w:pPr>
      <w:r w:rsidRPr="00CB0696">
        <w:t>Over the medium term, Goulburn-Murray Water should improve the collection of actual activity data to improve the robustness of its calculations</w:t>
      </w:r>
      <w:r w:rsidR="00370B99" w:rsidRPr="00CB0696">
        <w:t>, in order to support the achievement of objectives in the pricing framework related to efficiency, including cost reflective tariffs</w:t>
      </w:r>
      <w:r w:rsidRPr="00CB0696">
        <w:t>.</w:t>
      </w:r>
    </w:p>
    <w:p w14:paraId="3D12650F" w14:textId="2A9BE5CA" w:rsidR="005C1C97" w:rsidRPr="00CB0696" w:rsidRDefault="005C1C97" w:rsidP="005C1C97"/>
    <w:p w14:paraId="43ABDB42" w14:textId="4F222FEF" w:rsidR="00DD5B5C" w:rsidRDefault="00B752DA" w:rsidP="00605357">
      <w:pPr>
        <w:pStyle w:val="Heading1"/>
      </w:pPr>
      <w:bookmarkStart w:id="175" w:name="_Toc150866263"/>
      <w:bookmarkStart w:id="176" w:name="_Toc161400062"/>
      <w:r>
        <w:lastRenderedPageBreak/>
        <w:t>1</w:t>
      </w:r>
      <w:r w:rsidR="00831953">
        <w:t>1</w:t>
      </w:r>
      <w:r>
        <w:t>.</w:t>
      </w:r>
      <w:r w:rsidR="0072493B">
        <w:tab/>
      </w:r>
      <w:r w:rsidR="00DD5B5C">
        <w:t>Other</w:t>
      </w:r>
      <w:r w:rsidR="00DD5B5C" w:rsidRPr="007B47A4">
        <w:t xml:space="preserve"> </w:t>
      </w:r>
      <w:bookmarkEnd w:id="175"/>
      <w:r w:rsidR="00DD5B5C" w:rsidRPr="007B47A4">
        <w:t>tariff</w:t>
      </w:r>
      <w:r w:rsidR="006F131D">
        <w:t>s</w:t>
      </w:r>
      <w:bookmarkEnd w:id="176"/>
      <w:r w:rsidR="00DD5B5C" w:rsidRPr="007B47A4">
        <w:t xml:space="preserve"> </w:t>
      </w:r>
    </w:p>
    <w:p w14:paraId="5B146428" w14:textId="2663C8E4" w:rsidR="00266C60" w:rsidRPr="00C27739" w:rsidRDefault="003979F7" w:rsidP="00266C60">
      <w:r w:rsidRPr="00C27739">
        <w:t xml:space="preserve">As noted above, </w:t>
      </w:r>
      <w:r w:rsidR="00266C60" w:rsidRPr="00C27739">
        <w:t xml:space="preserve">Goulburn-Murray Water’s proposed tariffs, prices and typical customer bills are set out on pages 78 to 103 of its price submission. </w:t>
      </w:r>
    </w:p>
    <w:p w14:paraId="38534BEA" w14:textId="77777777" w:rsidR="00266C60" w:rsidRPr="00C27739" w:rsidRDefault="00266C60" w:rsidP="00266C60">
      <w:pPr>
        <w:pStyle w:val="Heading2"/>
      </w:pPr>
      <w:bookmarkStart w:id="177" w:name="_Toc161400063"/>
      <w:r w:rsidRPr="00C27739">
        <w:t>11.1 Tungamah water supply service</w:t>
      </w:r>
      <w:bookmarkEnd w:id="177"/>
      <w:r w:rsidRPr="00C27739">
        <w:t xml:space="preserve"> </w:t>
      </w:r>
    </w:p>
    <w:p w14:paraId="6E9433BC" w14:textId="055DBB16" w:rsidR="00266C60" w:rsidRPr="00C27739" w:rsidRDefault="00266C60" w:rsidP="00266C60">
      <w:r w:rsidRPr="00C27739">
        <w:t>Goulburn</w:t>
      </w:r>
      <w:r w:rsidR="008D1ABD" w:rsidRPr="00C27739">
        <w:t>-</w:t>
      </w:r>
      <w:r w:rsidRPr="00C27739">
        <w:t xml:space="preserve">Murray </w:t>
      </w:r>
      <w:r w:rsidR="008D1ABD" w:rsidRPr="00C27739">
        <w:t>W</w:t>
      </w:r>
      <w:r w:rsidRPr="00C27739">
        <w:t>ater’s proposed Tungamah water supply service fee is outlined on page 84 of its price submission. Goulburn-Murray Water proposes to increase the infrastructure access fee for Cosgrove customers in the Tungamah water supply district</w:t>
      </w:r>
      <w:r w:rsidR="0063591B" w:rsidRPr="00C27739">
        <w:t xml:space="preserve"> by more than 10 per cent</w:t>
      </w:r>
      <w:r w:rsidRPr="00C27739">
        <w:t>. This is to reflect the actual level of services provided to Cosgrove customers and to remove any cross-subsidisation within the Tungamah water supply district.</w:t>
      </w:r>
      <w:r w:rsidR="00FD5125" w:rsidRPr="00C27739">
        <w:rPr>
          <w:rStyle w:val="FootnoteReference"/>
        </w:rPr>
        <w:footnoteReference w:id="100"/>
      </w:r>
      <w:r w:rsidR="00FD5125" w:rsidRPr="00C27739">
        <w:t xml:space="preserve"> </w:t>
      </w:r>
      <w:r w:rsidRPr="00C27739">
        <w:t xml:space="preserve">The proposed change will lead to an increase in bills for Cosgrove customers and a decrease in customer bills of up to nine percent for the remaining Tungamah water supply district customers.  </w:t>
      </w:r>
    </w:p>
    <w:p w14:paraId="4691AA6F" w14:textId="5C3D6905" w:rsidR="00266C60" w:rsidRPr="00C27739" w:rsidRDefault="00266C60" w:rsidP="00266C60">
      <w:r w:rsidRPr="00C27739">
        <w:t>Goulburn-Murray Water propose</w:t>
      </w:r>
      <w:r w:rsidR="00425516" w:rsidRPr="00C27739">
        <w:t>d</w:t>
      </w:r>
      <w:r w:rsidRPr="00C27739">
        <w:t xml:space="preserve"> to provide a rebate on a portion of the infrastructure access fee to avoid price shock for Cosgrove customers. By 2027</w:t>
      </w:r>
      <w:r w:rsidR="00425516" w:rsidRPr="00C27739">
        <w:t>-</w:t>
      </w:r>
      <w:r w:rsidRPr="00C27739">
        <w:t>28, all the customers within the Tungamah water supply district will be paying a uniform infrastructure access fee.</w:t>
      </w:r>
    </w:p>
    <w:p w14:paraId="43527ECC" w14:textId="0E642DAC" w:rsidR="004173D9" w:rsidRPr="00C27739" w:rsidRDefault="004173D9" w:rsidP="00266C60">
      <w:r w:rsidRPr="00C27739">
        <w:t xml:space="preserve">Egis undertook a high-level assessment of Goulburn-Murray Water’s proposed </w:t>
      </w:r>
      <w:r w:rsidR="003E2713" w:rsidRPr="00C27739">
        <w:t>price increases for the Cosgrove customers</w:t>
      </w:r>
      <w:r w:rsidR="00B818DD" w:rsidRPr="00C27739">
        <w:t xml:space="preserve"> and</w:t>
      </w:r>
      <w:r w:rsidR="003E2713" w:rsidRPr="00C27739">
        <w:t xml:space="preserve"> did not find any issues with Goulburn-Murray Water’s proposal.</w:t>
      </w:r>
      <w:r w:rsidR="003E2713" w:rsidRPr="00C27739">
        <w:rPr>
          <w:rStyle w:val="FootnoteReference"/>
        </w:rPr>
        <w:footnoteReference w:id="101"/>
      </w:r>
    </w:p>
    <w:p w14:paraId="5D4436F8" w14:textId="456E0B19" w:rsidR="00266C60" w:rsidRPr="00C27739" w:rsidRDefault="00266C60" w:rsidP="00266C60">
      <w:r w:rsidRPr="00C27739">
        <w:t xml:space="preserve">Goulburn-Murray Water provided us with information </w:t>
      </w:r>
      <w:r w:rsidR="00821D90" w:rsidRPr="00C27739">
        <w:t xml:space="preserve">that indicated customers </w:t>
      </w:r>
      <w:r w:rsidRPr="00C27739">
        <w:t>support</w:t>
      </w:r>
      <w:r w:rsidR="00821D90" w:rsidRPr="00C27739">
        <w:t>ed</w:t>
      </w:r>
      <w:r w:rsidRPr="00C27739">
        <w:t xml:space="preserve"> its</w:t>
      </w:r>
      <w:r w:rsidR="00945D0F" w:rsidRPr="00C27739">
        <w:t xml:space="preserve"> proposal during</w:t>
      </w:r>
      <w:r w:rsidRPr="00C27739">
        <w:t xml:space="preserve"> engagement with Cosgrove customers and other Tungamah customers. </w:t>
      </w:r>
      <w:r w:rsidR="002A2B0B">
        <w:br/>
      </w:r>
      <w:r w:rsidRPr="00C27739">
        <w:t>Goulburn-Murray Water s</w:t>
      </w:r>
      <w:r w:rsidR="004C46F1" w:rsidRPr="00C27739">
        <w:t>tated</w:t>
      </w:r>
      <w:r w:rsidRPr="00C27739">
        <w:t xml:space="preserve"> that few customers have contacted them</w:t>
      </w:r>
      <w:r w:rsidR="0069661E" w:rsidRPr="00C27739">
        <w:t xml:space="preserve"> during its engagement process,</w:t>
      </w:r>
      <w:r w:rsidRPr="00C27739">
        <w:t xml:space="preserve"> and </w:t>
      </w:r>
      <w:r w:rsidR="002C37B4" w:rsidRPr="00C27739">
        <w:t>those customers that did</w:t>
      </w:r>
      <w:r w:rsidRPr="00C27739">
        <w:t xml:space="preserve"> are satisfied with the rationale for the change and </w:t>
      </w:r>
      <w:r w:rsidR="002A2B0B">
        <w:br/>
      </w:r>
      <w:r w:rsidRPr="00C27739">
        <w:t xml:space="preserve">Goulburn-Murray Water’s proposed implementation approach. </w:t>
      </w:r>
    </w:p>
    <w:p w14:paraId="1CFDAF59" w14:textId="77777777" w:rsidR="00266C60" w:rsidRPr="00C27739" w:rsidRDefault="00266C60" w:rsidP="00266C60">
      <w:r w:rsidRPr="00C27739">
        <w:t>Our draft decision is to accept Goulburn-Murray Water’s proposed increase in infrastructure fee on the basis that it is consistent with our guidance.</w:t>
      </w:r>
    </w:p>
    <w:p w14:paraId="4B3CA859" w14:textId="5FAB0C6A" w:rsidR="00266C60" w:rsidRPr="002A2B0B" w:rsidRDefault="00266C60" w:rsidP="005A5B9D">
      <w:pPr>
        <w:pStyle w:val="Heading2"/>
      </w:pPr>
      <w:bookmarkStart w:id="178" w:name="_Toc161400064"/>
      <w:r w:rsidRPr="002A2B0B">
        <w:t>11.2 Customer fee</w:t>
      </w:r>
      <w:bookmarkEnd w:id="178"/>
    </w:p>
    <w:p w14:paraId="71132EF4" w14:textId="76F8A320" w:rsidR="00266C60" w:rsidRPr="00E5573C" w:rsidRDefault="00266C60" w:rsidP="00266C60">
      <w:pPr>
        <w:rPr>
          <w:highlight w:val="darkGray"/>
        </w:rPr>
      </w:pPr>
      <w:r w:rsidRPr="002A2B0B">
        <w:t>Goulburn</w:t>
      </w:r>
      <w:r w:rsidR="00F14C08" w:rsidRPr="002A2B0B">
        <w:t>-</w:t>
      </w:r>
      <w:r w:rsidRPr="002A2B0B">
        <w:t>Murray Water’s proposed customer fee is set out on pages 69 to 70 of its price submission. The customer fee recovers the administrative costs of maintaining Goulburn-Murray Water’s land and water records, billing, debt management and central customer service.</w:t>
      </w:r>
      <w:r w:rsidR="00267A5C" w:rsidRPr="002A2B0B">
        <w:rPr>
          <w:rStyle w:val="FootnoteReference"/>
        </w:rPr>
        <w:footnoteReference w:id="102"/>
      </w:r>
      <w:r w:rsidRPr="002A2B0B">
        <w:t xml:space="preserve"> This </w:t>
      </w:r>
      <w:r w:rsidRPr="002A2B0B">
        <w:lastRenderedPageBreak/>
        <w:t xml:space="preserve">single customer fee was introduced in the current regulatory period replacing previous separate fees for the different services Goulburn-Murray Water provided. All Goulburn-Murray Water customers are charged this fee regardless of the number of services they receive. </w:t>
      </w:r>
    </w:p>
    <w:p w14:paraId="07FD3191" w14:textId="3CDD36CF" w:rsidR="00266C60" w:rsidRPr="0011776B" w:rsidRDefault="00266C60" w:rsidP="00266C60">
      <w:r w:rsidRPr="0011776B">
        <w:t>We received a submission from a domestic and stock customer on unregulated waterways who considered that Goulburn-Murray Water’s approach of excluding gifted assets from regulatory asset base leads to domestic and stock customers on unregulated waterways bear</w:t>
      </w:r>
      <w:r w:rsidR="00E710E1" w:rsidRPr="0011776B">
        <w:t>ing</w:t>
      </w:r>
      <w:r w:rsidRPr="0011776B">
        <w:t xml:space="preserve"> a higher share of corporate overhead.</w:t>
      </w:r>
      <w:r w:rsidR="003372D3" w:rsidRPr="0011776B">
        <w:rPr>
          <w:rStyle w:val="FootnoteReference"/>
        </w:rPr>
        <w:footnoteReference w:id="103"/>
      </w:r>
      <w:r w:rsidRPr="0011776B">
        <w:t xml:space="preserve"> </w:t>
      </w:r>
      <w:r w:rsidR="00B07B36" w:rsidRPr="0011776B">
        <w:t xml:space="preserve">Egis has undertaken a review of </w:t>
      </w:r>
      <w:r w:rsidR="00D57F4B" w:rsidRPr="0011776B">
        <w:t xml:space="preserve">Goulburn-Murray Water’s proposed </w:t>
      </w:r>
      <w:r w:rsidR="00710EBA" w:rsidRPr="0011776B">
        <w:t>customer fee for diverters.</w:t>
      </w:r>
      <w:r w:rsidR="00256146" w:rsidRPr="0011776B">
        <w:t xml:space="preserve"> Egis </w:t>
      </w:r>
      <w:r w:rsidR="006F0C7E" w:rsidRPr="0011776B">
        <w:t>found</w:t>
      </w:r>
      <w:r w:rsidR="00FC7DAE" w:rsidRPr="0011776B">
        <w:t xml:space="preserve"> </w:t>
      </w:r>
      <w:r w:rsidR="006F0C7E" w:rsidRPr="0011776B">
        <w:t>that Goulburn-Murray Water has demonstrated that depreciation is not included in the calculation of the corporate overhead allocation</w:t>
      </w:r>
      <w:r w:rsidR="00AD070F" w:rsidRPr="0011776B">
        <w:t>.</w:t>
      </w:r>
      <w:r w:rsidR="00563077" w:rsidRPr="0011776B">
        <w:t xml:space="preserve"> </w:t>
      </w:r>
      <w:r w:rsidR="00C30D7A" w:rsidRPr="0011776B">
        <w:t>Therefore, t</w:t>
      </w:r>
      <w:r w:rsidRPr="0011776B">
        <w:t>he exclusion of gifted assets from the regulatory asset base does not impact on how overheads are allocated because overhead allocation does not consider depreciation.</w:t>
      </w:r>
      <w:r w:rsidR="001E37D8" w:rsidRPr="0011776B">
        <w:t xml:space="preserve"> </w:t>
      </w:r>
      <w:r w:rsidR="001E37D8" w:rsidRPr="0011776B" w:rsidDel="00FC7DAE">
        <w:t xml:space="preserve">We </w:t>
      </w:r>
      <w:r w:rsidR="008A28AC" w:rsidRPr="0011776B" w:rsidDel="00FC7DAE">
        <w:t xml:space="preserve">agree with </w:t>
      </w:r>
      <w:r w:rsidR="009300DC" w:rsidRPr="0011776B">
        <w:t>these</w:t>
      </w:r>
      <w:r w:rsidR="001E37D8" w:rsidRPr="0011776B" w:rsidDel="00FC7DAE">
        <w:t xml:space="preserve"> findings</w:t>
      </w:r>
      <w:r w:rsidR="008A28AC" w:rsidRPr="0011776B" w:rsidDel="00FC7DAE">
        <w:t>.</w:t>
      </w:r>
    </w:p>
    <w:p w14:paraId="5F769BDA" w14:textId="5A995621" w:rsidR="00822183" w:rsidRPr="0011776B" w:rsidRDefault="00266C60" w:rsidP="00822183">
      <w:r w:rsidRPr="0011776B">
        <w:t>Our draft decision is to accept Goulburn-Murray Water’s customer fee on the basis that it largely reflects a continuation of current arrangements</w:t>
      </w:r>
      <w:r w:rsidR="00822183" w:rsidRPr="0011776B">
        <w:rPr>
          <w:color w:val="B5082E"/>
        </w:rPr>
        <w:t xml:space="preserve"> </w:t>
      </w:r>
      <w:r w:rsidR="00822183" w:rsidRPr="00B130BE">
        <w:t>and is otherwise compliant with our guidance.</w:t>
      </w:r>
    </w:p>
    <w:p w14:paraId="6832F7E1" w14:textId="77777777" w:rsidR="0034536F" w:rsidRDefault="001A27B3" w:rsidP="00266C60">
      <w:pPr>
        <w:sectPr w:rsidR="0034536F" w:rsidSect="00DB48F2">
          <w:footerReference w:type="default" r:id="rId44"/>
          <w:type w:val="continuous"/>
          <w:pgSz w:w="11906" w:h="16838" w:code="9"/>
          <w:pgMar w:top="1134" w:right="1134" w:bottom="1134" w:left="1134" w:header="709" w:footer="692" w:gutter="0"/>
          <w:cols w:space="708"/>
          <w:docGrid w:linePitch="360"/>
        </w:sectPr>
      </w:pPr>
      <w:r w:rsidRPr="0011776B">
        <w:t xml:space="preserve">In response to our draft decision, Goulburn-Murray Water will need to </w:t>
      </w:r>
      <w:r w:rsidR="00087B6E" w:rsidRPr="0011776B">
        <w:t>update</w:t>
      </w:r>
      <w:r w:rsidR="00522876">
        <w:t xml:space="preserve"> its proposed</w:t>
      </w:r>
      <w:r w:rsidR="00087B6E" w:rsidRPr="0011776B">
        <w:t xml:space="preserve"> prices in response to </w:t>
      </w:r>
      <w:r w:rsidR="00C76F6F">
        <w:t xml:space="preserve">our </w:t>
      </w:r>
      <w:r w:rsidR="00087B6E" w:rsidRPr="0011776B">
        <w:t xml:space="preserve">update to </w:t>
      </w:r>
      <w:r w:rsidR="00C76F6F">
        <w:t xml:space="preserve">long-term </w:t>
      </w:r>
      <w:r w:rsidR="00C76F6F" w:rsidRPr="0011776B">
        <w:t xml:space="preserve">inflation </w:t>
      </w:r>
      <w:r w:rsidR="00C76F6F">
        <w:t xml:space="preserve">in our </w:t>
      </w:r>
      <w:r w:rsidR="00C76F6F" w:rsidRPr="0011776B">
        <w:t>draft decision</w:t>
      </w:r>
      <w:r w:rsidR="00C76F6F">
        <w:t>, and upcoming</w:t>
      </w:r>
      <w:r w:rsidR="00087B6E" w:rsidRPr="0011776B">
        <w:t xml:space="preserve"> cost of debt </w:t>
      </w:r>
      <w:r w:rsidR="00C76F6F">
        <w:t>update.</w:t>
      </w:r>
      <w:r w:rsidR="00087B6E" w:rsidRPr="0011776B" w:rsidDel="00087B6E">
        <w:t xml:space="preserve"> </w:t>
      </w:r>
    </w:p>
    <w:p w14:paraId="176342F2" w14:textId="0B9E6379" w:rsidR="004B2F98" w:rsidRDefault="004B2F98">
      <w:pPr>
        <w:spacing w:before="0" w:line="259" w:lineRule="auto"/>
      </w:pPr>
      <w:r>
        <w:br w:type="page"/>
      </w:r>
    </w:p>
    <w:p w14:paraId="71E702DF" w14:textId="6ADA5D95" w:rsidR="004B2F98" w:rsidRDefault="004B2F98" w:rsidP="004B2F98">
      <w:pPr>
        <w:pStyle w:val="Heading1"/>
      </w:pPr>
      <w:bookmarkStart w:id="179" w:name="_Toc161400065"/>
      <w:r>
        <w:lastRenderedPageBreak/>
        <w:t>12.</w:t>
      </w:r>
      <w:r>
        <w:tab/>
        <w:t>Miscellaneous service charges</w:t>
      </w:r>
      <w:bookmarkEnd w:id="179"/>
      <w:r>
        <w:t xml:space="preserve"> </w:t>
      </w:r>
    </w:p>
    <w:p w14:paraId="4666084B" w14:textId="77777777" w:rsidR="004B2F98" w:rsidRPr="00FA1E79" w:rsidRDefault="004B2F98" w:rsidP="004B2F98">
      <w:r w:rsidRPr="00FA1E79">
        <w:t xml:space="preserve">Goulburn-Murray Water provides customers with miscellaneous services </w:t>
      </w:r>
      <w:r>
        <w:t xml:space="preserve">which are </w:t>
      </w:r>
      <w:r w:rsidRPr="00FA1E79">
        <w:t xml:space="preserve">often related to the major services that it provides. Goulburn-Murray Water charges fees to cover the costs of providing miscellaneous services. Many of the miscellaneous services are not used frequently and include processing an application, granting and transferring licences for customers. </w:t>
      </w:r>
    </w:p>
    <w:p w14:paraId="5358F2A5" w14:textId="77777777" w:rsidR="004B2F98" w:rsidRPr="00FA1E79" w:rsidRDefault="004B2F98" w:rsidP="004B2F98">
      <w:r w:rsidRPr="00FA1E79">
        <w:t xml:space="preserve">Goulburn-Murray Water’s proposed miscellaneous services with charges for each service are set out on pages 100 to 103 of its price submission. We sought additional information through information requests to understand Goulburn-Murray Water’s proposed miscellaneous charges. </w:t>
      </w:r>
    </w:p>
    <w:p w14:paraId="16619623" w14:textId="77777777" w:rsidR="004B2F98" w:rsidRPr="00FA1E79" w:rsidRDefault="004B2F98" w:rsidP="004B2F98">
      <w:r w:rsidRPr="00FA1E79">
        <w:t>During the 2016–20 and 2020–24 regulatory periods, Goulburn-Murray Water’s miscellaneous fees and charges made losses of $1.8m and $1.3m respectively rather than recovering efficient costs. Goulburn-Murray is proposing to increase several of its miscellaneous charges to transition to cost reflective charges by 2031</w:t>
      </w:r>
      <w:r w:rsidRPr="00FA1E79">
        <w:noBreakHyphen/>
        <w:t>32. Goulburn-Murray Water has confirmed that its proposed miscellaneous charges are calculated in accordance with the pricing principles</w:t>
      </w:r>
      <w:r w:rsidRPr="00FA1E79" w:rsidDel="00651A06">
        <w:t xml:space="preserve"> </w:t>
      </w:r>
      <w:r w:rsidRPr="00FA1E79">
        <w:t>in our guidance.</w:t>
      </w:r>
      <w:r w:rsidRPr="00FA1E79">
        <w:rPr>
          <w:rStyle w:val="FootnoteReference"/>
        </w:rPr>
        <w:footnoteReference w:id="104"/>
      </w:r>
    </w:p>
    <w:p w14:paraId="38C9694C" w14:textId="77777777" w:rsidR="004B2F98" w:rsidRPr="00EF7A02" w:rsidRDefault="004B2F98" w:rsidP="004B2F98">
      <w:r w:rsidRPr="00EF7A02">
        <w:t>We reviewed Goulburn-Murray Water’s engagement with customers on miscellaneous charges. We found Goulburn-Murray Water provided information to customers explaining the miscellaneous charges but had little discussion on the level of increase in charges.</w:t>
      </w:r>
      <w:r w:rsidRPr="00EF7A02" w:rsidDel="00C52763">
        <w:t xml:space="preserve"> </w:t>
      </w:r>
      <w:r w:rsidRPr="00EF7A02">
        <w:t xml:space="preserve">We received seven submissions from customers who considered </w:t>
      </w:r>
      <w:r>
        <w:t xml:space="preserve">the </w:t>
      </w:r>
      <w:r w:rsidRPr="00EF7A02">
        <w:t>license fees were too high.</w:t>
      </w:r>
      <w:r w:rsidRPr="00EF7A02">
        <w:rPr>
          <w:rStyle w:val="FootnoteReference"/>
        </w:rPr>
        <w:footnoteReference w:id="105"/>
      </w:r>
      <w:r w:rsidRPr="00EF7A02">
        <w:t xml:space="preserve"> </w:t>
      </w:r>
    </w:p>
    <w:p w14:paraId="21D9655F" w14:textId="77777777" w:rsidR="004B2F98" w:rsidRDefault="004B2F98" w:rsidP="004B2F98">
      <w:pPr>
        <w:sectPr w:rsidR="004B2F98" w:rsidSect="00DB48F2">
          <w:footerReference w:type="default" r:id="rId45"/>
          <w:type w:val="continuous"/>
          <w:pgSz w:w="11906" w:h="16838" w:code="9"/>
          <w:pgMar w:top="1134" w:right="1134" w:bottom="1134" w:left="1134" w:header="709" w:footer="692" w:gutter="0"/>
          <w:cols w:space="708"/>
          <w:docGrid w:linePitch="360"/>
        </w:sectPr>
      </w:pPr>
      <w:r w:rsidRPr="00EF7A02">
        <w:t>That feedback notwithstanding, our draft decision is to approve the miscellaneous services tariffs because they are calculated in accordance with the pricing principles</w:t>
      </w:r>
      <w:r w:rsidRPr="00EF7A02" w:rsidDel="00D34099">
        <w:t xml:space="preserve"> </w:t>
      </w:r>
      <w:r w:rsidRPr="00EF7A02">
        <w:t>in our guidance.</w:t>
      </w:r>
    </w:p>
    <w:p w14:paraId="565AD234" w14:textId="77777777" w:rsidR="00266C60" w:rsidRPr="0011776B" w:rsidRDefault="00266C60" w:rsidP="00266C60"/>
    <w:p w14:paraId="389BD949" w14:textId="577218A9" w:rsidR="00324EFE" w:rsidDel="00125D8F" w:rsidRDefault="00C23CC7" w:rsidP="00C23CC7">
      <w:pPr>
        <w:pStyle w:val="Heading1"/>
      </w:pPr>
      <w:bookmarkStart w:id="180" w:name="_Toc149223951"/>
      <w:bookmarkStart w:id="181" w:name="_Toc149560277"/>
      <w:bookmarkStart w:id="182" w:name="_Toc150866264"/>
      <w:bookmarkStart w:id="183" w:name="_Toc161400066"/>
      <w:r>
        <w:lastRenderedPageBreak/>
        <w:t>1</w:t>
      </w:r>
      <w:r w:rsidR="004B2F98">
        <w:t>3</w:t>
      </w:r>
      <w:r>
        <w:t>.</w:t>
      </w:r>
      <w:r w:rsidR="00BF337F">
        <w:tab/>
      </w:r>
      <w:r w:rsidR="006A5EC7">
        <w:t xml:space="preserve">Addressing the interests of </w:t>
      </w:r>
      <w:r w:rsidR="00A1325A">
        <w:t xml:space="preserve">customers with </w:t>
      </w:r>
      <w:r w:rsidR="006A5EC7">
        <w:t xml:space="preserve">low income </w:t>
      </w:r>
      <w:r w:rsidR="00A1325A">
        <w:t>or</w:t>
      </w:r>
      <w:r w:rsidR="00C71D1F">
        <w:t xml:space="preserve"> those</w:t>
      </w:r>
      <w:bookmarkEnd w:id="151"/>
      <w:bookmarkEnd w:id="180"/>
      <w:bookmarkEnd w:id="181"/>
      <w:bookmarkEnd w:id="182"/>
      <w:r w:rsidR="008B4685">
        <w:t xml:space="preserve"> experienc</w:t>
      </w:r>
      <w:r w:rsidR="00C71D1F">
        <w:t>ing</w:t>
      </w:r>
      <w:r w:rsidR="008B4685">
        <w:t xml:space="preserve"> </w:t>
      </w:r>
      <w:r w:rsidR="006A5EC7">
        <w:t>vulnerab</w:t>
      </w:r>
      <w:r w:rsidR="008B4685">
        <w:t>ility</w:t>
      </w:r>
      <w:bookmarkEnd w:id="183"/>
      <w:r w:rsidR="008B4685">
        <w:t xml:space="preserve"> </w:t>
      </w:r>
    </w:p>
    <w:p w14:paraId="6F2CFE41" w14:textId="77777777" w:rsidR="00BF6D2C" w:rsidRDefault="00BF6D2C" w:rsidP="00BF6D2C">
      <w:r w:rsidRPr="00040B8E">
        <w:t xml:space="preserve">In making our </w:t>
      </w:r>
      <w:r>
        <w:t>price determination, we must have regard to whether Goulburn-Murray Water’s prices take into account the interests of customers, including low income and vulnerable customers.</w:t>
      </w:r>
      <w:r>
        <w:rPr>
          <w:rStyle w:val="FootnoteReference"/>
        </w:rPr>
        <w:footnoteReference w:id="106"/>
      </w:r>
    </w:p>
    <w:p w14:paraId="2C22F61B" w14:textId="77777777" w:rsidR="00BF6D2C" w:rsidRPr="008C274B" w:rsidRDefault="00BF6D2C" w:rsidP="00BF6D2C">
      <w:r w:rsidRPr="008C274B">
        <w:t>As noted in Section 3.1, Goulburn-Murray Water’s price submission was informed by engagement that was inclusive for customers more likely to experience vulnerability, including customers severely affected by the 2022 floods.</w:t>
      </w:r>
    </w:p>
    <w:p w14:paraId="54483243" w14:textId="7967B4A0" w:rsidR="00BF6D2C" w:rsidRPr="008C274B" w:rsidRDefault="00BF6D2C" w:rsidP="00BF6D2C">
      <w:r w:rsidRPr="008C274B">
        <w:t>There is evidence that Goulburn-Murray Water has sought to address the interests of low income customers</w:t>
      </w:r>
      <w:r w:rsidR="008B4685">
        <w:t xml:space="preserve"> and those who experience </w:t>
      </w:r>
      <w:r w:rsidRPr="008C274B">
        <w:t>vulnerab</w:t>
      </w:r>
      <w:r w:rsidR="008B4685">
        <w:t>ility</w:t>
      </w:r>
      <w:r w:rsidRPr="008C274B">
        <w:t xml:space="preserve"> customers. Goulburn-Murray Water proposed to: </w:t>
      </w:r>
    </w:p>
    <w:p w14:paraId="70BD26FA" w14:textId="0607D8F7" w:rsidR="00BF6D2C" w:rsidRPr="008C274B" w:rsidRDefault="00BF6D2C" w:rsidP="00821A3A">
      <w:pPr>
        <w:pStyle w:val="ListBullet"/>
      </w:pPr>
      <w:r w:rsidRPr="008C274B">
        <w:t>maintain its approach to supporting customers experiencing financial hardship, which it describes as flexible, empathetic and proactive</w:t>
      </w:r>
    </w:p>
    <w:p w14:paraId="238D4194" w14:textId="77777777" w:rsidR="00BF6D2C" w:rsidRPr="008C274B" w:rsidRDefault="00BF6D2C" w:rsidP="00821A3A">
      <w:pPr>
        <w:pStyle w:val="ListBullet"/>
      </w:pPr>
      <w:r w:rsidRPr="008C274B">
        <w:t>continue to make customers aware of the financial hardship assistance available which is highlighted on every customer bill</w:t>
      </w:r>
    </w:p>
    <w:p w14:paraId="7D198EDF" w14:textId="77777777" w:rsidR="00BF6D2C" w:rsidRPr="008C274B" w:rsidRDefault="00BF6D2C" w:rsidP="00821A3A">
      <w:pPr>
        <w:pStyle w:val="ListBullet"/>
      </w:pPr>
      <w:r w:rsidRPr="008C274B">
        <w:t>continue communication about payment flexibility options</w:t>
      </w:r>
    </w:p>
    <w:p w14:paraId="24C4516B" w14:textId="77777777" w:rsidR="00E33A66" w:rsidRDefault="00BF6D2C" w:rsidP="00821A3A">
      <w:pPr>
        <w:pStyle w:val="ListBullet"/>
        <w:sectPr w:rsidR="00E33A66" w:rsidSect="00DB48F2">
          <w:footerReference w:type="default" r:id="rId46"/>
          <w:type w:val="continuous"/>
          <w:pgSz w:w="11906" w:h="16838" w:code="9"/>
          <w:pgMar w:top="1134" w:right="1134" w:bottom="1134" w:left="1134" w:header="709" w:footer="692" w:gutter="0"/>
          <w:cols w:space="708"/>
          <w:docGrid w:linePitch="360"/>
        </w:sectPr>
      </w:pPr>
      <w:r w:rsidRPr="008C274B">
        <w:t xml:space="preserve">increase engagement with customers who are experiencing vulnerability, and the agencies that support them. </w:t>
      </w:r>
    </w:p>
    <w:p w14:paraId="588B057C" w14:textId="77777777" w:rsidR="00BF6D2C" w:rsidRPr="008C274B" w:rsidRDefault="00BF6D2C" w:rsidP="00821A3A">
      <w:pPr>
        <w:pStyle w:val="ListBullet"/>
        <w:numPr>
          <w:ilvl w:val="0"/>
          <w:numId w:val="0"/>
        </w:numPr>
        <w:ind w:left="284"/>
      </w:pPr>
    </w:p>
    <w:p w14:paraId="5E370477" w14:textId="087E8EC8" w:rsidR="000A1F1D" w:rsidRDefault="000A1F1D" w:rsidP="000A1F1D"/>
    <w:p w14:paraId="7F68C38D" w14:textId="06F034CA" w:rsidR="00765356" w:rsidRDefault="00257115" w:rsidP="00257115">
      <w:pPr>
        <w:pStyle w:val="Heading1"/>
      </w:pPr>
      <w:bookmarkStart w:id="184" w:name="_Toc161400067"/>
      <w:r>
        <w:lastRenderedPageBreak/>
        <w:t>14.</w:t>
      </w:r>
      <w:r w:rsidR="00022DAC">
        <w:tab/>
      </w:r>
      <w:r w:rsidR="00765356">
        <w:t>Adjusting prices</w:t>
      </w:r>
      <w:bookmarkEnd w:id="184"/>
      <w:r w:rsidR="001850A8">
        <w:t xml:space="preserve"> </w:t>
      </w:r>
    </w:p>
    <w:p w14:paraId="1864435F" w14:textId="77777777" w:rsidR="00F07A47" w:rsidRDefault="00F07A47" w:rsidP="00F07A47">
      <w:pPr>
        <w:pStyle w:val="Pull-out"/>
        <w:rPr>
          <w:sz w:val="18"/>
          <w:szCs w:val="20"/>
        </w:rPr>
      </w:pPr>
      <w:r>
        <w:t xml:space="preserve">Our draft decision is to </w:t>
      </w:r>
      <w:r w:rsidRPr="00743A5F">
        <w:t xml:space="preserve">accept </w:t>
      </w:r>
      <w:r>
        <w:t xml:space="preserve">Goulburn-Murray Water’s proposed price adjustment mechanisms. </w:t>
      </w:r>
    </w:p>
    <w:p w14:paraId="59794A22" w14:textId="03C082E2" w:rsidR="00F07A47" w:rsidRPr="00743A5F" w:rsidRDefault="00F07A47" w:rsidP="00F07A47">
      <w:r w:rsidRPr="00743A5F">
        <w:t>Goulburn-Murray Water’s proposed price adjustment mechanisms are set out on pages 51 to 52 of its price submission.</w:t>
      </w:r>
    </w:p>
    <w:p w14:paraId="3E0D6F0F" w14:textId="20B2A839" w:rsidR="00F07A47" w:rsidRPr="00743A5F" w:rsidRDefault="00F07A47" w:rsidP="00F07A47">
      <w:r w:rsidRPr="00743A5F">
        <w:t>Goulburn-Murray Water proposed to maintain its price adjustment mechanism in relation to uncertain and unforeseen events. This is the first time the commission’s standard annual adjustment mechanism to reflect movements in the cost of debt will apply to Goulburn-Murray Water.</w:t>
      </w:r>
      <w:r w:rsidRPr="00743A5F">
        <w:rPr>
          <w:rStyle w:val="FootnoteReference"/>
        </w:rPr>
        <w:footnoteReference w:id="107"/>
      </w:r>
      <w:r w:rsidRPr="00743A5F">
        <w:t xml:space="preserve"> Consistent with the guidance, Goulburn-Murray Water has identified its tariffs which will be affected by cost of debt changes.</w:t>
      </w:r>
      <w:r w:rsidR="00680200" w:rsidRPr="00743A5F">
        <w:rPr>
          <w:rStyle w:val="FootnoteReference"/>
        </w:rPr>
        <w:footnoteReference w:id="108"/>
      </w:r>
      <w:r w:rsidRPr="00743A5F">
        <w:t xml:space="preserve"> </w:t>
      </w:r>
    </w:p>
    <w:p w14:paraId="246A63C0" w14:textId="00EC5459" w:rsidR="00F07A47" w:rsidRDefault="00F07A47" w:rsidP="00F07A47">
      <w:r w:rsidRPr="00743A5F">
        <w:t xml:space="preserve">Our draft decision is to accept Goulburn-Murray Water’s proposed price adjustment mechanism for </w:t>
      </w:r>
      <w:r w:rsidR="00FE4007" w:rsidRPr="00743A5F">
        <w:t>un</w:t>
      </w:r>
      <w:r w:rsidR="006617D5" w:rsidRPr="00743A5F">
        <w:t>c</w:t>
      </w:r>
      <w:r w:rsidR="00FE4007" w:rsidRPr="00743A5F">
        <w:t>er</w:t>
      </w:r>
      <w:r w:rsidR="00EF2CAB" w:rsidRPr="00743A5F">
        <w:t>tain and</w:t>
      </w:r>
      <w:r w:rsidR="00E73127" w:rsidRPr="00743A5F">
        <w:t xml:space="preserve"> unforeseen events</w:t>
      </w:r>
      <w:r w:rsidRPr="00743A5F">
        <w:t xml:space="preserve"> because it is consistent with our guidance.</w:t>
      </w:r>
      <w:r w:rsidRPr="00743A5F">
        <w:rPr>
          <w:rStyle w:val="FootnoteReference"/>
        </w:rPr>
        <w:footnoteReference w:id="109"/>
      </w:r>
      <w:r w:rsidRPr="00743A5F">
        <w:t xml:space="preserve"> </w:t>
      </w:r>
    </w:p>
    <w:p w14:paraId="56604D8A" w14:textId="77777777" w:rsidR="00997112" w:rsidRDefault="00997112" w:rsidP="00BB45EB">
      <w:pPr>
        <w:sectPr w:rsidR="00997112" w:rsidSect="00DB48F2">
          <w:footerReference w:type="default" r:id="rId47"/>
          <w:type w:val="continuous"/>
          <w:pgSz w:w="11906" w:h="16838" w:code="9"/>
          <w:pgMar w:top="1134" w:right="1134" w:bottom="1134" w:left="1134" w:header="709" w:footer="692" w:gutter="0"/>
          <w:cols w:space="708"/>
          <w:docGrid w:linePitch="360"/>
        </w:sectPr>
      </w:pPr>
    </w:p>
    <w:p w14:paraId="16191EF0" w14:textId="77777777" w:rsidR="00104608" w:rsidRDefault="00104608" w:rsidP="00BB45EB">
      <w:pPr>
        <w:sectPr w:rsidR="00104608" w:rsidSect="00DB48F2">
          <w:type w:val="continuous"/>
          <w:pgSz w:w="11906" w:h="16838" w:code="9"/>
          <w:pgMar w:top="1134" w:right="1134" w:bottom="1134" w:left="1134" w:header="709" w:footer="692" w:gutter="0"/>
          <w:cols w:space="708"/>
          <w:docGrid w:linePitch="360"/>
        </w:sectPr>
      </w:pPr>
    </w:p>
    <w:p w14:paraId="2B101CF2" w14:textId="05D5F815" w:rsidR="00BF7DEC" w:rsidRDefault="00257115" w:rsidP="00F22C01">
      <w:pPr>
        <w:pStyle w:val="Heading1"/>
        <w:ind w:left="709" w:hanging="709"/>
      </w:pPr>
      <w:bookmarkStart w:id="185" w:name="_Toc161400068"/>
      <w:r>
        <w:lastRenderedPageBreak/>
        <w:t>15</w:t>
      </w:r>
      <w:r w:rsidR="00EF4F01">
        <w:t>.</w:t>
      </w:r>
      <w:r w:rsidR="00EF4F01">
        <w:tab/>
      </w:r>
      <w:r w:rsidR="00BF7DEC">
        <w:t>Financial position</w:t>
      </w:r>
      <w:bookmarkEnd w:id="185"/>
      <w:r w:rsidR="00960161">
        <w:t xml:space="preserve"> </w:t>
      </w:r>
    </w:p>
    <w:p w14:paraId="24333D3E" w14:textId="5968ED5D" w:rsidR="00BC3B32" w:rsidRDefault="00BC3B32" w:rsidP="00BC3B32">
      <w:pPr>
        <w:pStyle w:val="Pull-out"/>
      </w:pPr>
      <w:r>
        <w:t>We have reviewed key indicators of Goulburn-Murray Water’s financial performance and our preliminary view is that Goulburn-Murray Water will generate sufficient cash flow to deliver on its service commitments.</w:t>
      </w:r>
    </w:p>
    <w:p w14:paraId="5CC13862" w14:textId="4B6324C3" w:rsidR="00BC3B32" w:rsidRDefault="00BC3B32" w:rsidP="00BC3B32">
      <w:r>
        <w:t>In approving prices, we must have regard to the financial viability of the water industry.</w:t>
      </w:r>
      <w:r>
        <w:rPr>
          <w:rStyle w:val="FootnoteReference"/>
        </w:rPr>
        <w:footnoteReference w:id="110"/>
      </w:r>
      <w:r>
        <w:t xml:space="preserve"> We interpret the financial viability requirements under the </w:t>
      </w:r>
      <w:r w:rsidRPr="56FF8857">
        <w:rPr>
          <w:i/>
          <w:iCs/>
        </w:rPr>
        <w:t>Essential Services Commission Act 2001</w:t>
      </w:r>
      <w:r>
        <w:t xml:space="preserve"> and the Water Industry Regulatory Order (2014) to mean that the prices we approve should provide a high level of certainty that each water corporation can generate sufficient cash flow to deliver on its service commitments, including financing costs arising from investments to meet service expectations.</w:t>
      </w:r>
    </w:p>
    <w:p w14:paraId="7B9CDEAA" w14:textId="5CFF21D9" w:rsidR="00BC3B32" w:rsidRDefault="00BC3B32" w:rsidP="00BC3B32">
      <w:r>
        <w:t xml:space="preserve">Goulburn-Murray Water’s </w:t>
      </w:r>
      <w:r w:rsidRPr="00594F21">
        <w:t>2024 price submission and the supporting financial model</w:t>
      </w:r>
      <w:r>
        <w:t xml:space="preserve"> provided estimates for key indicators of financial performance. These estimates were based on </w:t>
      </w:r>
      <w:r w:rsidR="002F7C03">
        <w:br/>
      </w:r>
      <w:r>
        <w:t>Goulburn-Murray Water’s assumptions about its revenue and expenditure. We have reviewed the key indicators of financial performance</w:t>
      </w:r>
      <w:r w:rsidR="00B0614D" w:rsidRPr="00594F21">
        <w:t>,</w:t>
      </w:r>
      <w:r>
        <w:t xml:space="preserve"> and our preliminary view is that </w:t>
      </w:r>
      <w:r w:rsidRPr="00594F21">
        <w:t>we consider Goulburn-Murray Water will generate sufficient cash flow to deliver on its service commitments, including financing costs arising from investments to meet service expectations.</w:t>
      </w:r>
    </w:p>
    <w:p w14:paraId="2ABE3AD2" w14:textId="77777777" w:rsidR="008706A9" w:rsidRDefault="008706A9" w:rsidP="00BF7DEC">
      <w:pPr>
        <w:sectPr w:rsidR="008706A9" w:rsidSect="00DB48F2">
          <w:footerReference w:type="default" r:id="rId48"/>
          <w:pgSz w:w="11906" w:h="16838" w:code="9"/>
          <w:pgMar w:top="1134" w:right="1134" w:bottom="1134" w:left="1134" w:header="709" w:footer="692" w:gutter="0"/>
          <w:cols w:space="708"/>
          <w:docGrid w:linePitch="360"/>
        </w:sectPr>
      </w:pPr>
    </w:p>
    <w:p w14:paraId="727C332C" w14:textId="5916BF93" w:rsidR="00BF7DEC" w:rsidRDefault="00257115" w:rsidP="00F22C01">
      <w:pPr>
        <w:pStyle w:val="Heading1"/>
        <w:ind w:left="709" w:hanging="709"/>
      </w:pPr>
      <w:bookmarkStart w:id="186" w:name="_Toc161400069"/>
      <w:r>
        <w:lastRenderedPageBreak/>
        <w:t>16</w:t>
      </w:r>
      <w:r w:rsidR="00A84348">
        <w:t>.</w:t>
      </w:r>
      <w:r w:rsidR="00A84348">
        <w:tab/>
      </w:r>
      <w:r w:rsidR="00BF7DEC">
        <w:t>PREMO rating</w:t>
      </w:r>
      <w:bookmarkEnd w:id="186"/>
      <w:r w:rsidR="00D61F39">
        <w:t xml:space="preserve"> </w:t>
      </w:r>
    </w:p>
    <w:p w14:paraId="3A89F650" w14:textId="2465A490" w:rsidR="00BF7DEC" w:rsidRDefault="00BF7DEC" w:rsidP="00902C19">
      <w:r>
        <w:t>PREMO is an incentive mechanism that links the return on equity used to calculate a water corporation’s revenue requirement to that corporation’s level of ambition expressed in its price submission</w:t>
      </w:r>
      <w:r w:rsidR="00E22797" w:rsidRPr="00371A4A">
        <w:t>,</w:t>
      </w:r>
      <w:r w:rsidR="009B5E58" w:rsidRPr="00371A4A">
        <w:t xml:space="preserve"> </w:t>
      </w:r>
      <w:r w:rsidR="005C508C" w:rsidRPr="00371A4A">
        <w:t xml:space="preserve">and </w:t>
      </w:r>
      <w:r w:rsidR="009B5E58" w:rsidRPr="00371A4A">
        <w:t>deliver</w:t>
      </w:r>
      <w:r w:rsidR="005C508C" w:rsidRPr="00371A4A">
        <w:t>y of outcomes</w:t>
      </w:r>
      <w:r w:rsidR="008C15EB" w:rsidRPr="00371A4A">
        <w:t xml:space="preserve"> it</w:t>
      </w:r>
      <w:r w:rsidR="009B5E58" w:rsidRPr="00371A4A">
        <w:t xml:space="preserve"> </w:t>
      </w:r>
      <w:r w:rsidR="00E145EE" w:rsidRPr="00371A4A">
        <w:t>proposed in the p</w:t>
      </w:r>
      <w:r w:rsidR="00867159" w:rsidRPr="00371A4A">
        <w:t>revious</w:t>
      </w:r>
      <w:r w:rsidR="000D5620" w:rsidRPr="00371A4A">
        <w:t xml:space="preserve"> review</w:t>
      </w:r>
      <w:r w:rsidRPr="00371A4A">
        <w:t>.</w:t>
      </w:r>
      <w:r w:rsidR="001E7FBE" w:rsidRPr="00371A4A">
        <w:rPr>
          <w:rStyle w:val="FootnoteReference"/>
        </w:rPr>
        <w:footnoteReference w:id="111"/>
      </w:r>
      <w:r>
        <w:t xml:space="preserve"> Our guidance required </w:t>
      </w:r>
      <w:r w:rsidR="00D1620B">
        <w:t>Goulburn-Murray Water</w:t>
      </w:r>
      <w:r>
        <w:t xml:space="preserve"> to self</w:t>
      </w:r>
      <w:r w:rsidR="000D6B4B">
        <w:noBreakHyphen/>
      </w:r>
      <w:r>
        <w:t xml:space="preserve">assess the level of ambition of its price submission for each element of the PREMO mechanism </w:t>
      </w:r>
      <w:r w:rsidR="00FB0ADF">
        <w:t>(other than Performance)</w:t>
      </w:r>
      <w:r w:rsidR="00744ED7">
        <w:t>,</w:t>
      </w:r>
      <w:r>
        <w:t xml:space="preserve"> and arrive at an overall self</w:t>
      </w:r>
      <w:r w:rsidR="000D6B4B">
        <w:noBreakHyphen/>
      </w:r>
      <w:r>
        <w:t>rating.</w:t>
      </w:r>
      <w:r w:rsidR="00414537">
        <w:rPr>
          <w:rStyle w:val="FootnoteReference"/>
        </w:rPr>
        <w:footnoteReference w:id="112"/>
      </w:r>
      <w:r w:rsidR="00392C6B">
        <w:t xml:space="preserve"> </w:t>
      </w:r>
      <w:r w:rsidR="00165F2E" w:rsidRPr="0046000F">
        <w:t>Goulburn-Murray Water did not need to self-rate itself on the Performance element of PREMO as this is its first assessment under PREMO</w:t>
      </w:r>
      <w:r w:rsidR="009561E3" w:rsidRPr="0046000F">
        <w:t>.</w:t>
      </w:r>
      <w:r w:rsidR="00165F2E" w:rsidRPr="0046000F">
        <w:t xml:space="preserve"> </w:t>
      </w:r>
      <w:r>
        <w:t xml:space="preserve">We required </w:t>
      </w:r>
      <w:r w:rsidR="00D1620B">
        <w:t>Goulburn-Murray Water</w:t>
      </w:r>
      <w:r>
        <w:t xml:space="preserve"> to self</w:t>
      </w:r>
      <w:r w:rsidR="000D6B4B">
        <w:noBreakHyphen/>
      </w:r>
      <w:r>
        <w:t xml:space="preserve">rate its price submission as either ‘Leading’, ‘Advanced’, ‘Standard’ or ‘Basic’, with ‘Leading’ being the most ambitious and ‘Basic’ the least. </w:t>
      </w:r>
    </w:p>
    <w:p w14:paraId="59BB2C6F" w14:textId="176D9B36" w:rsidR="00BF7DEC" w:rsidRDefault="00BF7DEC" w:rsidP="00BF7DEC">
      <w:r>
        <w:t xml:space="preserve">The assessment tool included in our guidance directed </w:t>
      </w:r>
      <w:r w:rsidR="00D1620B">
        <w:t>Goulburn-Murray Water</w:t>
      </w:r>
      <w:r>
        <w:t xml:space="preserve"> to consider its level of ambition in relation to matters covered in its price submission, such as proposals related to operating and capital expenditure, the form of price control, and tariffs.</w:t>
      </w:r>
    </w:p>
    <w:p w14:paraId="7CA48233" w14:textId="2A1D6311" w:rsidR="00BF7DEC" w:rsidRDefault="00BF7DEC" w:rsidP="00BF7DEC">
      <w:r>
        <w:t xml:space="preserve">We also assessed and rated </w:t>
      </w:r>
      <w:r w:rsidR="00D1620B">
        <w:t>Goulburn-Murray Water</w:t>
      </w:r>
      <w:r>
        <w:t xml:space="preserve">’s price submission. As outlined in </w:t>
      </w:r>
      <w:r w:rsidR="003A3A93">
        <w:t>our guidance</w:t>
      </w:r>
      <w:r>
        <w:t xml:space="preserve">, </w:t>
      </w:r>
      <w:r w:rsidRPr="00DD4231">
        <w:t xml:space="preserve">the combination of </w:t>
      </w:r>
      <w:r w:rsidR="00D1620B" w:rsidRPr="00DD4231">
        <w:t>Goulburn-Murray Water</w:t>
      </w:r>
      <w:r w:rsidRPr="00DD4231">
        <w:t>’s self</w:t>
      </w:r>
      <w:r w:rsidR="000D6B4B" w:rsidRPr="00DD4231">
        <w:noBreakHyphen/>
      </w:r>
      <w:r w:rsidRPr="00DD4231">
        <w:t xml:space="preserve">rating and our rating has determined the return on equity we have adopted to calculate </w:t>
      </w:r>
      <w:r w:rsidR="00D1620B" w:rsidRPr="00DD4231">
        <w:t>Goulburn-Murray Water</w:t>
      </w:r>
      <w:r w:rsidRPr="00DD4231">
        <w:t>’s revenue requirement in our draft decision.</w:t>
      </w:r>
    </w:p>
    <w:p w14:paraId="4E23E399" w14:textId="7212072D" w:rsidR="00BF7DEC" w:rsidRDefault="00E036B8" w:rsidP="00F22C01">
      <w:pPr>
        <w:pStyle w:val="Heading2"/>
      </w:pPr>
      <w:bookmarkStart w:id="187" w:name="_Toc161400070"/>
      <w:r>
        <w:t>16</w:t>
      </w:r>
      <w:r w:rsidR="00A84348">
        <w:t>.1</w:t>
      </w:r>
      <w:r w:rsidR="00BE5BE1">
        <w:t xml:space="preserve"> </w:t>
      </w:r>
      <w:r w:rsidR="00BF7DEC">
        <w:t xml:space="preserve">Our PREMO assessment of </w:t>
      </w:r>
      <w:r w:rsidR="00D1620B">
        <w:t>Goulburn-Murray Water</w:t>
      </w:r>
      <w:r w:rsidR="00BF7DEC">
        <w:t>’s price submission</w:t>
      </w:r>
      <w:bookmarkEnd w:id="187"/>
      <w:r w:rsidR="004B2A10">
        <w:t xml:space="preserve"> </w:t>
      </w:r>
    </w:p>
    <w:p w14:paraId="51DF5533" w14:textId="3ED07B3F" w:rsidR="00BF7DEC" w:rsidRPr="00757C5B" w:rsidRDefault="00BF7DEC" w:rsidP="00763018">
      <w:pPr>
        <w:pStyle w:val="Pull-out"/>
      </w:pPr>
      <w:r w:rsidRPr="00757C5B">
        <w:t xml:space="preserve">Our draft decision is to rate </w:t>
      </w:r>
      <w:r w:rsidR="00D1620B" w:rsidRPr="00757C5B">
        <w:t>Goulburn-Murray Water</w:t>
      </w:r>
      <w:r w:rsidRPr="00757C5B">
        <w:t xml:space="preserve">’s price submission as </w:t>
      </w:r>
      <w:r w:rsidR="005974E2" w:rsidRPr="00757C5B">
        <w:t>‘</w:t>
      </w:r>
      <w:r w:rsidR="008131C0" w:rsidRPr="00757C5B">
        <w:t>Standard</w:t>
      </w:r>
      <w:r w:rsidR="005974E2" w:rsidRPr="00757C5B">
        <w:t>’</w:t>
      </w:r>
      <w:r w:rsidRPr="00757C5B">
        <w:t xml:space="preserve"> under PREMO, which </w:t>
      </w:r>
      <w:r w:rsidR="00F404CC" w:rsidRPr="00757C5B">
        <w:t xml:space="preserve">is the same as </w:t>
      </w:r>
      <w:r w:rsidR="00D1620B" w:rsidRPr="00757C5B">
        <w:t>Goulburn-Murray Water</w:t>
      </w:r>
      <w:r w:rsidRPr="00757C5B">
        <w:t>’s self</w:t>
      </w:r>
      <w:r w:rsidR="000D6B4B" w:rsidRPr="00757C5B">
        <w:noBreakHyphen/>
      </w:r>
      <w:r w:rsidRPr="00757C5B">
        <w:t>rating.</w:t>
      </w:r>
    </w:p>
    <w:p w14:paraId="66F4DABF" w14:textId="6CB70911" w:rsidR="00BB45EB" w:rsidRPr="00BB45EB" w:rsidRDefault="00D1620B" w:rsidP="00BF7DEC">
      <w:r>
        <w:t>Goulburn-Murray Water</w:t>
      </w:r>
      <w:r w:rsidR="00BF7DEC">
        <w:t>’s self</w:t>
      </w:r>
      <w:r w:rsidR="000D6B4B">
        <w:noBreakHyphen/>
      </w:r>
      <w:r w:rsidR="00BF7DEC">
        <w:t xml:space="preserve">rating for each of the PREMO elements </w:t>
      </w:r>
      <w:r w:rsidR="00D26FF0">
        <w:t xml:space="preserve">(other than Performance) </w:t>
      </w:r>
      <w:r w:rsidR="00BF7DEC">
        <w:t>and its overall self</w:t>
      </w:r>
      <w:r w:rsidR="000D6B4B">
        <w:noBreakHyphen/>
      </w:r>
      <w:r w:rsidR="00BF7DEC">
        <w:t xml:space="preserve">rating are shown in Table 7.1. This table also includes our proposed ratings following our assessment of </w:t>
      </w:r>
      <w:r>
        <w:t>Goulburn-Murray Water</w:t>
      </w:r>
      <w:r w:rsidR="00BF7DEC">
        <w:t>’s price submission.</w:t>
      </w:r>
    </w:p>
    <w:p w14:paraId="2DD46CC8" w14:textId="5B6C9254" w:rsidR="009B3050" w:rsidRDefault="009B3050" w:rsidP="009B3050">
      <w:pPr>
        <w:pStyle w:val="Figure-Table-BoxHeading"/>
        <w:keepNext/>
        <w:spacing w:before="360" w:line="288" w:lineRule="auto"/>
        <w:ind w:left="0" w:firstLine="0"/>
      </w:pPr>
      <w:r>
        <w:lastRenderedPageBreak/>
        <w:t>Table 7.1</w:t>
      </w:r>
      <w:r>
        <w:tab/>
        <w:t>PREMO rating</w:t>
      </w:r>
    </w:p>
    <w:tbl>
      <w:tblPr>
        <w:tblStyle w:val="TableGrid"/>
        <w:tblW w:w="0" w:type="auto"/>
        <w:tblLook w:val="04A0" w:firstRow="1" w:lastRow="0" w:firstColumn="1" w:lastColumn="0" w:noHBand="0" w:noVBand="1"/>
      </w:tblPr>
      <w:tblGrid>
        <w:gridCol w:w="1524"/>
        <w:gridCol w:w="1233"/>
        <w:gridCol w:w="1119"/>
        <w:gridCol w:w="1463"/>
        <w:gridCol w:w="1487"/>
        <w:gridCol w:w="1324"/>
      </w:tblGrid>
      <w:tr w:rsidR="00511AFA" w14:paraId="3AE44148" w14:textId="77777777" w:rsidTr="00950C60">
        <w:trPr>
          <w:cnfStyle w:val="100000000000" w:firstRow="1" w:lastRow="0" w:firstColumn="0" w:lastColumn="0" w:oddVBand="0" w:evenVBand="0" w:oddHBand="0" w:evenHBand="0" w:firstRowFirstColumn="0" w:firstRowLastColumn="0" w:lastRowFirstColumn="0" w:lastRowLastColumn="0"/>
        </w:trPr>
        <w:tc>
          <w:tcPr>
            <w:tcW w:w="1524" w:type="dxa"/>
          </w:tcPr>
          <w:p w14:paraId="495E0641" w14:textId="77777777" w:rsidR="00511AFA" w:rsidRDefault="00511AFA" w:rsidP="00950C60">
            <w:pPr>
              <w:pStyle w:val="TableHeading"/>
              <w:rPr>
                <w:highlight w:val="cyan"/>
              </w:rPr>
            </w:pPr>
          </w:p>
        </w:tc>
        <w:tc>
          <w:tcPr>
            <w:tcW w:w="1233" w:type="dxa"/>
          </w:tcPr>
          <w:p w14:paraId="3722BE09" w14:textId="77777777" w:rsidR="00511AFA" w:rsidRDefault="00511AFA" w:rsidP="00950C60">
            <w:pPr>
              <w:pStyle w:val="TableHeading"/>
              <w:rPr>
                <w:highlight w:val="cyan"/>
              </w:rPr>
            </w:pPr>
            <w:r w:rsidRPr="00B542CE">
              <w:t>Overall PREMO rating</w:t>
            </w:r>
          </w:p>
        </w:tc>
        <w:tc>
          <w:tcPr>
            <w:tcW w:w="1119" w:type="dxa"/>
          </w:tcPr>
          <w:p w14:paraId="3C3945C7" w14:textId="77777777" w:rsidR="00511AFA" w:rsidRDefault="00511AFA" w:rsidP="00950C60">
            <w:pPr>
              <w:pStyle w:val="TableHeading"/>
              <w:rPr>
                <w:highlight w:val="cyan"/>
              </w:rPr>
            </w:pPr>
            <w:r w:rsidRPr="00B542CE">
              <w:t>Risk</w:t>
            </w:r>
          </w:p>
        </w:tc>
        <w:tc>
          <w:tcPr>
            <w:tcW w:w="1463" w:type="dxa"/>
          </w:tcPr>
          <w:p w14:paraId="7C36B2CA" w14:textId="77777777" w:rsidR="00511AFA" w:rsidRDefault="00511AFA" w:rsidP="00950C60">
            <w:pPr>
              <w:pStyle w:val="TableHeading"/>
              <w:rPr>
                <w:highlight w:val="cyan"/>
              </w:rPr>
            </w:pPr>
            <w:r w:rsidRPr="00B542CE">
              <w:t>Engagement</w:t>
            </w:r>
          </w:p>
        </w:tc>
        <w:tc>
          <w:tcPr>
            <w:tcW w:w="1487" w:type="dxa"/>
          </w:tcPr>
          <w:p w14:paraId="5975E4DF" w14:textId="77777777" w:rsidR="00511AFA" w:rsidRDefault="00511AFA" w:rsidP="00950C60">
            <w:pPr>
              <w:pStyle w:val="TableHeading"/>
              <w:rPr>
                <w:highlight w:val="cyan"/>
              </w:rPr>
            </w:pPr>
            <w:r w:rsidRPr="00B542CE">
              <w:t>Management</w:t>
            </w:r>
          </w:p>
        </w:tc>
        <w:tc>
          <w:tcPr>
            <w:tcW w:w="1324" w:type="dxa"/>
          </w:tcPr>
          <w:p w14:paraId="1ADA11A9" w14:textId="77777777" w:rsidR="00511AFA" w:rsidRDefault="00511AFA" w:rsidP="00950C60">
            <w:pPr>
              <w:pStyle w:val="TableHeading"/>
              <w:rPr>
                <w:highlight w:val="cyan"/>
              </w:rPr>
            </w:pPr>
            <w:r w:rsidRPr="00B542CE">
              <w:t>Outcomes</w:t>
            </w:r>
          </w:p>
        </w:tc>
      </w:tr>
      <w:tr w:rsidR="00511AFA" w14:paraId="0418833F" w14:textId="77777777" w:rsidTr="00950C60">
        <w:trPr>
          <w:cnfStyle w:val="000000100000" w:firstRow="0" w:lastRow="0" w:firstColumn="0" w:lastColumn="0" w:oddVBand="0" w:evenVBand="0" w:oddHBand="1" w:evenHBand="0" w:firstRowFirstColumn="0" w:firstRowLastColumn="0" w:lastRowFirstColumn="0" w:lastRowLastColumn="0"/>
        </w:trPr>
        <w:tc>
          <w:tcPr>
            <w:tcW w:w="1524" w:type="dxa"/>
          </w:tcPr>
          <w:p w14:paraId="61A94C88" w14:textId="3FF416F6" w:rsidR="00511AFA" w:rsidRPr="00227FE5" w:rsidRDefault="00511AFA" w:rsidP="00944FD1">
            <w:pPr>
              <w:pStyle w:val="TableBody"/>
            </w:pPr>
            <w:r>
              <w:t>Goulburn-Murray Water</w:t>
            </w:r>
            <w:r w:rsidRPr="0041664E">
              <w:t>’s self</w:t>
            </w:r>
            <w:r>
              <w:noBreakHyphen/>
            </w:r>
            <w:r w:rsidRPr="0041664E">
              <w:t>rating</w:t>
            </w:r>
          </w:p>
        </w:tc>
        <w:tc>
          <w:tcPr>
            <w:tcW w:w="1233" w:type="dxa"/>
          </w:tcPr>
          <w:p w14:paraId="36E9F465" w14:textId="2D651B86" w:rsidR="00511AFA" w:rsidRPr="00227FE5" w:rsidRDefault="00511AFA" w:rsidP="00944FD1">
            <w:pPr>
              <w:pStyle w:val="TableBody"/>
            </w:pPr>
            <w:r w:rsidRPr="00227FE5">
              <w:t>Standard</w:t>
            </w:r>
          </w:p>
        </w:tc>
        <w:tc>
          <w:tcPr>
            <w:tcW w:w="1119" w:type="dxa"/>
          </w:tcPr>
          <w:p w14:paraId="7B57F7CE" w14:textId="67764A70" w:rsidR="00511AFA" w:rsidRPr="00227FE5" w:rsidRDefault="00511AFA" w:rsidP="00944FD1">
            <w:pPr>
              <w:pStyle w:val="TableBody"/>
            </w:pPr>
            <w:r w:rsidRPr="00227FE5">
              <w:t>Standard</w:t>
            </w:r>
          </w:p>
        </w:tc>
        <w:tc>
          <w:tcPr>
            <w:tcW w:w="1463" w:type="dxa"/>
          </w:tcPr>
          <w:p w14:paraId="78CA86B4" w14:textId="40129D54" w:rsidR="00511AFA" w:rsidRPr="00227FE5" w:rsidRDefault="00511AFA" w:rsidP="00944FD1">
            <w:pPr>
              <w:pStyle w:val="TableBody"/>
            </w:pPr>
            <w:r w:rsidRPr="00227FE5">
              <w:t>Standard</w:t>
            </w:r>
          </w:p>
        </w:tc>
        <w:tc>
          <w:tcPr>
            <w:tcW w:w="1487" w:type="dxa"/>
          </w:tcPr>
          <w:p w14:paraId="0C9EA4C0" w14:textId="252A75E9" w:rsidR="00511AFA" w:rsidRPr="00227FE5" w:rsidRDefault="00511AFA" w:rsidP="00944FD1">
            <w:pPr>
              <w:pStyle w:val="TableBody"/>
            </w:pPr>
            <w:r w:rsidRPr="00227FE5">
              <w:t>Standard</w:t>
            </w:r>
          </w:p>
        </w:tc>
        <w:tc>
          <w:tcPr>
            <w:tcW w:w="1324" w:type="dxa"/>
          </w:tcPr>
          <w:p w14:paraId="3D2308E1" w14:textId="68FA2FAD" w:rsidR="00511AFA" w:rsidRPr="00227FE5" w:rsidRDefault="00511AFA" w:rsidP="00944FD1">
            <w:pPr>
              <w:pStyle w:val="TableBody"/>
            </w:pPr>
            <w:r w:rsidRPr="00227FE5">
              <w:t>Standard</w:t>
            </w:r>
          </w:p>
        </w:tc>
      </w:tr>
      <w:tr w:rsidR="00511AFA" w14:paraId="1F47E66D" w14:textId="77777777" w:rsidTr="00950C60">
        <w:trPr>
          <w:cnfStyle w:val="000000010000" w:firstRow="0" w:lastRow="0" w:firstColumn="0" w:lastColumn="0" w:oddVBand="0" w:evenVBand="0" w:oddHBand="0" w:evenHBand="1" w:firstRowFirstColumn="0" w:firstRowLastColumn="0" w:lastRowFirstColumn="0" w:lastRowLastColumn="0"/>
        </w:trPr>
        <w:tc>
          <w:tcPr>
            <w:tcW w:w="1524" w:type="dxa"/>
          </w:tcPr>
          <w:p w14:paraId="3B6FC3C1" w14:textId="77777777" w:rsidR="00511AFA" w:rsidRPr="00227FE5" w:rsidRDefault="00511AFA" w:rsidP="006400B9">
            <w:pPr>
              <w:pStyle w:val="TableBody"/>
            </w:pPr>
            <w:r w:rsidRPr="0041664E">
              <w:t>Commission’s rating</w:t>
            </w:r>
          </w:p>
        </w:tc>
        <w:tc>
          <w:tcPr>
            <w:tcW w:w="1233" w:type="dxa"/>
          </w:tcPr>
          <w:p w14:paraId="49B5A1F9" w14:textId="3DF5696E" w:rsidR="00511AFA" w:rsidRPr="00227FE5" w:rsidRDefault="00511AFA" w:rsidP="006400B9">
            <w:pPr>
              <w:pStyle w:val="TableBody"/>
            </w:pPr>
            <w:r w:rsidRPr="00227FE5">
              <w:t>Standard</w:t>
            </w:r>
          </w:p>
        </w:tc>
        <w:tc>
          <w:tcPr>
            <w:tcW w:w="1119" w:type="dxa"/>
          </w:tcPr>
          <w:p w14:paraId="04C6A321" w14:textId="7753026C" w:rsidR="00511AFA" w:rsidRPr="00227FE5" w:rsidRDefault="00511AFA" w:rsidP="006400B9">
            <w:pPr>
              <w:pStyle w:val="TableBody"/>
            </w:pPr>
            <w:r w:rsidRPr="00227FE5">
              <w:t>Standard</w:t>
            </w:r>
          </w:p>
        </w:tc>
        <w:tc>
          <w:tcPr>
            <w:tcW w:w="1463" w:type="dxa"/>
          </w:tcPr>
          <w:p w14:paraId="536CE9F3" w14:textId="4690E132" w:rsidR="00511AFA" w:rsidRPr="00227FE5" w:rsidRDefault="00511AFA" w:rsidP="006400B9">
            <w:pPr>
              <w:pStyle w:val="TableBody"/>
            </w:pPr>
            <w:r w:rsidRPr="00227FE5">
              <w:t>Standard</w:t>
            </w:r>
          </w:p>
        </w:tc>
        <w:tc>
          <w:tcPr>
            <w:tcW w:w="1487" w:type="dxa"/>
          </w:tcPr>
          <w:p w14:paraId="1457FBA0" w14:textId="3F1C0DA9" w:rsidR="00511AFA" w:rsidRPr="00227FE5" w:rsidRDefault="00511AFA" w:rsidP="006400B9">
            <w:pPr>
              <w:pStyle w:val="TableBody"/>
            </w:pPr>
            <w:r w:rsidRPr="00227FE5">
              <w:t>Standard</w:t>
            </w:r>
          </w:p>
        </w:tc>
        <w:tc>
          <w:tcPr>
            <w:tcW w:w="1324" w:type="dxa"/>
          </w:tcPr>
          <w:p w14:paraId="0E5CF5A1" w14:textId="3244E5B6" w:rsidR="00511AFA" w:rsidRPr="00227FE5" w:rsidRDefault="00511AFA" w:rsidP="006400B9">
            <w:pPr>
              <w:pStyle w:val="TableBody"/>
            </w:pPr>
            <w:r w:rsidRPr="00227FE5">
              <w:t>Standard</w:t>
            </w:r>
          </w:p>
        </w:tc>
      </w:tr>
    </w:tbl>
    <w:p w14:paraId="0391AA04" w14:textId="27991651" w:rsidR="007619BA" w:rsidRDefault="00227239" w:rsidP="007619BA">
      <w:r w:rsidRPr="00227FE5">
        <w:t>Our preliminar</w:t>
      </w:r>
      <w:r w:rsidR="002B5D45" w:rsidRPr="00227FE5">
        <w:t>y view is that w</w:t>
      </w:r>
      <w:r w:rsidR="007619BA" w:rsidRPr="00227FE5">
        <w:t xml:space="preserve">e agree with </w:t>
      </w:r>
      <w:r w:rsidR="00D1620B" w:rsidRPr="00227FE5">
        <w:t>Goulburn-Murray Water</w:t>
      </w:r>
      <w:r w:rsidR="007619BA" w:rsidRPr="00227FE5">
        <w:t>’s proposed overall PREMO self</w:t>
      </w:r>
      <w:r w:rsidR="000D6B4B" w:rsidRPr="00227FE5">
        <w:noBreakHyphen/>
      </w:r>
      <w:r w:rsidR="007619BA" w:rsidRPr="00227FE5">
        <w:t>rating of ‘</w:t>
      </w:r>
      <w:r w:rsidR="004006F0" w:rsidRPr="00227FE5">
        <w:t>Standard</w:t>
      </w:r>
      <w:r w:rsidR="007619BA" w:rsidRPr="00227FE5">
        <w:t xml:space="preserve">’. This is reflected in the return on equity we propose to approve for </w:t>
      </w:r>
      <w:r w:rsidR="00D1620B" w:rsidRPr="00227FE5">
        <w:t>Goulburn-Murray Water</w:t>
      </w:r>
      <w:r w:rsidR="007619BA" w:rsidRPr="00227FE5">
        <w:t xml:space="preserve"> (see Section 4.4.2). </w:t>
      </w:r>
      <w:r w:rsidR="00BD2D69" w:rsidRPr="00070DD9">
        <w:t xml:space="preserve">We have formed this view after reviewing </w:t>
      </w:r>
      <w:r w:rsidR="00D1620B">
        <w:t>Goulburn-Murray Water</w:t>
      </w:r>
      <w:r w:rsidR="00BD2D69">
        <w:t>’s</w:t>
      </w:r>
      <w:r w:rsidR="00BD2D69" w:rsidRPr="00070DD9">
        <w:t xml:space="preserve"> proposed self-rating for each of the </w:t>
      </w:r>
      <w:r w:rsidR="000B08C7">
        <w:t>relevant</w:t>
      </w:r>
      <w:r w:rsidR="00BD2D69" w:rsidRPr="00070DD9">
        <w:t xml:space="preserve"> PREMO elements, with a summary of our assessment provided below.</w:t>
      </w:r>
    </w:p>
    <w:p w14:paraId="22365E82" w14:textId="5D1B9668" w:rsidR="00555456" w:rsidRDefault="00E036B8" w:rsidP="00555456">
      <w:pPr>
        <w:pStyle w:val="Heading3"/>
      </w:pPr>
      <w:bookmarkStart w:id="188" w:name="_Toc121310471"/>
      <w:bookmarkStart w:id="189" w:name="_Toc121989585"/>
      <w:bookmarkStart w:id="190" w:name="_Toc149223959"/>
      <w:bookmarkStart w:id="191" w:name="_Toc149560284"/>
      <w:bookmarkStart w:id="192" w:name="_Toc150866271"/>
      <w:bookmarkStart w:id="193" w:name="_Toc160038354"/>
      <w:bookmarkStart w:id="194" w:name="_Toc161400071"/>
      <w:r>
        <w:t>16</w:t>
      </w:r>
      <w:r w:rsidR="00555456">
        <w:t>.1.2</w:t>
      </w:r>
      <w:r w:rsidR="00555456">
        <w:tab/>
      </w:r>
      <w:r w:rsidR="00555456" w:rsidRPr="00ED7BB8">
        <w:t>Risk</w:t>
      </w:r>
      <w:bookmarkEnd w:id="188"/>
      <w:bookmarkEnd w:id="189"/>
      <w:bookmarkEnd w:id="190"/>
      <w:bookmarkEnd w:id="191"/>
      <w:bookmarkEnd w:id="192"/>
      <w:bookmarkEnd w:id="193"/>
      <w:bookmarkEnd w:id="194"/>
    </w:p>
    <w:p w14:paraId="1AD45E39" w14:textId="77777777" w:rsidR="00555456" w:rsidRPr="00140913" w:rsidRDefault="00555456" w:rsidP="00555456">
      <w:r w:rsidRPr="00140913">
        <w:t>The Risk element of PREMO is assessed against guiding questions focused on the appropriate allocation of risk (so that customers don’t pay more than they need to), and the business’s proposed guaranteed service level scheme (including that it provides incentives for the business to deliver valued services efficiently).</w:t>
      </w:r>
      <w:r w:rsidRPr="00140913">
        <w:rPr>
          <w:rStyle w:val="FootnoteReference"/>
        </w:rPr>
        <w:footnoteReference w:id="113"/>
      </w:r>
    </w:p>
    <w:p w14:paraId="79E406AB" w14:textId="57362615" w:rsidR="00CF4410" w:rsidRPr="00651A81" w:rsidRDefault="00555456" w:rsidP="00FE5EC6">
      <w:r w:rsidRPr="00544D9E">
        <w:t>In support of its self-rating of ‘</w:t>
      </w:r>
      <w:r w:rsidR="0033198E">
        <w:t>Standard</w:t>
      </w:r>
      <w:r w:rsidRPr="00544D9E">
        <w:t xml:space="preserve">’ for the Risk element of PREMO, </w:t>
      </w:r>
      <w:r w:rsidR="00D1620B">
        <w:t>Goulburn-Murray Water</w:t>
      </w:r>
      <w:r w:rsidR="00864E55">
        <w:t>’s</w:t>
      </w:r>
      <w:r w:rsidRPr="00544D9E">
        <w:t xml:space="preserve"> price submission </w:t>
      </w:r>
      <w:r w:rsidRPr="00651A81">
        <w:t>provided an overview of</w:t>
      </w:r>
      <w:r w:rsidR="00F73A92" w:rsidRPr="00651A81">
        <w:t xml:space="preserve"> </w:t>
      </w:r>
      <w:r w:rsidR="00A75A6E" w:rsidRPr="00651A81">
        <w:t>eight material risks and the allocation of these</w:t>
      </w:r>
      <w:r w:rsidR="00081C33" w:rsidRPr="00651A81">
        <w:t xml:space="preserve"> risks, based on its internal risk management framework. </w:t>
      </w:r>
      <w:r w:rsidR="000F68D2" w:rsidRPr="00651A81">
        <w:t>A k</w:t>
      </w:r>
      <w:r w:rsidR="00CF4410" w:rsidRPr="00651A81">
        <w:t>ey factor</w:t>
      </w:r>
      <w:r w:rsidR="000F68D2" w:rsidRPr="00651A81">
        <w:t xml:space="preserve"> </w:t>
      </w:r>
      <w:r w:rsidR="00190D0A" w:rsidRPr="00651A81">
        <w:t>in</w:t>
      </w:r>
      <w:r w:rsidR="00CF4410" w:rsidRPr="00651A81">
        <w:t xml:space="preserve"> support</w:t>
      </w:r>
      <w:r w:rsidR="007952ED" w:rsidRPr="00651A81">
        <w:t xml:space="preserve"> </w:t>
      </w:r>
      <w:r w:rsidR="00FE5EC6" w:rsidRPr="00651A81">
        <w:t>of</w:t>
      </w:r>
      <w:r w:rsidR="00CF4410" w:rsidRPr="00651A81">
        <w:t xml:space="preserve"> its self-rating </w:t>
      </w:r>
      <w:r w:rsidR="00FE5EC6" w:rsidRPr="00651A81">
        <w:t xml:space="preserve">is </w:t>
      </w:r>
      <w:r w:rsidR="00C568DC" w:rsidRPr="00651A81">
        <w:t>e</w:t>
      </w:r>
      <w:r w:rsidR="001C7D5A" w:rsidRPr="00651A81">
        <w:t>xclu</w:t>
      </w:r>
      <w:r w:rsidR="00FE5EC6" w:rsidRPr="00651A81">
        <w:t>sion of</w:t>
      </w:r>
      <w:r w:rsidR="001C7D5A" w:rsidRPr="00651A81">
        <w:t xml:space="preserve"> capital</w:t>
      </w:r>
      <w:r w:rsidR="001A6A8F" w:rsidRPr="00651A81">
        <w:t xml:space="preserve"> investment </w:t>
      </w:r>
      <w:r w:rsidR="00CD466D" w:rsidRPr="00651A81">
        <w:t>from customer prices due to uncertainty</w:t>
      </w:r>
      <w:r w:rsidR="00256669" w:rsidRPr="00651A81">
        <w:t xml:space="preserve"> related to associated </w:t>
      </w:r>
      <w:r w:rsidR="00DB2761" w:rsidRPr="00651A81">
        <w:t xml:space="preserve">projects, thereby </w:t>
      </w:r>
      <w:r w:rsidR="00FB7CE9" w:rsidRPr="00651A81">
        <w:t>ensuring cu</w:t>
      </w:r>
      <w:r w:rsidR="00D06CD2" w:rsidRPr="00651A81">
        <w:t>stomers do not pay for pro</w:t>
      </w:r>
      <w:r w:rsidR="00C568DC" w:rsidRPr="00651A81">
        <w:t>jects that do not ultimately proceed or change in scope</w:t>
      </w:r>
      <w:r w:rsidR="008B5932" w:rsidRPr="00651A81">
        <w:t xml:space="preserve">. </w:t>
      </w:r>
    </w:p>
    <w:p w14:paraId="29F121C0" w14:textId="12FE6A0C" w:rsidR="008B5932" w:rsidRPr="00651A81" w:rsidRDefault="00BF63C1" w:rsidP="00FE5EC6">
      <w:r w:rsidRPr="00651A81">
        <w:t xml:space="preserve">Goulburn-Murray Water </w:t>
      </w:r>
      <w:r w:rsidR="004B7678" w:rsidRPr="00651A81">
        <w:t xml:space="preserve">conducted </w:t>
      </w:r>
      <w:r w:rsidR="00FC1C38" w:rsidRPr="00651A81">
        <w:t>a specific review for its price submission having regard to risk</w:t>
      </w:r>
      <w:r w:rsidR="00B14288" w:rsidRPr="00651A81">
        <w:t>s</w:t>
      </w:r>
      <w:r w:rsidR="00FC1C38" w:rsidRPr="00651A81">
        <w:t xml:space="preserve"> associated with </w:t>
      </w:r>
      <w:r w:rsidR="005D103F" w:rsidRPr="00651A81">
        <w:t xml:space="preserve">operations, demand and climate change, </w:t>
      </w:r>
      <w:r w:rsidR="004C520D" w:rsidRPr="00651A81">
        <w:t>regulations</w:t>
      </w:r>
      <w:r w:rsidR="004B13DA" w:rsidRPr="00651A81">
        <w:t xml:space="preserve">, </w:t>
      </w:r>
      <w:r w:rsidR="009A42C9" w:rsidRPr="00651A81">
        <w:t>customer</w:t>
      </w:r>
      <w:r w:rsidR="00D95F8A" w:rsidRPr="00651A81">
        <w:t xml:space="preserve">s’ ability to pay, IT, </w:t>
      </w:r>
      <w:r w:rsidR="00497181" w:rsidRPr="00651A81">
        <w:t xml:space="preserve">and service levels. </w:t>
      </w:r>
      <w:r w:rsidR="00540E29" w:rsidRPr="00651A81">
        <w:t xml:space="preserve">The risks it </w:t>
      </w:r>
      <w:r w:rsidR="00540E29" w:rsidRPr="00651A81" w:rsidDel="0082713D">
        <w:t>identified</w:t>
      </w:r>
      <w:r w:rsidR="0082713D" w:rsidRPr="00651A81">
        <w:t>,</w:t>
      </w:r>
      <w:r w:rsidR="00540E29" w:rsidRPr="00651A81">
        <w:t xml:space="preserve"> and its risk management strateg</w:t>
      </w:r>
      <w:r w:rsidR="00BB1DEC" w:rsidRPr="00651A81">
        <w:t>ies</w:t>
      </w:r>
      <w:r w:rsidR="00540E29" w:rsidRPr="00651A81">
        <w:t xml:space="preserve"> </w:t>
      </w:r>
      <w:r w:rsidR="005D43E8" w:rsidRPr="00651A81">
        <w:t>proposed,</w:t>
      </w:r>
      <w:r w:rsidR="00540E29" w:rsidRPr="00651A81">
        <w:t xml:space="preserve"> are</w:t>
      </w:r>
      <w:r w:rsidR="009246A4" w:rsidRPr="00651A81">
        <w:t xml:space="preserve"> largely</w:t>
      </w:r>
      <w:r w:rsidR="00540E29" w:rsidRPr="00651A81">
        <w:t xml:space="preserve"> </w:t>
      </w:r>
      <w:r w:rsidR="002C34CE" w:rsidRPr="00651A81">
        <w:t xml:space="preserve">similar to </w:t>
      </w:r>
      <w:r w:rsidR="001F5BC6" w:rsidRPr="00651A81">
        <w:t>the current 2020</w:t>
      </w:r>
      <w:r w:rsidR="007B2F9E" w:rsidRPr="00651A81">
        <w:t>–</w:t>
      </w:r>
      <w:r w:rsidR="001F5BC6" w:rsidRPr="00651A81">
        <w:t xml:space="preserve">24 regulatory period. </w:t>
      </w:r>
    </w:p>
    <w:p w14:paraId="4B6934BF" w14:textId="02F8E3F1" w:rsidR="00B06CFD" w:rsidRDefault="00F15C58" w:rsidP="00555456">
      <w:r w:rsidRPr="009B6201">
        <w:t>Several</w:t>
      </w:r>
      <w:r w:rsidR="005972BC" w:rsidRPr="009B6201">
        <w:t xml:space="preserve"> stakeholders </w:t>
      </w:r>
      <w:r w:rsidR="00790F40" w:rsidRPr="009B6201">
        <w:t xml:space="preserve">considered </w:t>
      </w:r>
      <w:r w:rsidR="0081295F" w:rsidRPr="009B6201">
        <w:t>Goul</w:t>
      </w:r>
      <w:r w:rsidR="001B2460" w:rsidRPr="009B6201">
        <w:t xml:space="preserve">burn-Murray Water </w:t>
      </w:r>
      <w:r w:rsidR="00515923" w:rsidRPr="009B6201">
        <w:t>rated as ‘Basic’ for the Risk element</w:t>
      </w:r>
      <w:r w:rsidR="00592F73">
        <w:t xml:space="preserve"> as they considered Goul</w:t>
      </w:r>
      <w:r w:rsidR="00AF3C54">
        <w:t>burn-Murray Water transferred</w:t>
      </w:r>
      <w:r w:rsidR="001B2460">
        <w:t xml:space="preserve"> risk to </w:t>
      </w:r>
      <w:r w:rsidR="00C9230A">
        <w:t xml:space="preserve">its </w:t>
      </w:r>
      <w:r w:rsidR="00AF3C54">
        <w:t>customers, specifically domestic and stock users</w:t>
      </w:r>
      <w:r w:rsidR="00515923" w:rsidRPr="009B6201">
        <w:t xml:space="preserve"> </w:t>
      </w:r>
      <w:r w:rsidRPr="00651A81">
        <w:t>(refer to section 8.1</w:t>
      </w:r>
      <w:r w:rsidR="006E2BA9" w:rsidRPr="00651A81">
        <w:t xml:space="preserve">). </w:t>
      </w:r>
      <w:r w:rsidR="006F70D1" w:rsidRPr="00651A81">
        <w:t xml:space="preserve">We have considered their </w:t>
      </w:r>
      <w:r w:rsidR="00FF14CC" w:rsidRPr="00651A81">
        <w:t>submission</w:t>
      </w:r>
      <w:r w:rsidR="00AD4895" w:rsidRPr="00651A81">
        <w:t>s</w:t>
      </w:r>
      <w:r w:rsidR="00FF14CC" w:rsidRPr="00651A81">
        <w:t xml:space="preserve"> </w:t>
      </w:r>
      <w:r w:rsidR="00603142" w:rsidRPr="00651A81">
        <w:t xml:space="preserve">however, </w:t>
      </w:r>
      <w:r w:rsidR="00FE16E5" w:rsidRPr="00651A81">
        <w:t xml:space="preserve">our review </w:t>
      </w:r>
      <w:r w:rsidR="00A75C67" w:rsidRPr="00651A81">
        <w:t xml:space="preserve">of </w:t>
      </w:r>
      <w:r w:rsidR="00A75C67" w:rsidRPr="00651A81">
        <w:lastRenderedPageBreak/>
        <w:t>the submissions</w:t>
      </w:r>
      <w:r w:rsidR="00777ADB" w:rsidRPr="00651A81">
        <w:t xml:space="preserve"> and the material provided by Goulburn-Murray </w:t>
      </w:r>
      <w:r w:rsidR="00777ADB" w:rsidRPr="00582153">
        <w:t>Water in its price subm</w:t>
      </w:r>
      <w:r w:rsidR="007247CC" w:rsidRPr="00582153">
        <w:t>ission that iden</w:t>
      </w:r>
      <w:r w:rsidR="00D31F76" w:rsidRPr="00582153">
        <w:t xml:space="preserve">tified </w:t>
      </w:r>
      <w:r w:rsidR="00F567A4" w:rsidRPr="00582153">
        <w:t>its</w:t>
      </w:r>
      <w:r w:rsidR="00D31F76" w:rsidRPr="00582153">
        <w:t xml:space="preserve"> key risks and their possible impacts</w:t>
      </w:r>
      <w:r w:rsidR="00F0775F">
        <w:t xml:space="preserve"> found that Goulburn-Murray Water adopted</w:t>
      </w:r>
      <w:r w:rsidR="0026504D">
        <w:t xml:space="preserve"> strategies that </w:t>
      </w:r>
      <w:r w:rsidR="00D77277">
        <w:t xml:space="preserve">have taken on risk on behalf of its customers, such as: </w:t>
      </w:r>
      <w:r w:rsidR="009B1D14">
        <w:t>P50 estimates for capital projects</w:t>
      </w:r>
      <w:r w:rsidR="00380AB0">
        <w:t>;</w:t>
      </w:r>
      <w:r w:rsidR="009B1D14">
        <w:t xml:space="preserve"> </w:t>
      </w:r>
      <w:r w:rsidR="00622AE6">
        <w:t>revenue cap from of price contr</w:t>
      </w:r>
      <w:r w:rsidR="00D80655">
        <w:t>ol</w:t>
      </w:r>
      <w:r w:rsidR="00622AE6">
        <w:t xml:space="preserve"> with a </w:t>
      </w:r>
      <w:r w:rsidR="00622AE6">
        <w:rPr>
          <w:rFonts w:cstheme="minorHAnsi"/>
        </w:rPr>
        <w:t>±</w:t>
      </w:r>
      <w:r w:rsidR="00622AE6">
        <w:t xml:space="preserve"> 10 per cent rebalancing constraint</w:t>
      </w:r>
      <w:r w:rsidR="00380AB0">
        <w:t>;</w:t>
      </w:r>
      <w:r w:rsidR="00230D25">
        <w:t xml:space="preserve"> reasonable unit rates to evaluate projects</w:t>
      </w:r>
      <w:r w:rsidR="00380AB0">
        <w:t>;</w:t>
      </w:r>
      <w:r w:rsidR="002D6AB9">
        <w:t xml:space="preserve"> and reasonable capital delivery times. O</w:t>
      </w:r>
      <w:r w:rsidR="00EB4F3C" w:rsidRPr="00582153">
        <w:t>n b</w:t>
      </w:r>
      <w:r w:rsidR="00500CB9" w:rsidRPr="00582153">
        <w:t>alance</w:t>
      </w:r>
      <w:r w:rsidR="00144AB4">
        <w:t>,</w:t>
      </w:r>
      <w:r w:rsidR="00500CB9" w:rsidRPr="00582153">
        <w:t xml:space="preserve"> </w:t>
      </w:r>
      <w:r w:rsidR="00D31F76" w:rsidRPr="00582153">
        <w:t xml:space="preserve">our draft decision </w:t>
      </w:r>
      <w:r w:rsidR="00775FE5" w:rsidRPr="00582153">
        <w:t xml:space="preserve">is to </w:t>
      </w:r>
      <w:r w:rsidR="00D31F76" w:rsidRPr="00582153">
        <w:t>accept its propo</w:t>
      </w:r>
      <w:r w:rsidR="003C729E" w:rsidRPr="00582153">
        <w:t>sed rating of ‘Standard’ for the Risk element of PREMO.</w:t>
      </w:r>
      <w:r w:rsidR="003C729E">
        <w:t xml:space="preserve"> </w:t>
      </w:r>
    </w:p>
    <w:p w14:paraId="526B08FA" w14:textId="274559B2" w:rsidR="00732099" w:rsidRDefault="00B8198F" w:rsidP="00732099">
      <w:pPr>
        <w:pStyle w:val="Heading3"/>
      </w:pPr>
      <w:bookmarkStart w:id="195" w:name="_Toc121310472"/>
      <w:bookmarkStart w:id="196" w:name="_Toc121989586"/>
      <w:bookmarkStart w:id="197" w:name="_Toc149223960"/>
      <w:bookmarkStart w:id="198" w:name="_Toc149560285"/>
      <w:bookmarkStart w:id="199" w:name="_Toc150866272"/>
      <w:bookmarkStart w:id="200" w:name="_Toc160038355"/>
      <w:bookmarkStart w:id="201" w:name="_Toc161400072"/>
      <w:r>
        <w:t>16</w:t>
      </w:r>
      <w:r w:rsidR="00732099">
        <w:t>.1.3</w:t>
      </w:r>
      <w:r w:rsidR="00732099">
        <w:tab/>
        <w:t>Engagement</w:t>
      </w:r>
      <w:bookmarkEnd w:id="195"/>
      <w:bookmarkEnd w:id="196"/>
      <w:bookmarkEnd w:id="197"/>
      <w:bookmarkEnd w:id="198"/>
      <w:bookmarkEnd w:id="199"/>
      <w:bookmarkEnd w:id="200"/>
      <w:bookmarkEnd w:id="201"/>
    </w:p>
    <w:p w14:paraId="6F44349C" w14:textId="77777777" w:rsidR="00732099" w:rsidRPr="00544D9E" w:rsidRDefault="00732099" w:rsidP="00732099">
      <w:r w:rsidRPr="00544D9E">
        <w:t>The Engagement element of PREMO is assessed against guiding questions such as the form, timing, and nature of matters engaged on by the water business, and the influence of engagement on proposals. We also consider the extent to which a business has undertaken inclusive engagement, including with First Nations peoples and those experiencing vulnerability.</w:t>
      </w:r>
      <w:r w:rsidRPr="00544D9E">
        <w:rPr>
          <w:rStyle w:val="FootnoteReference"/>
        </w:rPr>
        <w:footnoteReference w:id="114"/>
      </w:r>
      <w:r w:rsidRPr="00544D9E">
        <w:t xml:space="preserve"> </w:t>
      </w:r>
    </w:p>
    <w:p w14:paraId="22D62538" w14:textId="40D46C6E" w:rsidR="00256594" w:rsidRPr="00CB1ADB" w:rsidRDefault="002A3828" w:rsidP="00555456">
      <w:r>
        <w:t xml:space="preserve">Our draft decision is to accept </w:t>
      </w:r>
      <w:r w:rsidR="00D1620B">
        <w:t>Goulburn-Murray Water</w:t>
      </w:r>
      <w:r>
        <w:t>’s self-rating of ‘</w:t>
      </w:r>
      <w:r w:rsidR="00AC477B" w:rsidRPr="00CB1ADB">
        <w:t>Standard</w:t>
      </w:r>
      <w:r w:rsidRPr="00CB1ADB">
        <w:t>’</w:t>
      </w:r>
      <w:r>
        <w:t xml:space="preserve"> for the Engagement element of PREMO </w:t>
      </w:r>
      <w:r w:rsidR="007F1164" w:rsidRPr="00CB1ADB">
        <w:t>based</w:t>
      </w:r>
      <w:r w:rsidR="007F1164">
        <w:t xml:space="preserve"> on</w:t>
      </w:r>
      <w:r>
        <w:t xml:space="preserve"> </w:t>
      </w:r>
      <w:r w:rsidRPr="00CB1ADB">
        <w:t xml:space="preserve">the overall </w:t>
      </w:r>
      <w:r w:rsidR="00347AB3" w:rsidRPr="00CB1ADB">
        <w:t xml:space="preserve">quality of its engagement program and the level of influence it afforded </w:t>
      </w:r>
      <w:r w:rsidR="00E12DDE" w:rsidRPr="00CB1ADB">
        <w:t>many of</w:t>
      </w:r>
      <w:r w:rsidR="00347AB3" w:rsidRPr="00CB1ADB">
        <w:t xml:space="preserve"> its stakeholder</w:t>
      </w:r>
      <w:r w:rsidR="00E12DDE" w:rsidRPr="00CB1ADB">
        <w:t xml:space="preserve"> groups</w:t>
      </w:r>
      <w:r w:rsidR="00256594" w:rsidRPr="00CB1ADB">
        <w:t>.</w:t>
      </w:r>
    </w:p>
    <w:p w14:paraId="46BAAF28" w14:textId="30507E2C" w:rsidR="00DB675C" w:rsidRDefault="007D1A80" w:rsidP="00555456">
      <w:r w:rsidRPr="00D46018">
        <w:t>We note that Goulburn-Murray Water</w:t>
      </w:r>
      <w:r w:rsidR="007451AC" w:rsidRPr="00D46018">
        <w:t xml:space="preserve"> commenced its engagement early,</w:t>
      </w:r>
      <w:r w:rsidRPr="00D46018">
        <w:t xml:space="preserve"> undertook a two</w:t>
      </w:r>
      <w:r w:rsidR="00677439" w:rsidRPr="00D46018">
        <w:t>-</w:t>
      </w:r>
      <w:r w:rsidRPr="00D46018">
        <w:t>year engagement pro</w:t>
      </w:r>
      <w:r w:rsidR="00DC772E" w:rsidRPr="00D46018">
        <w:t>cess</w:t>
      </w:r>
      <w:r w:rsidR="009E79E0">
        <w:t xml:space="preserve"> and </w:t>
      </w:r>
      <w:r w:rsidR="009E79E0" w:rsidRPr="00D46018">
        <w:t xml:space="preserve">tailored </w:t>
      </w:r>
      <w:r w:rsidR="00507F1E" w:rsidRPr="00D46018">
        <w:t>methods and materials to the circumstances</w:t>
      </w:r>
      <w:r w:rsidR="00507F1E">
        <w:t xml:space="preserve"> of </w:t>
      </w:r>
      <w:r w:rsidR="00507F1E" w:rsidRPr="00D46018">
        <w:t>its customers</w:t>
      </w:r>
      <w:r w:rsidR="005A2AF9" w:rsidRPr="00D46018">
        <w:t>, which were diverse and also in remote areas</w:t>
      </w:r>
      <w:r w:rsidR="00507F1E" w:rsidRPr="00D46018">
        <w:t xml:space="preserve">. </w:t>
      </w:r>
      <w:r w:rsidR="0067120C" w:rsidRPr="00D46018">
        <w:t xml:space="preserve">Its engagement </w:t>
      </w:r>
      <w:r w:rsidR="00832018" w:rsidRPr="00D46018">
        <w:t xml:space="preserve">methods </w:t>
      </w:r>
      <w:r w:rsidR="00B92C61" w:rsidRPr="00D46018">
        <w:t>supported inclusive and effective participation in its engagement processes.</w:t>
      </w:r>
      <w:r w:rsidR="00B92C61">
        <w:t xml:space="preserve"> </w:t>
      </w:r>
    </w:p>
    <w:p w14:paraId="790637EF" w14:textId="51638B99" w:rsidR="00EB6505" w:rsidRPr="00D46018" w:rsidRDefault="00EB6505" w:rsidP="00555456">
      <w:r w:rsidRPr="00D46018">
        <w:t xml:space="preserve">Goulburn-Murray Water </w:t>
      </w:r>
      <w:r w:rsidR="000334A9" w:rsidRPr="00D46018">
        <w:t xml:space="preserve">demonstrated </w:t>
      </w:r>
      <w:r w:rsidR="00C2261C" w:rsidRPr="00D46018">
        <w:t xml:space="preserve">commitment </w:t>
      </w:r>
      <w:r w:rsidR="001648D9" w:rsidRPr="00D46018">
        <w:t xml:space="preserve">to the findings of its engagement processes and its water services committees </w:t>
      </w:r>
      <w:r w:rsidR="00335B89" w:rsidRPr="00D46018">
        <w:t>had</w:t>
      </w:r>
      <w:r w:rsidR="00B96C2D" w:rsidRPr="00D46018">
        <w:t xml:space="preserve"> influence</w:t>
      </w:r>
      <w:r w:rsidR="001648D9" w:rsidRPr="00D46018">
        <w:t xml:space="preserve"> </w:t>
      </w:r>
      <w:r w:rsidR="00D43426" w:rsidRPr="00D46018">
        <w:t>in</w:t>
      </w:r>
      <w:r w:rsidR="001648D9" w:rsidRPr="00D46018">
        <w:t xml:space="preserve"> </w:t>
      </w:r>
      <w:r w:rsidR="006931E7" w:rsidRPr="00D46018">
        <w:t>inform</w:t>
      </w:r>
      <w:r w:rsidR="00D43426" w:rsidRPr="00D46018">
        <w:t>ing</w:t>
      </w:r>
      <w:r w:rsidR="006931E7" w:rsidRPr="00D46018">
        <w:t xml:space="preserve"> its decision-making processes and </w:t>
      </w:r>
      <w:r w:rsidR="00472191" w:rsidRPr="00D46018">
        <w:t xml:space="preserve">its price submission. </w:t>
      </w:r>
    </w:p>
    <w:p w14:paraId="2C19944B" w14:textId="214D4854" w:rsidR="0092014C" w:rsidRPr="001377D8" w:rsidRDefault="00D46018" w:rsidP="00555456">
      <w:pPr>
        <w:rPr>
          <w:highlight w:val="darkGray"/>
        </w:rPr>
      </w:pPr>
      <w:r w:rsidRPr="00676E8E">
        <w:t xml:space="preserve">Some </w:t>
      </w:r>
      <w:r w:rsidR="00676E8E" w:rsidRPr="00676E8E">
        <w:t>domestic and stock users</w:t>
      </w:r>
      <w:r w:rsidR="00A371E8" w:rsidRPr="00676E8E">
        <w:t xml:space="preserve"> considered </w:t>
      </w:r>
      <w:r w:rsidR="0092014C" w:rsidRPr="00676E8E">
        <w:t xml:space="preserve">Goulburn-Murray Water’s PREMO rating for engagement </w:t>
      </w:r>
      <w:r w:rsidR="00D71318">
        <w:t>should</w:t>
      </w:r>
      <w:r w:rsidR="00831592">
        <w:t xml:space="preserve"> </w:t>
      </w:r>
      <w:r w:rsidR="0092014C" w:rsidRPr="00676E8E">
        <w:t>be ‘Basic’</w:t>
      </w:r>
      <w:r w:rsidR="00D71318">
        <w:t xml:space="preserve"> as </w:t>
      </w:r>
      <w:r w:rsidR="00292E0E">
        <w:t xml:space="preserve">its </w:t>
      </w:r>
      <w:r w:rsidR="00D71318">
        <w:t xml:space="preserve">consultation was reliant on </w:t>
      </w:r>
      <w:r w:rsidR="00292E0E">
        <w:t>w</w:t>
      </w:r>
      <w:r w:rsidR="00D71318">
        <w:t xml:space="preserve">ater </w:t>
      </w:r>
      <w:r w:rsidR="00292E0E">
        <w:t>s</w:t>
      </w:r>
      <w:r w:rsidR="00D71318">
        <w:t xml:space="preserve">ervice </w:t>
      </w:r>
      <w:r w:rsidR="00292E0E">
        <w:t>c</w:t>
      </w:r>
      <w:r w:rsidR="00C46DF0">
        <w:t>o</w:t>
      </w:r>
      <w:r w:rsidR="00D71318">
        <w:t>mmittees</w:t>
      </w:r>
      <w:r w:rsidR="00C46DF0">
        <w:t xml:space="preserve">, which did not include domestic and stock users. </w:t>
      </w:r>
      <w:r w:rsidR="00B10172">
        <w:t xml:space="preserve">As outlined in </w:t>
      </w:r>
      <w:r w:rsidR="00175B9D">
        <w:t>C</w:t>
      </w:r>
      <w:r w:rsidR="00B10172">
        <w:t>hapter 3.1</w:t>
      </w:r>
      <w:r w:rsidR="00417767">
        <w:t xml:space="preserve">, </w:t>
      </w:r>
      <w:r w:rsidR="00417767" w:rsidRPr="00B76BA5">
        <w:t>on</w:t>
      </w:r>
      <w:r w:rsidR="00417767">
        <w:t xml:space="preserve"> balance</w:t>
      </w:r>
      <w:r w:rsidR="008C6BBF">
        <w:t>,</w:t>
      </w:r>
      <w:r w:rsidR="00417767">
        <w:t xml:space="preserve"> we consider </w:t>
      </w:r>
      <w:r w:rsidR="00861417">
        <w:t xml:space="preserve">Goulburn-Murray Water </w:t>
      </w:r>
      <w:r w:rsidR="00861417" w:rsidRPr="001C5A5F">
        <w:t>used</w:t>
      </w:r>
      <w:r w:rsidR="00861417">
        <w:t xml:space="preserve"> </w:t>
      </w:r>
      <w:r w:rsidR="00E36EE1">
        <w:t>several</w:t>
      </w:r>
      <w:r w:rsidR="00861417">
        <w:t xml:space="preserve"> methods to engage with its customers, includin</w:t>
      </w:r>
      <w:r w:rsidR="008C6BBF">
        <w:t>g</w:t>
      </w:r>
      <w:r w:rsidR="00861417">
        <w:t xml:space="preserve"> domestic and stock users</w:t>
      </w:r>
      <w:r w:rsidR="008C6BBF">
        <w:t xml:space="preserve">, and </w:t>
      </w:r>
      <w:r w:rsidR="00885A74">
        <w:t xml:space="preserve">did </w:t>
      </w:r>
      <w:r w:rsidR="008C6BBF">
        <w:t xml:space="preserve">not </w:t>
      </w:r>
      <w:r w:rsidR="008C6BBF" w:rsidRPr="00B76BA5">
        <w:t>rely</w:t>
      </w:r>
      <w:r w:rsidR="008C6BBF">
        <w:t xml:space="preserve"> only on its water service committees. </w:t>
      </w:r>
      <w:r w:rsidR="00861417">
        <w:t xml:space="preserve"> </w:t>
      </w:r>
    </w:p>
    <w:p w14:paraId="38466DE6" w14:textId="41B8C0EC" w:rsidR="00E54FAD" w:rsidRDefault="00B8198F" w:rsidP="00E54FAD">
      <w:pPr>
        <w:pStyle w:val="Heading3"/>
      </w:pPr>
      <w:bookmarkStart w:id="202" w:name="_Toc121310473"/>
      <w:bookmarkStart w:id="203" w:name="_Toc121989587"/>
      <w:bookmarkStart w:id="204" w:name="_Toc149223961"/>
      <w:bookmarkStart w:id="205" w:name="_Toc149560286"/>
      <w:bookmarkStart w:id="206" w:name="_Toc150866273"/>
      <w:bookmarkStart w:id="207" w:name="_Toc160038356"/>
      <w:bookmarkStart w:id="208" w:name="_Toc161400073"/>
      <w:r>
        <w:t>16</w:t>
      </w:r>
      <w:r w:rsidR="00E54FAD">
        <w:t>.1.4</w:t>
      </w:r>
      <w:r w:rsidR="00E54FAD">
        <w:tab/>
        <w:t>Management</w:t>
      </w:r>
      <w:bookmarkEnd w:id="202"/>
      <w:bookmarkEnd w:id="203"/>
      <w:bookmarkEnd w:id="204"/>
      <w:bookmarkEnd w:id="205"/>
      <w:bookmarkEnd w:id="206"/>
      <w:bookmarkEnd w:id="207"/>
      <w:bookmarkEnd w:id="208"/>
    </w:p>
    <w:p w14:paraId="00F2E6E0" w14:textId="77777777" w:rsidR="00E54FAD" w:rsidRPr="00544D9E" w:rsidRDefault="00E54FAD" w:rsidP="00E54FAD">
      <w:r w:rsidRPr="00544D9E">
        <w:t xml:space="preserve">The Management element of PREMO is assessed against guiding questions that cover matters such as the efficiency of proposed expenditure and prices, the quality of the business’s submission </w:t>
      </w:r>
      <w:r w:rsidRPr="00544D9E">
        <w:lastRenderedPageBreak/>
        <w:t>and supporting information to justify proposals, and evidence that there is senior-level ownership and commitment to the proposals contained in the submission.</w:t>
      </w:r>
      <w:r w:rsidRPr="00544D9E">
        <w:rPr>
          <w:rStyle w:val="FootnoteReference"/>
        </w:rPr>
        <w:footnoteReference w:id="115"/>
      </w:r>
      <w:r w:rsidRPr="00544D9E">
        <w:t xml:space="preserve"> </w:t>
      </w:r>
    </w:p>
    <w:p w14:paraId="5735A4BE" w14:textId="14C38511" w:rsidR="00186244" w:rsidRDefault="00E54FAD" w:rsidP="00E54FAD">
      <w:r w:rsidRPr="00544D9E">
        <w:t>In support of its self-rating of ‘</w:t>
      </w:r>
      <w:r w:rsidR="001D79E9">
        <w:t>Standard</w:t>
      </w:r>
      <w:r w:rsidRPr="00544D9E">
        <w:t>’ for the Management element of PREMO, as noted in Section</w:t>
      </w:r>
      <w:r w:rsidR="005B229C">
        <w:t> </w:t>
      </w:r>
      <w:r w:rsidRPr="00544D9E">
        <w:t xml:space="preserve">4.1.1, </w:t>
      </w:r>
      <w:r w:rsidR="00D1620B">
        <w:t>Goulburn-Murray Water</w:t>
      </w:r>
      <w:r w:rsidRPr="00544D9E">
        <w:t xml:space="preserve"> </w:t>
      </w:r>
      <w:r w:rsidR="00E30F0E" w:rsidRPr="001D4E89">
        <w:t>proposed to ab</w:t>
      </w:r>
      <w:r w:rsidR="002E1FB9" w:rsidRPr="001D4E89">
        <w:t xml:space="preserve">sorb any </w:t>
      </w:r>
      <w:r w:rsidR="00F0232D" w:rsidRPr="001D4E89">
        <w:t xml:space="preserve">operating cost </w:t>
      </w:r>
      <w:r w:rsidR="00A9159D" w:rsidRPr="001D4E89">
        <w:t>increases</w:t>
      </w:r>
      <w:r w:rsidR="00F0232D" w:rsidRPr="001D4E89">
        <w:t xml:space="preserve"> above inflation through operational efficiencies.</w:t>
      </w:r>
      <w:r w:rsidRPr="00544D9E">
        <w:t xml:space="preserve"> Based on advice from </w:t>
      </w:r>
      <w:r w:rsidRPr="001D4E89">
        <w:t>FTI Consulting</w:t>
      </w:r>
      <w:r w:rsidR="001D4E89" w:rsidRPr="001D4E89">
        <w:t xml:space="preserve"> </w:t>
      </w:r>
      <w:r w:rsidR="00994E9D" w:rsidRPr="001D4E89">
        <w:t xml:space="preserve">on </w:t>
      </w:r>
      <w:r w:rsidR="00743A5F">
        <w:br/>
      </w:r>
      <w:r w:rsidR="00D1620B">
        <w:t>Goulburn-Murray Water</w:t>
      </w:r>
      <w:r w:rsidRPr="00544D9E">
        <w:t xml:space="preserve">’s assumptions for forecast operating and capital expenditure, </w:t>
      </w:r>
      <w:r w:rsidR="003C098D" w:rsidRPr="001D4E89">
        <w:t>we have also tested those assumptions,</w:t>
      </w:r>
      <w:r w:rsidRPr="00544D9E">
        <w:t xml:space="preserve"> </w:t>
      </w:r>
      <w:r w:rsidRPr="001D4E89">
        <w:t>our preliminary view is that they reflect efficient expenditure</w:t>
      </w:r>
      <w:r w:rsidRPr="00544D9E">
        <w:t>.</w:t>
      </w:r>
      <w:r w:rsidR="00F5524F">
        <w:t xml:space="preserve"> </w:t>
      </w:r>
    </w:p>
    <w:p w14:paraId="0708B652" w14:textId="03C5D2D3" w:rsidR="00E54FAD" w:rsidRDefault="00E54FAD" w:rsidP="00E54FAD">
      <w:r w:rsidRPr="00544D9E">
        <w:t xml:space="preserve">We consider </w:t>
      </w:r>
      <w:r w:rsidR="00D1620B">
        <w:t>Goulburn-Murray Water</w:t>
      </w:r>
      <w:r w:rsidRPr="00544D9E">
        <w:t xml:space="preserve">’s price submission provided clear justification for its proposals, and its financial model </w:t>
      </w:r>
      <w:r w:rsidRPr="001D4E89">
        <w:t>contained no substantive errors and was consistent with its written submission</w:t>
      </w:r>
      <w:r w:rsidRPr="00544D9E">
        <w:t xml:space="preserve">. </w:t>
      </w:r>
      <w:r w:rsidRPr="001D4E89">
        <w:t>Its price submission clearly linked the outcomes of its engagement to planned outcomes and expenditure.</w:t>
      </w:r>
      <w:r w:rsidRPr="00544D9E">
        <w:t xml:space="preserve"> The </w:t>
      </w:r>
      <w:r w:rsidR="00D1620B">
        <w:t>Goulburn-Murray Water</w:t>
      </w:r>
      <w:r w:rsidR="009F7BA3" w:rsidRPr="00544D9E">
        <w:t xml:space="preserve"> </w:t>
      </w:r>
      <w:r w:rsidRPr="00544D9E">
        <w:t>Board has also attested to the accuracy of the information contained in its submission, as required by our guidance.</w:t>
      </w:r>
    </w:p>
    <w:p w14:paraId="7447098A" w14:textId="4F22BF30" w:rsidR="00E54FAD" w:rsidRPr="00544D9E" w:rsidRDefault="00E54FAD" w:rsidP="00E54FAD">
      <w:r w:rsidRPr="00544D9E">
        <w:t xml:space="preserve">Accordingly, our draft decision is to accept </w:t>
      </w:r>
      <w:r w:rsidR="00D1620B">
        <w:t>Goulburn-Murray Water</w:t>
      </w:r>
      <w:r w:rsidRPr="00544D9E">
        <w:t>’s self-rating of ‘</w:t>
      </w:r>
      <w:r w:rsidR="007B0871">
        <w:t>Standard</w:t>
      </w:r>
      <w:r w:rsidRPr="00544D9E">
        <w:t>’ for Management.</w:t>
      </w:r>
    </w:p>
    <w:p w14:paraId="54C6C5BB" w14:textId="08737078" w:rsidR="007743A5" w:rsidRPr="003B4D73" w:rsidRDefault="00B8198F" w:rsidP="007743A5">
      <w:pPr>
        <w:pStyle w:val="Heading3"/>
      </w:pPr>
      <w:bookmarkStart w:id="209" w:name="_Toc121310474"/>
      <w:bookmarkStart w:id="210" w:name="_Toc121989588"/>
      <w:bookmarkStart w:id="211" w:name="_Toc149223962"/>
      <w:bookmarkStart w:id="212" w:name="_Toc149560287"/>
      <w:bookmarkStart w:id="213" w:name="_Toc150866274"/>
      <w:bookmarkStart w:id="214" w:name="_Toc160038357"/>
      <w:bookmarkStart w:id="215" w:name="_Toc161400074"/>
      <w:r>
        <w:t>16</w:t>
      </w:r>
      <w:r w:rsidR="007743A5">
        <w:t>.1.5</w:t>
      </w:r>
      <w:r w:rsidR="007743A5">
        <w:tab/>
      </w:r>
      <w:r w:rsidR="007743A5" w:rsidRPr="003B4D73">
        <w:t>Outcomes</w:t>
      </w:r>
      <w:bookmarkEnd w:id="209"/>
      <w:bookmarkEnd w:id="210"/>
      <w:bookmarkEnd w:id="211"/>
      <w:bookmarkEnd w:id="212"/>
      <w:bookmarkEnd w:id="213"/>
      <w:bookmarkEnd w:id="214"/>
      <w:bookmarkEnd w:id="215"/>
    </w:p>
    <w:p w14:paraId="689C8B4C" w14:textId="77777777" w:rsidR="007743A5" w:rsidRPr="00385E6A" w:rsidRDefault="007743A5" w:rsidP="007743A5">
      <w:r w:rsidRPr="00385E6A">
        <w:t>The Outcomes element of PREMO is assessed against guiding questions focused on:</w:t>
      </w:r>
    </w:p>
    <w:p w14:paraId="5898BFD2" w14:textId="77777777" w:rsidR="007743A5" w:rsidRPr="00385E6A" w:rsidRDefault="007743A5" w:rsidP="00821A3A">
      <w:pPr>
        <w:pStyle w:val="ListBullet"/>
      </w:pPr>
      <w:r w:rsidRPr="00385E6A">
        <w:t>the alignment of proposed outcomes with customer priorities and expenditure forecasts</w:t>
      </w:r>
    </w:p>
    <w:p w14:paraId="7703B3A0" w14:textId="77777777" w:rsidR="007743A5" w:rsidRPr="00385E6A" w:rsidRDefault="007743A5" w:rsidP="00821A3A">
      <w:pPr>
        <w:pStyle w:val="ListBullet"/>
      </w:pPr>
      <w:r w:rsidRPr="00385E6A">
        <w:t>whether the proposed outcomes are measurable</w:t>
      </w:r>
    </w:p>
    <w:p w14:paraId="640F073F" w14:textId="77777777" w:rsidR="007743A5" w:rsidRPr="00385E6A" w:rsidRDefault="007743A5" w:rsidP="00821A3A">
      <w:pPr>
        <w:pStyle w:val="ListBullet"/>
      </w:pPr>
      <w:r w:rsidRPr="00385E6A">
        <w:t>the processes established to measure performance and report to customers.</w:t>
      </w:r>
      <w:r w:rsidRPr="00385E6A">
        <w:rPr>
          <w:rStyle w:val="FootnoteReference"/>
        </w:rPr>
        <w:footnoteReference w:id="116"/>
      </w:r>
    </w:p>
    <w:p w14:paraId="69BE63B5" w14:textId="68FCA379" w:rsidR="0012130D" w:rsidRDefault="003A6763" w:rsidP="004B0132">
      <w:r w:rsidRPr="00624C52">
        <w:t xml:space="preserve">As noted in Section 3.2, our preliminary view is that </w:t>
      </w:r>
      <w:r w:rsidR="00D1620B">
        <w:t>Goulburn-Murray Water</w:t>
      </w:r>
      <w:r w:rsidRPr="00624C52">
        <w:t xml:space="preserve"> has provided evidence that demonstrates its outcome measures and targets were developed in consultation with its customers, and that they are supported by customers. </w:t>
      </w:r>
      <w:r w:rsidR="004B0132" w:rsidRPr="006D076E">
        <w:t xml:space="preserve">Goulburn-Murray Water used </w:t>
      </w:r>
      <w:r w:rsidR="00913D24" w:rsidRPr="006D076E">
        <w:t xml:space="preserve">a </w:t>
      </w:r>
      <w:r w:rsidR="004B0869" w:rsidRPr="006D076E">
        <w:t>water services committee</w:t>
      </w:r>
      <w:r w:rsidR="00276AD4" w:rsidRPr="006D076E">
        <w:t xml:space="preserve">, various customer workshops and </w:t>
      </w:r>
      <w:r w:rsidR="00B06089" w:rsidRPr="006D076E">
        <w:t xml:space="preserve">customer </w:t>
      </w:r>
      <w:r w:rsidR="00276AD4" w:rsidRPr="006D076E">
        <w:t>surveys</w:t>
      </w:r>
      <w:r w:rsidR="004B0869" w:rsidRPr="006D076E">
        <w:t xml:space="preserve"> to provide </w:t>
      </w:r>
      <w:r w:rsidR="00DB07AF" w:rsidRPr="006D076E">
        <w:t xml:space="preserve">validation of its proposed outcomes. </w:t>
      </w:r>
    </w:p>
    <w:p w14:paraId="58F95E50" w14:textId="4EE5B63D" w:rsidR="00244E75" w:rsidRPr="006D076E" w:rsidRDefault="00244E75" w:rsidP="003A6763">
      <w:r w:rsidRPr="006D076E">
        <w:t xml:space="preserve">Generally, we consider Goulburn-Murray Water’s intentions are clear, and its measures and targets will provide a sound basis to track performance and delivery against each outcome, once the matters we identified in our assessment have been addressed. </w:t>
      </w:r>
    </w:p>
    <w:p w14:paraId="7D09D8DD" w14:textId="18961CCD" w:rsidR="007A4CFC" w:rsidRDefault="007D6C40" w:rsidP="003A6763">
      <w:r w:rsidRPr="006D076E">
        <w:lastRenderedPageBreak/>
        <w:t>Most targets indicate that Goul</w:t>
      </w:r>
      <w:r w:rsidR="00C17D0B" w:rsidRPr="006D076E">
        <w:t>burn-Murray Water will maintain its current level of services</w:t>
      </w:r>
      <w:r w:rsidR="006C2CCD" w:rsidRPr="006D076E">
        <w:t xml:space="preserve"> over 2024</w:t>
      </w:r>
      <w:r w:rsidR="00133B28" w:rsidRPr="006D076E">
        <w:t>–</w:t>
      </w:r>
      <w:r w:rsidR="006C2CCD" w:rsidRPr="006D076E">
        <w:t>28</w:t>
      </w:r>
      <w:r w:rsidR="001C6268" w:rsidRPr="006D076E">
        <w:t xml:space="preserve"> which</w:t>
      </w:r>
      <w:r w:rsidR="0003027F" w:rsidRPr="006D076E">
        <w:t>,</w:t>
      </w:r>
      <w:r w:rsidR="001C6268" w:rsidRPr="006D076E">
        <w:t xml:space="preserve"> along with a proposed reduction in bills for </w:t>
      </w:r>
      <w:r w:rsidR="00A1651D" w:rsidRPr="006D076E">
        <w:t>most of</w:t>
      </w:r>
      <w:r w:rsidR="001C6268" w:rsidRPr="006D076E">
        <w:t xml:space="preserve"> its customers, </w:t>
      </w:r>
      <w:r w:rsidR="00173ADA" w:rsidRPr="006D076E">
        <w:t>s</w:t>
      </w:r>
      <w:r w:rsidR="001E2E1B" w:rsidRPr="006D076E">
        <w:t>uggests</w:t>
      </w:r>
      <w:r w:rsidR="00173ADA" w:rsidRPr="006D076E">
        <w:t xml:space="preserve"> a</w:t>
      </w:r>
      <w:r w:rsidR="00495051" w:rsidRPr="006D076E">
        <w:t xml:space="preserve"> general</w:t>
      </w:r>
      <w:r w:rsidR="00173ADA" w:rsidRPr="006D076E">
        <w:t xml:space="preserve"> improvement in customer value.</w:t>
      </w:r>
      <w:r w:rsidR="00173ADA">
        <w:t xml:space="preserve"> </w:t>
      </w:r>
    </w:p>
    <w:p w14:paraId="697AB34F" w14:textId="1BF67529" w:rsidR="003A6763" w:rsidRPr="00544D9E" w:rsidRDefault="003A6763" w:rsidP="003A6763">
      <w:r w:rsidRPr="00FE46A5">
        <w:t xml:space="preserve">Accordingly, our draft decision is to accept </w:t>
      </w:r>
      <w:r w:rsidR="00810E76">
        <w:t>Goulburn-Murray</w:t>
      </w:r>
      <w:r w:rsidRPr="00FE46A5">
        <w:t xml:space="preserve"> Water’s self-rating of ‘Standard’ for</w:t>
      </w:r>
      <w:r w:rsidR="008A0C6B">
        <w:t xml:space="preserve"> the Outcomes element of PREMO. </w:t>
      </w:r>
    </w:p>
    <w:p w14:paraId="721765DB" w14:textId="77777777" w:rsidR="00BB45EB" w:rsidRPr="00BB45EB" w:rsidRDefault="00BB45EB" w:rsidP="00BB45EB"/>
    <w:p w14:paraId="3EBF2E3E" w14:textId="77777777" w:rsidR="007550B2" w:rsidRDefault="007550B2" w:rsidP="007550B2"/>
    <w:p w14:paraId="74EF70E5" w14:textId="77777777" w:rsidR="004309BF" w:rsidRDefault="004309BF">
      <w:pPr>
        <w:spacing w:line="259" w:lineRule="auto"/>
        <w:sectPr w:rsidR="004309BF" w:rsidSect="00DB48F2">
          <w:footerReference w:type="default" r:id="rId49"/>
          <w:pgSz w:w="11906" w:h="16838" w:code="9"/>
          <w:pgMar w:top="1134" w:right="1134" w:bottom="1134" w:left="1134" w:header="709" w:footer="692" w:gutter="0"/>
          <w:cols w:space="708"/>
          <w:docGrid w:linePitch="360"/>
        </w:sectPr>
      </w:pPr>
    </w:p>
    <w:p w14:paraId="0F7F75D7" w14:textId="036BBD85" w:rsidR="00375EFC" w:rsidRDefault="00D91A68" w:rsidP="001C750A">
      <w:pPr>
        <w:pStyle w:val="Heading1"/>
      </w:pPr>
      <w:bookmarkStart w:id="216" w:name="_Toc161400075"/>
      <w:r w:rsidRPr="00D91A68">
        <w:lastRenderedPageBreak/>
        <w:t>A</w:t>
      </w:r>
      <w:r>
        <w:t xml:space="preserve">ppendix </w:t>
      </w:r>
      <w:r w:rsidR="00D36A0D">
        <w:t>A</w:t>
      </w:r>
      <w:r w:rsidRPr="00D91A68">
        <w:t xml:space="preserve"> </w:t>
      </w:r>
      <w:r w:rsidR="000D6B4B">
        <w:t>—</w:t>
      </w:r>
      <w:r w:rsidRPr="00D91A68">
        <w:t xml:space="preserve"> </w:t>
      </w:r>
      <w:r w:rsidR="00A41BE7">
        <w:t>S</w:t>
      </w:r>
      <w:r w:rsidRPr="00D91A68">
        <w:t>ubmissions received</w:t>
      </w:r>
      <w:bookmarkEnd w:id="216"/>
    </w:p>
    <w:tbl>
      <w:tblPr>
        <w:tblStyle w:val="TableGrid"/>
        <w:tblW w:w="0" w:type="auto"/>
        <w:tblLook w:val="04A0" w:firstRow="1" w:lastRow="0" w:firstColumn="1" w:lastColumn="0" w:noHBand="0" w:noVBand="1"/>
      </w:tblPr>
      <w:tblGrid>
        <w:gridCol w:w="4819"/>
        <w:gridCol w:w="4819"/>
      </w:tblGrid>
      <w:tr w:rsidR="00D91A68" w14:paraId="3A819A38" w14:textId="77777777" w:rsidTr="00D91A68">
        <w:trPr>
          <w:cnfStyle w:val="100000000000" w:firstRow="1" w:lastRow="0" w:firstColumn="0" w:lastColumn="0" w:oddVBand="0" w:evenVBand="0" w:oddHBand="0" w:evenHBand="0" w:firstRowFirstColumn="0" w:firstRowLastColumn="0" w:lastRowFirstColumn="0" w:lastRowLastColumn="0"/>
        </w:trPr>
        <w:tc>
          <w:tcPr>
            <w:tcW w:w="4819" w:type="dxa"/>
          </w:tcPr>
          <w:p w14:paraId="6F24285C" w14:textId="0182A67F" w:rsidR="00D91A68" w:rsidRDefault="00D91A68" w:rsidP="00D91A68">
            <w:pPr>
              <w:pStyle w:val="TableHeading"/>
            </w:pPr>
            <w:r>
              <w:t>Name or organisation</w:t>
            </w:r>
          </w:p>
        </w:tc>
        <w:tc>
          <w:tcPr>
            <w:tcW w:w="4819" w:type="dxa"/>
          </w:tcPr>
          <w:p w14:paraId="592D50CC" w14:textId="4726BF34" w:rsidR="00D91A68" w:rsidRDefault="00D91A68" w:rsidP="00D91A68">
            <w:pPr>
              <w:pStyle w:val="TableHeading"/>
            </w:pPr>
            <w:r>
              <w:t>Date received</w:t>
            </w:r>
          </w:p>
        </w:tc>
      </w:tr>
      <w:tr w:rsidR="00D91A68" w14:paraId="65421143" w14:textId="77777777" w:rsidTr="00D91A68">
        <w:trPr>
          <w:cnfStyle w:val="000000100000" w:firstRow="0" w:lastRow="0" w:firstColumn="0" w:lastColumn="0" w:oddVBand="0" w:evenVBand="0" w:oddHBand="1" w:evenHBand="0" w:firstRowFirstColumn="0" w:firstRowLastColumn="0" w:lastRowFirstColumn="0" w:lastRowLastColumn="0"/>
        </w:trPr>
        <w:tc>
          <w:tcPr>
            <w:tcW w:w="4819" w:type="dxa"/>
          </w:tcPr>
          <w:p w14:paraId="190636B4" w14:textId="42FA5435" w:rsidR="00D91A68" w:rsidRDefault="006E0EF0" w:rsidP="00D91A68">
            <w:pPr>
              <w:pStyle w:val="TableBody"/>
            </w:pPr>
            <w:r>
              <w:t xml:space="preserve">Anonymous </w:t>
            </w:r>
          </w:p>
        </w:tc>
        <w:tc>
          <w:tcPr>
            <w:tcW w:w="4819" w:type="dxa"/>
          </w:tcPr>
          <w:p w14:paraId="1E6D617F" w14:textId="066B52DB" w:rsidR="00D91A68" w:rsidRDefault="003201B5" w:rsidP="00D91A68">
            <w:pPr>
              <w:pStyle w:val="TableBody"/>
            </w:pPr>
            <w:r>
              <w:t xml:space="preserve">14 November 2023 </w:t>
            </w:r>
          </w:p>
        </w:tc>
      </w:tr>
      <w:tr w:rsidR="00B92431" w14:paraId="5D2BD160" w14:textId="77777777" w:rsidTr="00D91A68">
        <w:trPr>
          <w:cnfStyle w:val="000000010000" w:firstRow="0" w:lastRow="0" w:firstColumn="0" w:lastColumn="0" w:oddVBand="0" w:evenVBand="0" w:oddHBand="0" w:evenHBand="1" w:firstRowFirstColumn="0" w:firstRowLastColumn="0" w:lastRowFirstColumn="0" w:lastRowLastColumn="0"/>
        </w:trPr>
        <w:tc>
          <w:tcPr>
            <w:tcW w:w="4819" w:type="dxa"/>
          </w:tcPr>
          <w:p w14:paraId="329D2629" w14:textId="6E737968" w:rsidR="00B92431" w:rsidRDefault="00657F9C" w:rsidP="00B92431">
            <w:pPr>
              <w:pStyle w:val="TableBody"/>
            </w:pPr>
            <w:r>
              <w:t xml:space="preserve">Anonymous </w:t>
            </w:r>
          </w:p>
        </w:tc>
        <w:tc>
          <w:tcPr>
            <w:tcW w:w="4819" w:type="dxa"/>
          </w:tcPr>
          <w:p w14:paraId="51CDBF2C" w14:textId="7495B33C" w:rsidR="00B92431" w:rsidRDefault="003201B5" w:rsidP="00B92431">
            <w:pPr>
              <w:pStyle w:val="TableBody"/>
            </w:pPr>
            <w:r>
              <w:t>14 November 2023</w:t>
            </w:r>
          </w:p>
        </w:tc>
      </w:tr>
      <w:tr w:rsidR="00B92431" w14:paraId="74F24AA7" w14:textId="77777777" w:rsidTr="00D91A68">
        <w:trPr>
          <w:cnfStyle w:val="000000100000" w:firstRow="0" w:lastRow="0" w:firstColumn="0" w:lastColumn="0" w:oddVBand="0" w:evenVBand="0" w:oddHBand="1" w:evenHBand="0" w:firstRowFirstColumn="0" w:firstRowLastColumn="0" w:lastRowFirstColumn="0" w:lastRowLastColumn="0"/>
        </w:trPr>
        <w:tc>
          <w:tcPr>
            <w:tcW w:w="4819" w:type="dxa"/>
          </w:tcPr>
          <w:p w14:paraId="4C52F828" w14:textId="0717C08F" w:rsidR="00B92431" w:rsidRPr="00EE5C11" w:rsidRDefault="00657F9C" w:rsidP="00B92431">
            <w:pPr>
              <w:pStyle w:val="TableBody"/>
            </w:pPr>
            <w:r>
              <w:t>Anonymous</w:t>
            </w:r>
          </w:p>
        </w:tc>
        <w:tc>
          <w:tcPr>
            <w:tcW w:w="4819" w:type="dxa"/>
          </w:tcPr>
          <w:p w14:paraId="2606FBB0" w14:textId="416B20D7" w:rsidR="00B92431" w:rsidRDefault="003201B5" w:rsidP="00B92431">
            <w:pPr>
              <w:pStyle w:val="TableBody"/>
            </w:pPr>
            <w:r>
              <w:t>30 November 2023</w:t>
            </w:r>
          </w:p>
        </w:tc>
      </w:tr>
      <w:tr w:rsidR="008B0341" w14:paraId="1C7FD279" w14:textId="77777777" w:rsidTr="00D91A68">
        <w:trPr>
          <w:cnfStyle w:val="000000010000" w:firstRow="0" w:lastRow="0" w:firstColumn="0" w:lastColumn="0" w:oddVBand="0" w:evenVBand="0" w:oddHBand="0" w:evenHBand="1" w:firstRowFirstColumn="0" w:firstRowLastColumn="0" w:lastRowFirstColumn="0" w:lastRowLastColumn="0"/>
        </w:trPr>
        <w:tc>
          <w:tcPr>
            <w:tcW w:w="4819" w:type="dxa"/>
          </w:tcPr>
          <w:p w14:paraId="750C3A45" w14:textId="3542E4A6" w:rsidR="008B0341" w:rsidRDefault="00657F9C" w:rsidP="008B0341">
            <w:pPr>
              <w:pStyle w:val="TableBody"/>
            </w:pPr>
            <w:r>
              <w:t>Anonymous</w:t>
            </w:r>
          </w:p>
        </w:tc>
        <w:tc>
          <w:tcPr>
            <w:tcW w:w="4819" w:type="dxa"/>
          </w:tcPr>
          <w:p w14:paraId="71246692" w14:textId="37356AA9" w:rsidR="008B0341" w:rsidRDefault="003201B5" w:rsidP="008B0341">
            <w:pPr>
              <w:pStyle w:val="TableBody"/>
            </w:pPr>
            <w:r>
              <w:t>1 December 2023</w:t>
            </w:r>
          </w:p>
        </w:tc>
      </w:tr>
      <w:tr w:rsidR="008B0341" w14:paraId="6B7D73FD" w14:textId="77777777" w:rsidTr="00D91A68">
        <w:trPr>
          <w:cnfStyle w:val="000000100000" w:firstRow="0" w:lastRow="0" w:firstColumn="0" w:lastColumn="0" w:oddVBand="0" w:evenVBand="0" w:oddHBand="1" w:evenHBand="0" w:firstRowFirstColumn="0" w:firstRowLastColumn="0" w:lastRowFirstColumn="0" w:lastRowLastColumn="0"/>
        </w:trPr>
        <w:tc>
          <w:tcPr>
            <w:tcW w:w="4819" w:type="dxa"/>
          </w:tcPr>
          <w:p w14:paraId="6EBA20EE" w14:textId="333A3391" w:rsidR="008B0341" w:rsidRDefault="00D93F89" w:rsidP="008B0341">
            <w:pPr>
              <w:pStyle w:val="TableBody"/>
            </w:pPr>
            <w:r>
              <w:t xml:space="preserve">Ian Roy </w:t>
            </w:r>
          </w:p>
        </w:tc>
        <w:tc>
          <w:tcPr>
            <w:tcW w:w="4819" w:type="dxa"/>
          </w:tcPr>
          <w:p w14:paraId="758E3468" w14:textId="551E868D" w:rsidR="008B0341" w:rsidRDefault="00CF75E9" w:rsidP="008B0341">
            <w:pPr>
              <w:pStyle w:val="TableBody"/>
            </w:pPr>
            <w:r>
              <w:t>1 December 2023</w:t>
            </w:r>
          </w:p>
        </w:tc>
      </w:tr>
      <w:tr w:rsidR="00D91A68" w14:paraId="3811B710" w14:textId="77777777" w:rsidTr="00D91A68">
        <w:trPr>
          <w:cnfStyle w:val="000000010000" w:firstRow="0" w:lastRow="0" w:firstColumn="0" w:lastColumn="0" w:oddVBand="0" w:evenVBand="0" w:oddHBand="0" w:evenHBand="1" w:firstRowFirstColumn="0" w:firstRowLastColumn="0" w:lastRowFirstColumn="0" w:lastRowLastColumn="0"/>
        </w:trPr>
        <w:tc>
          <w:tcPr>
            <w:tcW w:w="4819" w:type="dxa"/>
          </w:tcPr>
          <w:p w14:paraId="46D794A4" w14:textId="59FED999" w:rsidR="00D91A68" w:rsidRDefault="00537E78" w:rsidP="00D91A68">
            <w:pPr>
              <w:pStyle w:val="TableBody"/>
            </w:pPr>
            <w:r>
              <w:t xml:space="preserve">Nick Legge </w:t>
            </w:r>
          </w:p>
        </w:tc>
        <w:tc>
          <w:tcPr>
            <w:tcW w:w="4819" w:type="dxa"/>
          </w:tcPr>
          <w:p w14:paraId="576E286D" w14:textId="61369DC0" w:rsidR="00D91A68" w:rsidRDefault="0085732F" w:rsidP="00D91A68">
            <w:pPr>
              <w:pStyle w:val="TableBody"/>
            </w:pPr>
            <w:r>
              <w:t>1 December 2023</w:t>
            </w:r>
          </w:p>
        </w:tc>
      </w:tr>
      <w:tr w:rsidR="00D91A68" w14:paraId="26A7BFC7" w14:textId="77777777" w:rsidTr="00D91A68">
        <w:trPr>
          <w:cnfStyle w:val="000000100000" w:firstRow="0" w:lastRow="0" w:firstColumn="0" w:lastColumn="0" w:oddVBand="0" w:evenVBand="0" w:oddHBand="1" w:evenHBand="0" w:firstRowFirstColumn="0" w:firstRowLastColumn="0" w:lastRowFirstColumn="0" w:lastRowLastColumn="0"/>
        </w:trPr>
        <w:tc>
          <w:tcPr>
            <w:tcW w:w="4819" w:type="dxa"/>
          </w:tcPr>
          <w:p w14:paraId="1AA8B602" w14:textId="7750E872" w:rsidR="00D91A68" w:rsidRDefault="00D97FDF" w:rsidP="00D91A68">
            <w:pPr>
              <w:pStyle w:val="TableBody"/>
            </w:pPr>
            <w:r>
              <w:t>Anonymous</w:t>
            </w:r>
          </w:p>
        </w:tc>
        <w:tc>
          <w:tcPr>
            <w:tcW w:w="4819" w:type="dxa"/>
          </w:tcPr>
          <w:p w14:paraId="555B325B" w14:textId="6E848887" w:rsidR="00D91A68" w:rsidRDefault="00D97FDF" w:rsidP="00D91A68">
            <w:pPr>
              <w:pStyle w:val="TableBody"/>
            </w:pPr>
            <w:r>
              <w:t>3 December 2023</w:t>
            </w:r>
          </w:p>
        </w:tc>
      </w:tr>
      <w:tr w:rsidR="00D91A68" w14:paraId="30613169" w14:textId="77777777" w:rsidTr="00D91A68">
        <w:trPr>
          <w:cnfStyle w:val="000000010000" w:firstRow="0" w:lastRow="0" w:firstColumn="0" w:lastColumn="0" w:oddVBand="0" w:evenVBand="0" w:oddHBand="0" w:evenHBand="1" w:firstRowFirstColumn="0" w:firstRowLastColumn="0" w:lastRowFirstColumn="0" w:lastRowLastColumn="0"/>
        </w:trPr>
        <w:tc>
          <w:tcPr>
            <w:tcW w:w="4819" w:type="dxa"/>
          </w:tcPr>
          <w:p w14:paraId="0C74EC4B" w14:textId="62D87585" w:rsidR="00D91A68" w:rsidRDefault="00D97FDF" w:rsidP="00D91A68">
            <w:pPr>
              <w:pStyle w:val="TableBody"/>
            </w:pPr>
            <w:r>
              <w:t xml:space="preserve">Cameron and Jan Reid </w:t>
            </w:r>
          </w:p>
        </w:tc>
        <w:tc>
          <w:tcPr>
            <w:tcW w:w="4819" w:type="dxa"/>
          </w:tcPr>
          <w:p w14:paraId="7C99B928" w14:textId="436620A5" w:rsidR="00D91A68" w:rsidRDefault="009D0CA0" w:rsidP="00D91A68">
            <w:pPr>
              <w:pStyle w:val="TableBody"/>
            </w:pPr>
            <w:r>
              <w:t xml:space="preserve">4 December 2023 </w:t>
            </w:r>
          </w:p>
        </w:tc>
      </w:tr>
      <w:tr w:rsidR="009D0CA0" w14:paraId="1F51624F" w14:textId="77777777" w:rsidTr="00D91A68">
        <w:trPr>
          <w:cnfStyle w:val="000000100000" w:firstRow="0" w:lastRow="0" w:firstColumn="0" w:lastColumn="0" w:oddVBand="0" w:evenVBand="0" w:oddHBand="1" w:evenHBand="0" w:firstRowFirstColumn="0" w:firstRowLastColumn="0" w:lastRowFirstColumn="0" w:lastRowLastColumn="0"/>
        </w:trPr>
        <w:tc>
          <w:tcPr>
            <w:tcW w:w="4819" w:type="dxa"/>
          </w:tcPr>
          <w:p w14:paraId="7CE02D33" w14:textId="036396DF" w:rsidR="009D0CA0" w:rsidRDefault="009D0CA0" w:rsidP="00D97FDF">
            <w:pPr>
              <w:pStyle w:val="TableBody"/>
            </w:pPr>
            <w:r>
              <w:t>Anonymous</w:t>
            </w:r>
          </w:p>
        </w:tc>
        <w:tc>
          <w:tcPr>
            <w:tcW w:w="4819" w:type="dxa"/>
          </w:tcPr>
          <w:p w14:paraId="3F32EA40" w14:textId="6C61000B" w:rsidR="009D0CA0" w:rsidRDefault="009D0CA0" w:rsidP="00D97FDF">
            <w:pPr>
              <w:pStyle w:val="TableBody"/>
            </w:pPr>
            <w:r>
              <w:t>4 December 2023</w:t>
            </w:r>
          </w:p>
        </w:tc>
      </w:tr>
      <w:tr w:rsidR="009D0CA0" w14:paraId="636FDA41" w14:textId="77777777" w:rsidTr="00D91A68">
        <w:trPr>
          <w:cnfStyle w:val="000000010000" w:firstRow="0" w:lastRow="0" w:firstColumn="0" w:lastColumn="0" w:oddVBand="0" w:evenVBand="0" w:oddHBand="0" w:evenHBand="1" w:firstRowFirstColumn="0" w:firstRowLastColumn="0" w:lastRowFirstColumn="0" w:lastRowLastColumn="0"/>
        </w:trPr>
        <w:tc>
          <w:tcPr>
            <w:tcW w:w="4819" w:type="dxa"/>
          </w:tcPr>
          <w:p w14:paraId="21DD45A2" w14:textId="20156D54" w:rsidR="009D0CA0" w:rsidRDefault="009D0CA0" w:rsidP="009D0CA0">
            <w:pPr>
              <w:pStyle w:val="TableBody"/>
            </w:pPr>
            <w:r>
              <w:t xml:space="preserve">Paula D Hall </w:t>
            </w:r>
          </w:p>
        </w:tc>
        <w:tc>
          <w:tcPr>
            <w:tcW w:w="4819" w:type="dxa"/>
          </w:tcPr>
          <w:p w14:paraId="40C512D2" w14:textId="4FCDC245" w:rsidR="009D0CA0" w:rsidRDefault="009D0CA0" w:rsidP="009D0CA0">
            <w:pPr>
              <w:pStyle w:val="TableBody"/>
            </w:pPr>
            <w:r>
              <w:t>6 December 2023</w:t>
            </w:r>
          </w:p>
        </w:tc>
      </w:tr>
      <w:tr w:rsidR="009D0CA0" w14:paraId="7F0472E4" w14:textId="77777777" w:rsidTr="00D91A68">
        <w:trPr>
          <w:cnfStyle w:val="000000100000" w:firstRow="0" w:lastRow="0" w:firstColumn="0" w:lastColumn="0" w:oddVBand="0" w:evenVBand="0" w:oddHBand="1" w:evenHBand="0" w:firstRowFirstColumn="0" w:firstRowLastColumn="0" w:lastRowFirstColumn="0" w:lastRowLastColumn="0"/>
        </w:trPr>
        <w:tc>
          <w:tcPr>
            <w:tcW w:w="4819" w:type="dxa"/>
          </w:tcPr>
          <w:p w14:paraId="54157B2D" w14:textId="1193132F" w:rsidR="009D0CA0" w:rsidRDefault="009D0CA0" w:rsidP="009D0CA0">
            <w:pPr>
              <w:pStyle w:val="TableBody"/>
            </w:pPr>
            <w:r>
              <w:t xml:space="preserve">Samuel McIntosh </w:t>
            </w:r>
          </w:p>
        </w:tc>
        <w:tc>
          <w:tcPr>
            <w:tcW w:w="4819" w:type="dxa"/>
          </w:tcPr>
          <w:p w14:paraId="5723446A" w14:textId="25979C30" w:rsidR="009D0CA0" w:rsidRDefault="009D0CA0" w:rsidP="009D0CA0">
            <w:pPr>
              <w:pStyle w:val="TableBody"/>
            </w:pPr>
            <w:r>
              <w:t>8 December 2023</w:t>
            </w:r>
          </w:p>
        </w:tc>
      </w:tr>
      <w:tr w:rsidR="007510C7" w14:paraId="1776E111" w14:textId="77777777" w:rsidTr="00D91A68">
        <w:trPr>
          <w:cnfStyle w:val="000000010000" w:firstRow="0" w:lastRow="0" w:firstColumn="0" w:lastColumn="0" w:oddVBand="0" w:evenVBand="0" w:oddHBand="0" w:evenHBand="1" w:firstRowFirstColumn="0" w:firstRowLastColumn="0" w:lastRowFirstColumn="0" w:lastRowLastColumn="0"/>
        </w:trPr>
        <w:tc>
          <w:tcPr>
            <w:tcW w:w="4819" w:type="dxa"/>
          </w:tcPr>
          <w:p w14:paraId="60A6A7BC" w14:textId="2F084567" w:rsidR="007510C7" w:rsidRDefault="007510C7" w:rsidP="009D0CA0">
            <w:pPr>
              <w:pStyle w:val="TableBody"/>
            </w:pPr>
            <w:r>
              <w:t>Unregulated domestic and stock water users</w:t>
            </w:r>
          </w:p>
        </w:tc>
        <w:tc>
          <w:tcPr>
            <w:tcW w:w="4819" w:type="dxa"/>
          </w:tcPr>
          <w:p w14:paraId="747DC18B" w14:textId="2B8E4E28" w:rsidR="007510C7" w:rsidRDefault="007510C7" w:rsidP="009D0CA0">
            <w:pPr>
              <w:pStyle w:val="TableBody"/>
            </w:pPr>
            <w:r>
              <w:t>12 December 2023</w:t>
            </w:r>
          </w:p>
        </w:tc>
      </w:tr>
      <w:tr w:rsidR="009D0CA0" w14:paraId="4A0C364B" w14:textId="77777777" w:rsidTr="00D91A68">
        <w:trPr>
          <w:cnfStyle w:val="000000100000" w:firstRow="0" w:lastRow="0" w:firstColumn="0" w:lastColumn="0" w:oddVBand="0" w:evenVBand="0" w:oddHBand="1" w:evenHBand="0" w:firstRowFirstColumn="0" w:firstRowLastColumn="0" w:lastRowFirstColumn="0" w:lastRowLastColumn="0"/>
        </w:trPr>
        <w:tc>
          <w:tcPr>
            <w:tcW w:w="4819" w:type="dxa"/>
          </w:tcPr>
          <w:p w14:paraId="7E869C3B" w14:textId="408BB96D" w:rsidR="009D0CA0" w:rsidRDefault="00E23800" w:rsidP="009D0CA0">
            <w:pPr>
              <w:pStyle w:val="TableBody"/>
            </w:pPr>
            <w:r>
              <w:t xml:space="preserve">Christopher Maud </w:t>
            </w:r>
          </w:p>
        </w:tc>
        <w:tc>
          <w:tcPr>
            <w:tcW w:w="4819" w:type="dxa"/>
          </w:tcPr>
          <w:p w14:paraId="0D2470E8" w14:textId="41D7E7AD" w:rsidR="00D14701" w:rsidRDefault="00D14701" w:rsidP="009D0CA0">
            <w:pPr>
              <w:pStyle w:val="TableBody"/>
            </w:pPr>
            <w:r>
              <w:t xml:space="preserve">13 December 2023 </w:t>
            </w:r>
          </w:p>
        </w:tc>
      </w:tr>
      <w:tr w:rsidR="009D0CA0" w14:paraId="7D2FAF32" w14:textId="77777777" w:rsidTr="00D91A68">
        <w:trPr>
          <w:cnfStyle w:val="000000010000" w:firstRow="0" w:lastRow="0" w:firstColumn="0" w:lastColumn="0" w:oddVBand="0" w:evenVBand="0" w:oddHBand="0" w:evenHBand="1" w:firstRowFirstColumn="0" w:firstRowLastColumn="0" w:lastRowFirstColumn="0" w:lastRowLastColumn="0"/>
        </w:trPr>
        <w:tc>
          <w:tcPr>
            <w:tcW w:w="4819" w:type="dxa"/>
          </w:tcPr>
          <w:p w14:paraId="243459BA" w14:textId="75D77D22" w:rsidR="009D0CA0" w:rsidRDefault="005B156F" w:rsidP="009D0CA0">
            <w:pPr>
              <w:pStyle w:val="TableBody"/>
            </w:pPr>
            <w:r w:rsidRPr="00CF06EC">
              <w:t>Unknown</w:t>
            </w:r>
          </w:p>
        </w:tc>
        <w:tc>
          <w:tcPr>
            <w:tcW w:w="4819" w:type="dxa"/>
          </w:tcPr>
          <w:p w14:paraId="076307D2" w14:textId="317F32F9" w:rsidR="009D0CA0" w:rsidRDefault="005B156F" w:rsidP="009D0CA0">
            <w:pPr>
              <w:pStyle w:val="TableBody"/>
            </w:pPr>
            <w:r>
              <w:t>13 December 2023</w:t>
            </w:r>
          </w:p>
        </w:tc>
      </w:tr>
      <w:tr w:rsidR="009D0CA0" w14:paraId="3CEC031C" w14:textId="77777777" w:rsidTr="00D91A68">
        <w:trPr>
          <w:cnfStyle w:val="000000100000" w:firstRow="0" w:lastRow="0" w:firstColumn="0" w:lastColumn="0" w:oddVBand="0" w:evenVBand="0" w:oddHBand="1" w:evenHBand="0" w:firstRowFirstColumn="0" w:firstRowLastColumn="0" w:lastRowFirstColumn="0" w:lastRowLastColumn="0"/>
        </w:trPr>
        <w:tc>
          <w:tcPr>
            <w:tcW w:w="4819" w:type="dxa"/>
          </w:tcPr>
          <w:p w14:paraId="155828D3" w14:textId="42C856A2" w:rsidR="009D0CA0" w:rsidRDefault="006D37EE" w:rsidP="009D0CA0">
            <w:pPr>
              <w:pStyle w:val="TableBody"/>
            </w:pPr>
            <w:r>
              <w:t xml:space="preserve">David Nicholas </w:t>
            </w:r>
            <w:r w:rsidR="00C45A26">
              <w:t xml:space="preserve">Moore </w:t>
            </w:r>
          </w:p>
        </w:tc>
        <w:tc>
          <w:tcPr>
            <w:tcW w:w="4819" w:type="dxa"/>
          </w:tcPr>
          <w:p w14:paraId="7222D255" w14:textId="6382B7BF" w:rsidR="009D0CA0" w:rsidRDefault="00C45A26" w:rsidP="009D0CA0">
            <w:pPr>
              <w:pStyle w:val="TableBody"/>
            </w:pPr>
            <w:r>
              <w:t xml:space="preserve">13 December 2023 </w:t>
            </w:r>
          </w:p>
        </w:tc>
      </w:tr>
      <w:tr w:rsidR="00C45A26" w14:paraId="6C172D2F" w14:textId="77777777" w:rsidTr="00D91A68">
        <w:trPr>
          <w:cnfStyle w:val="000000010000" w:firstRow="0" w:lastRow="0" w:firstColumn="0" w:lastColumn="0" w:oddVBand="0" w:evenVBand="0" w:oddHBand="0" w:evenHBand="1" w:firstRowFirstColumn="0" w:firstRowLastColumn="0" w:lastRowFirstColumn="0" w:lastRowLastColumn="0"/>
        </w:trPr>
        <w:tc>
          <w:tcPr>
            <w:tcW w:w="4819" w:type="dxa"/>
          </w:tcPr>
          <w:p w14:paraId="494BB0AB" w14:textId="72B4507B" w:rsidR="00C45A26" w:rsidRDefault="00FE20FD" w:rsidP="009D0CA0">
            <w:pPr>
              <w:pStyle w:val="TableBody"/>
            </w:pPr>
            <w:r>
              <w:t xml:space="preserve">Rod Hall </w:t>
            </w:r>
          </w:p>
        </w:tc>
        <w:tc>
          <w:tcPr>
            <w:tcW w:w="4819" w:type="dxa"/>
          </w:tcPr>
          <w:p w14:paraId="77C56DEE" w14:textId="7D6C2AB8" w:rsidR="00C45A26" w:rsidRDefault="00FE20FD" w:rsidP="009D0CA0">
            <w:pPr>
              <w:pStyle w:val="TableBody"/>
            </w:pPr>
            <w:r>
              <w:t xml:space="preserve">14 December 2023 </w:t>
            </w:r>
          </w:p>
        </w:tc>
      </w:tr>
      <w:tr w:rsidR="00C45A26" w14:paraId="5E3EF0D7" w14:textId="77777777" w:rsidTr="00D91A68">
        <w:trPr>
          <w:cnfStyle w:val="000000100000" w:firstRow="0" w:lastRow="0" w:firstColumn="0" w:lastColumn="0" w:oddVBand="0" w:evenVBand="0" w:oddHBand="1" w:evenHBand="0" w:firstRowFirstColumn="0" w:firstRowLastColumn="0" w:lastRowFirstColumn="0" w:lastRowLastColumn="0"/>
        </w:trPr>
        <w:tc>
          <w:tcPr>
            <w:tcW w:w="4819" w:type="dxa"/>
          </w:tcPr>
          <w:p w14:paraId="6D77AAD9" w14:textId="2D8DBA22" w:rsidR="00C45A26" w:rsidRPr="00762AF9" w:rsidRDefault="001463CB" w:rsidP="00C45A26">
            <w:pPr>
              <w:pStyle w:val="TableBody"/>
            </w:pPr>
            <w:r w:rsidRPr="00762AF9">
              <w:t xml:space="preserve">Christopher Maud </w:t>
            </w:r>
          </w:p>
        </w:tc>
        <w:tc>
          <w:tcPr>
            <w:tcW w:w="4819" w:type="dxa"/>
          </w:tcPr>
          <w:p w14:paraId="22E24A09" w14:textId="5906464E" w:rsidR="00C45A26" w:rsidRPr="00762AF9" w:rsidRDefault="001463CB" w:rsidP="00C45A26">
            <w:pPr>
              <w:pStyle w:val="TableBody"/>
            </w:pPr>
            <w:r w:rsidRPr="00762AF9">
              <w:t xml:space="preserve">14 December </w:t>
            </w:r>
            <w:r w:rsidR="000B1573" w:rsidRPr="00762AF9">
              <w:t xml:space="preserve">2023 </w:t>
            </w:r>
          </w:p>
        </w:tc>
      </w:tr>
      <w:tr w:rsidR="00C45A26" w14:paraId="0129D62F" w14:textId="77777777" w:rsidTr="00D91A68">
        <w:trPr>
          <w:cnfStyle w:val="000000010000" w:firstRow="0" w:lastRow="0" w:firstColumn="0" w:lastColumn="0" w:oddVBand="0" w:evenVBand="0" w:oddHBand="0" w:evenHBand="1" w:firstRowFirstColumn="0" w:firstRowLastColumn="0" w:lastRowFirstColumn="0" w:lastRowLastColumn="0"/>
        </w:trPr>
        <w:tc>
          <w:tcPr>
            <w:tcW w:w="4819" w:type="dxa"/>
          </w:tcPr>
          <w:p w14:paraId="6F884891" w14:textId="55019B28" w:rsidR="00C45A26" w:rsidRDefault="000B1573" w:rsidP="00C45A26">
            <w:pPr>
              <w:pStyle w:val="TableBody"/>
            </w:pPr>
            <w:r>
              <w:t xml:space="preserve">Karl Fitzgerald </w:t>
            </w:r>
          </w:p>
        </w:tc>
        <w:tc>
          <w:tcPr>
            <w:tcW w:w="4819" w:type="dxa"/>
          </w:tcPr>
          <w:p w14:paraId="5A54C581" w14:textId="1E54B625" w:rsidR="00C45A26" w:rsidRDefault="000B1573" w:rsidP="00C45A26">
            <w:pPr>
              <w:pStyle w:val="TableBody"/>
            </w:pPr>
            <w:r>
              <w:t xml:space="preserve">14 December 2023 </w:t>
            </w:r>
          </w:p>
        </w:tc>
      </w:tr>
      <w:tr w:rsidR="00C45A26" w14:paraId="6F04CF8E" w14:textId="77777777" w:rsidTr="00D91A68">
        <w:trPr>
          <w:cnfStyle w:val="000000100000" w:firstRow="0" w:lastRow="0" w:firstColumn="0" w:lastColumn="0" w:oddVBand="0" w:evenVBand="0" w:oddHBand="1" w:evenHBand="0" w:firstRowFirstColumn="0" w:firstRowLastColumn="0" w:lastRowFirstColumn="0" w:lastRowLastColumn="0"/>
        </w:trPr>
        <w:tc>
          <w:tcPr>
            <w:tcW w:w="4819" w:type="dxa"/>
          </w:tcPr>
          <w:p w14:paraId="5A0E4FD9" w14:textId="04EC0BFF" w:rsidR="00C45A26" w:rsidRDefault="000B1573" w:rsidP="00C45A26">
            <w:pPr>
              <w:pStyle w:val="TableBody"/>
            </w:pPr>
            <w:r>
              <w:t xml:space="preserve">Sarah Nicholas </w:t>
            </w:r>
          </w:p>
        </w:tc>
        <w:tc>
          <w:tcPr>
            <w:tcW w:w="4819" w:type="dxa"/>
          </w:tcPr>
          <w:p w14:paraId="721A1E2E" w14:textId="763FC399" w:rsidR="00C45A26" w:rsidRDefault="000B1573" w:rsidP="00C45A26">
            <w:pPr>
              <w:pStyle w:val="TableBody"/>
            </w:pPr>
            <w:r>
              <w:t xml:space="preserve">15 December 2023 </w:t>
            </w:r>
          </w:p>
        </w:tc>
      </w:tr>
      <w:tr w:rsidR="00C45A26" w14:paraId="503FACA3" w14:textId="77777777" w:rsidTr="00D91A68">
        <w:trPr>
          <w:cnfStyle w:val="000000010000" w:firstRow="0" w:lastRow="0" w:firstColumn="0" w:lastColumn="0" w:oddVBand="0" w:evenVBand="0" w:oddHBand="0" w:evenHBand="1" w:firstRowFirstColumn="0" w:firstRowLastColumn="0" w:lastRowFirstColumn="0" w:lastRowLastColumn="0"/>
        </w:trPr>
        <w:tc>
          <w:tcPr>
            <w:tcW w:w="4819" w:type="dxa"/>
          </w:tcPr>
          <w:p w14:paraId="118D0369" w14:textId="6F4B02DA" w:rsidR="00C45A26" w:rsidRDefault="000B1573" w:rsidP="00C45A26">
            <w:pPr>
              <w:pStyle w:val="TableBody"/>
            </w:pPr>
            <w:r>
              <w:t xml:space="preserve">Anonymous </w:t>
            </w:r>
          </w:p>
        </w:tc>
        <w:tc>
          <w:tcPr>
            <w:tcW w:w="4819" w:type="dxa"/>
          </w:tcPr>
          <w:p w14:paraId="69C89D19" w14:textId="1E472481" w:rsidR="00C45A26" w:rsidRDefault="00F05CB2" w:rsidP="00C45A26">
            <w:pPr>
              <w:pStyle w:val="TableBody"/>
            </w:pPr>
            <w:r>
              <w:t xml:space="preserve">15 December 2023 </w:t>
            </w:r>
          </w:p>
        </w:tc>
      </w:tr>
    </w:tbl>
    <w:p w14:paraId="4896B77C" w14:textId="77777777" w:rsidR="009443EE" w:rsidRDefault="001C750A" w:rsidP="001C750A">
      <w:pPr>
        <w:sectPr w:rsidR="009443EE" w:rsidSect="00DB48F2">
          <w:footerReference w:type="default" r:id="rId50"/>
          <w:pgSz w:w="11906" w:h="16838" w:code="9"/>
          <w:pgMar w:top="1134" w:right="1134" w:bottom="1134" w:left="1134" w:header="709" w:footer="692" w:gutter="0"/>
          <w:cols w:space="708"/>
          <w:docGrid w:linePitch="360"/>
        </w:sectPr>
      </w:pPr>
      <w:r>
        <w:t xml:space="preserve"> </w:t>
      </w:r>
    </w:p>
    <w:p w14:paraId="420514D7" w14:textId="59351BCD" w:rsidR="00D36A0D" w:rsidRDefault="00D36A0D" w:rsidP="00D36A0D">
      <w:pPr>
        <w:pStyle w:val="Heading1"/>
      </w:pPr>
      <w:bookmarkStart w:id="217" w:name="_Toc161400076"/>
      <w:r w:rsidRPr="00D36A0D">
        <w:lastRenderedPageBreak/>
        <w:t xml:space="preserve">Appendix </w:t>
      </w:r>
      <w:r>
        <w:t>B</w:t>
      </w:r>
      <w:r w:rsidRPr="00D36A0D">
        <w:t xml:space="preserve"> — </w:t>
      </w:r>
      <w:r>
        <w:t>Commission’s consideration of legal requirements</w:t>
      </w:r>
      <w:bookmarkEnd w:id="217"/>
    </w:p>
    <w:p w14:paraId="416911D1" w14:textId="1CCB6597" w:rsidR="00456FD5" w:rsidRPr="00636564" w:rsidRDefault="00456FD5" w:rsidP="00456FD5">
      <w:r w:rsidRPr="00636564">
        <w:t xml:space="preserve">Clause 11 of the Water Industry Regulatory Order 2014 (WIRO) specifies the mandatory factors we must have regard to when making a price determination. The WIRO covers matters that are included in the </w:t>
      </w:r>
      <w:r w:rsidRPr="00D93613">
        <w:rPr>
          <w:i/>
          <w:iCs/>
        </w:rPr>
        <w:t>Water Industry Act 1994</w:t>
      </w:r>
      <w:r w:rsidRPr="00636564">
        <w:t xml:space="preserve"> (WI Act) and the </w:t>
      </w:r>
      <w:r w:rsidRPr="00D93613">
        <w:rPr>
          <w:i/>
          <w:iCs/>
        </w:rPr>
        <w:t>Essential Services Commission Act 2001</w:t>
      </w:r>
      <w:r w:rsidRPr="00636564">
        <w:t xml:space="preserve"> (ESC Act).</w:t>
      </w:r>
    </w:p>
    <w:p w14:paraId="76DD51DE" w14:textId="32B6E30B" w:rsidR="00456FD5" w:rsidRPr="00636564" w:rsidRDefault="00456FD5" w:rsidP="00456FD5">
      <w:r w:rsidRPr="00636564">
        <w:t xml:space="preserve">Below, we describe how we apply the mandatory factors and where we have done so in our draft decision for </w:t>
      </w:r>
      <w:r w:rsidR="00D1620B">
        <w:t>Goulburn-Murray Water</w:t>
      </w:r>
      <w:r w:rsidRPr="00636564">
        <w:t>.</w:t>
      </w:r>
    </w:p>
    <w:p w14:paraId="239AB4C6" w14:textId="48F35301" w:rsidR="00456FD5" w:rsidRPr="00636564" w:rsidRDefault="00456FD5" w:rsidP="00456FD5">
      <w:r w:rsidRPr="00636564">
        <w:t>In addition to the mandatory factors set out below, clause 11 of the WIRO requires the commission to have regard to the matters specified in the commission’s guidance.</w:t>
      </w:r>
      <w:r>
        <w:rPr>
          <w:rStyle w:val="FootnoteReference"/>
        </w:rPr>
        <w:footnoteReference w:id="117"/>
      </w:r>
      <w:r w:rsidRPr="00636564">
        <w:t xml:space="preserve"> We have had regard to the matters specified in our guidance in reaching our preliminary view. Our draft decision provides further information on where we have considered our guidance, and </w:t>
      </w:r>
      <w:r w:rsidR="00D1620B">
        <w:t>Goulburn-Murray Water</w:t>
      </w:r>
      <w:r w:rsidRPr="00636564">
        <w:t>’s compliance with our guidance, in reaching our preliminary view.</w:t>
      </w:r>
    </w:p>
    <w:p w14:paraId="0115E4FA" w14:textId="32D0A234" w:rsidR="00456FD5" w:rsidRPr="00636564" w:rsidRDefault="00456FD5" w:rsidP="00456FD5">
      <w:r w:rsidRPr="00636564">
        <w:t xml:space="preserve">Note: all chapter and section numbers referenced below refer to our draft decision for </w:t>
      </w:r>
      <w:r w:rsidR="00D1620B">
        <w:t>Goulburn-Murray Water</w:t>
      </w:r>
      <w:r w:rsidRPr="00636564">
        <w:t>.</w:t>
      </w:r>
    </w:p>
    <w:p w14:paraId="3FFE0484" w14:textId="77777777" w:rsidR="00456FD5" w:rsidRPr="00636564" w:rsidRDefault="00456FD5" w:rsidP="00456FD5">
      <w:pPr>
        <w:pStyle w:val="Heading2"/>
      </w:pPr>
      <w:bookmarkStart w:id="218" w:name="_Toc122514886"/>
      <w:bookmarkStart w:id="219" w:name="_Toc149223965"/>
      <w:bookmarkStart w:id="220" w:name="_Toc150866277"/>
      <w:bookmarkStart w:id="221" w:name="_Toc160038360"/>
      <w:bookmarkStart w:id="222" w:name="_Toc161400077"/>
      <w:r w:rsidRPr="00636564">
        <w:t>Economic efficiency and viability matters</w:t>
      </w:r>
      <w:bookmarkEnd w:id="218"/>
      <w:bookmarkEnd w:id="219"/>
      <w:bookmarkEnd w:id="220"/>
      <w:bookmarkEnd w:id="221"/>
      <w:bookmarkEnd w:id="222"/>
    </w:p>
    <w:p w14:paraId="0F00108D" w14:textId="77777777" w:rsidR="00456FD5" w:rsidRPr="00636564" w:rsidRDefault="00456FD5" w:rsidP="00456FD5">
      <w:pPr>
        <w:rPr>
          <w:b/>
          <w:bCs/>
        </w:rPr>
      </w:pPr>
      <w:r w:rsidRPr="00636564">
        <w:rPr>
          <w:b/>
          <w:bCs/>
        </w:rPr>
        <w:t xml:space="preserve">WIRO clause 8(b)(i) requires us to have regard to the ‘promotion of efficient use of prescribed services by customers’.  </w:t>
      </w:r>
    </w:p>
    <w:p w14:paraId="1087B2F0" w14:textId="77777777" w:rsidR="00456FD5" w:rsidRPr="00636564" w:rsidRDefault="00456FD5" w:rsidP="00456FD5">
      <w:r w:rsidRPr="00636564">
        <w:t xml:space="preserve">We consider that the efficient use of prescribed services by customers is promoted when a tariff is applied to customers benefiting from the service covered by the tariff, and tariffs send appropriate signals about efficient costs. </w:t>
      </w:r>
    </w:p>
    <w:p w14:paraId="40E86021" w14:textId="77777777" w:rsidR="00456FD5" w:rsidRPr="00636564" w:rsidRDefault="00456FD5" w:rsidP="00456FD5">
      <w:r w:rsidRPr="00636564">
        <w:t>The following chapters and sections of our draft decision involved consideration of this factor:</w:t>
      </w:r>
    </w:p>
    <w:p w14:paraId="2DBC9BA5" w14:textId="77777777" w:rsidR="00456FD5" w:rsidRPr="00636564" w:rsidRDefault="00456FD5" w:rsidP="00821A3A">
      <w:pPr>
        <w:pStyle w:val="ListBullet"/>
      </w:pPr>
      <w:r w:rsidRPr="00636564">
        <w:t>Our consideration of customer engagement (Section 3.1).</w:t>
      </w:r>
    </w:p>
    <w:p w14:paraId="37ABD19F" w14:textId="77777777" w:rsidR="00456FD5" w:rsidRPr="00636564" w:rsidRDefault="00456FD5" w:rsidP="00821A3A">
      <w:pPr>
        <w:pStyle w:val="ListBullet"/>
      </w:pPr>
      <w:r w:rsidRPr="00636564">
        <w:t>Our assessment of the revenue requirement (Chapter 4).</w:t>
      </w:r>
    </w:p>
    <w:p w14:paraId="5595A1F1" w14:textId="77777777" w:rsidR="00456FD5" w:rsidRPr="00636564" w:rsidRDefault="00456FD5" w:rsidP="00821A3A">
      <w:pPr>
        <w:pStyle w:val="ListBullet"/>
      </w:pPr>
      <w:r w:rsidRPr="00636564">
        <w:t xml:space="preserve">Our assessment of efficient operating expenditure (Section 4.1) and capital expenditure (Section 4.2). </w:t>
      </w:r>
    </w:p>
    <w:p w14:paraId="68728AF1" w14:textId="2CDC85B4" w:rsidR="00456FD5" w:rsidRPr="00636564" w:rsidRDefault="00456FD5" w:rsidP="00821A3A">
      <w:pPr>
        <w:pStyle w:val="ListBullet"/>
      </w:pPr>
      <w:r w:rsidRPr="00636564">
        <w:t>Our assessment of tariffs (</w:t>
      </w:r>
      <w:r w:rsidR="00656112">
        <w:t>c</w:t>
      </w:r>
      <w:r w:rsidR="00811AB4">
        <w:t>hapters 7, 8, 9, 10, and 11</w:t>
      </w:r>
      <w:r w:rsidRPr="00636564">
        <w:t xml:space="preserve">). </w:t>
      </w:r>
    </w:p>
    <w:p w14:paraId="0D492B14" w14:textId="77777777" w:rsidR="00456FD5" w:rsidRPr="00636564" w:rsidRDefault="00456FD5" w:rsidP="00456FD5">
      <w:pPr>
        <w:rPr>
          <w:b/>
          <w:bCs/>
        </w:rPr>
      </w:pPr>
      <w:r w:rsidRPr="00636564">
        <w:rPr>
          <w:b/>
          <w:bCs/>
        </w:rPr>
        <w:lastRenderedPageBreak/>
        <w:t xml:space="preserve">WIRO clause 8(b)(ii) requires us to have regard to the ‘promotion of efficiency in regulated entities as well as efficiency in, and financial viability of, the regulated water industry’. </w:t>
      </w:r>
    </w:p>
    <w:p w14:paraId="4B06447B" w14:textId="4E1615D8" w:rsidR="00456FD5" w:rsidRPr="00636564" w:rsidRDefault="00456FD5" w:rsidP="00456FD5">
      <w:r w:rsidRPr="00636564">
        <w:t xml:space="preserve">We consider that the delivery of outcomes which reflect customer service priorities at an efficient cost promotes efficiency in regulated entities and the water industry. Our draft decision has therefore had regard to the extent that </w:t>
      </w:r>
      <w:r w:rsidR="00D1620B">
        <w:t>Goulburn-Murray Water</w:t>
      </w:r>
      <w:r w:rsidRPr="00636564">
        <w:t xml:space="preserve"> has demonstrated its proposed outcomes reflect customer service priorities, and whether its tariffs and forecast costs reflect efficient levels of expenditure. </w:t>
      </w:r>
    </w:p>
    <w:p w14:paraId="4A7DEE96" w14:textId="77777777" w:rsidR="00456FD5" w:rsidRPr="00636564" w:rsidRDefault="00456FD5" w:rsidP="00456FD5">
      <w:r w:rsidRPr="00636564">
        <w:t>The following chapters and sections of our draft decision involved consideration of this factor:</w:t>
      </w:r>
    </w:p>
    <w:p w14:paraId="5C36CA68" w14:textId="77777777" w:rsidR="00456FD5" w:rsidRPr="00636564" w:rsidRDefault="00456FD5" w:rsidP="00821A3A">
      <w:pPr>
        <w:pStyle w:val="ListBullet"/>
      </w:pPr>
      <w:r w:rsidRPr="00636564">
        <w:t>Our consideration of customer engagement (Section 3.1).</w:t>
      </w:r>
    </w:p>
    <w:p w14:paraId="3CFFD06C" w14:textId="77777777" w:rsidR="00456FD5" w:rsidRPr="00636564" w:rsidRDefault="00456FD5" w:rsidP="00821A3A">
      <w:pPr>
        <w:pStyle w:val="ListBullet"/>
      </w:pPr>
      <w:r w:rsidRPr="00636564">
        <w:t>Our assessment of the revenue requirement (Chapter 4).</w:t>
      </w:r>
    </w:p>
    <w:p w14:paraId="3CEB9481" w14:textId="77777777" w:rsidR="00456FD5" w:rsidRPr="00636564" w:rsidRDefault="00456FD5" w:rsidP="00821A3A">
      <w:pPr>
        <w:pStyle w:val="ListBullet"/>
      </w:pPr>
      <w:r w:rsidRPr="00636564">
        <w:t>Our assessment of efficient operating expenditure (Section 4.1) and capital expenditure (Section 4.2).</w:t>
      </w:r>
    </w:p>
    <w:p w14:paraId="34ACE777" w14:textId="230203F0" w:rsidR="00456FD5" w:rsidRPr="00636564" w:rsidRDefault="00456FD5" w:rsidP="00821A3A">
      <w:pPr>
        <w:pStyle w:val="ListBullet"/>
      </w:pPr>
      <w:r w:rsidRPr="00636564">
        <w:t>Our assessment of tariffs (</w:t>
      </w:r>
      <w:r w:rsidR="005F7AE0">
        <w:t>c</w:t>
      </w:r>
      <w:r w:rsidR="001262C5">
        <w:t>hapters 7, 8, 9, 10, and 11</w:t>
      </w:r>
      <w:r w:rsidR="001262C5" w:rsidRPr="00636564">
        <w:t>)</w:t>
      </w:r>
      <w:r w:rsidRPr="00636564">
        <w:t>.</w:t>
      </w:r>
    </w:p>
    <w:p w14:paraId="68388876" w14:textId="266288C3" w:rsidR="00456FD5" w:rsidRPr="00636564" w:rsidRDefault="00456FD5" w:rsidP="00821A3A">
      <w:pPr>
        <w:pStyle w:val="ListBullet"/>
      </w:pPr>
      <w:r w:rsidRPr="00636564">
        <w:t xml:space="preserve">Our assessment of financial viability (Chapter </w:t>
      </w:r>
      <w:r w:rsidR="00712196">
        <w:t>15</w:t>
      </w:r>
      <w:r w:rsidRPr="00636564">
        <w:t>).</w:t>
      </w:r>
    </w:p>
    <w:p w14:paraId="5BD7F49A" w14:textId="77777777" w:rsidR="00456FD5" w:rsidRPr="00636564" w:rsidRDefault="00456FD5" w:rsidP="00456FD5">
      <w:pPr>
        <w:rPr>
          <w:b/>
          <w:bCs/>
        </w:rPr>
      </w:pPr>
      <w:r w:rsidRPr="00636564">
        <w:rPr>
          <w:b/>
          <w:bCs/>
        </w:rPr>
        <w:t xml:space="preserve">WIRO clause 8(b)(iii) requires us to have regard to the ‘provision to regulated entities of incentives to pursue efficiency improvements’.  </w:t>
      </w:r>
    </w:p>
    <w:p w14:paraId="06CF9AB4" w14:textId="77777777" w:rsidR="00456FD5" w:rsidRPr="00636564" w:rsidRDefault="00456FD5" w:rsidP="00456FD5">
      <w:r w:rsidRPr="00636564">
        <w:t>We consider that the delivery of outcomes which reflect customer service priorities at an efficient cost provides regulated entities incentives to pursue efficiency improvements. The following chapters and sections of our draft decision involved consideration of this factor:</w:t>
      </w:r>
    </w:p>
    <w:p w14:paraId="656EAE4D" w14:textId="77777777" w:rsidR="00456FD5" w:rsidRPr="00636564" w:rsidRDefault="00456FD5" w:rsidP="00821A3A">
      <w:pPr>
        <w:pStyle w:val="ListBullet"/>
      </w:pPr>
      <w:r w:rsidRPr="00636564">
        <w:t>Our consideration of customer engagement (Section 3.1).</w:t>
      </w:r>
    </w:p>
    <w:p w14:paraId="6221A1AD" w14:textId="77777777" w:rsidR="00456FD5" w:rsidRPr="00636564" w:rsidRDefault="00456FD5" w:rsidP="00821A3A">
      <w:pPr>
        <w:pStyle w:val="ListBullet"/>
      </w:pPr>
      <w:r w:rsidRPr="00636564">
        <w:t xml:space="preserve">Our consideration of outcomes (Section 3.2). </w:t>
      </w:r>
    </w:p>
    <w:p w14:paraId="3F4464A8" w14:textId="77777777" w:rsidR="00456FD5" w:rsidRPr="00636564" w:rsidRDefault="00456FD5" w:rsidP="00821A3A">
      <w:pPr>
        <w:pStyle w:val="ListBullet"/>
      </w:pPr>
      <w:r w:rsidRPr="00636564">
        <w:t>Our assessment of the revenue requirement (Chapter 4).</w:t>
      </w:r>
    </w:p>
    <w:p w14:paraId="3DD64FB5" w14:textId="77777777" w:rsidR="00456FD5" w:rsidRPr="00636564" w:rsidRDefault="00456FD5" w:rsidP="00821A3A">
      <w:pPr>
        <w:pStyle w:val="ListBullet"/>
      </w:pPr>
      <w:r w:rsidRPr="00636564">
        <w:t>Our assessment of efficient operating expenditure (Section 4.1) and capital expenditure (Section 4.2).</w:t>
      </w:r>
    </w:p>
    <w:p w14:paraId="61BCA1F4" w14:textId="1F5DD4D9" w:rsidR="00456FD5" w:rsidRPr="00636564" w:rsidRDefault="00456FD5" w:rsidP="00821A3A">
      <w:pPr>
        <w:pStyle w:val="ListBullet"/>
      </w:pPr>
      <w:r w:rsidRPr="00636564">
        <w:t>Our assessment of tariffs (</w:t>
      </w:r>
      <w:r w:rsidR="00BE0F17">
        <w:t>c</w:t>
      </w:r>
      <w:r w:rsidR="00326747">
        <w:t>hapters 7, 8, 9, 10, and 11</w:t>
      </w:r>
      <w:r w:rsidRPr="00636564">
        <w:t>).</w:t>
      </w:r>
    </w:p>
    <w:p w14:paraId="1C9DE742" w14:textId="77777777" w:rsidR="00456FD5" w:rsidRPr="00636564" w:rsidRDefault="00456FD5" w:rsidP="00456FD5">
      <w:r w:rsidRPr="00636564">
        <w:t>Additionally, our pricing approach allows a water corporation to retain the benefits of any cost efficiencies it generates until the end of its regulatory period. In other words, a water corporation has an incentive to outperform the operating and capital expenditure benchmarks we accept for the purpose of estimating its revenue requirement and prices. This is consistent with providing incentives for water corporations to pursue efficiency improvements.</w:t>
      </w:r>
    </w:p>
    <w:p w14:paraId="70BD8BBE" w14:textId="77777777" w:rsidR="00456FD5" w:rsidRPr="00636564" w:rsidRDefault="00456FD5" w:rsidP="00456FD5">
      <w:pPr>
        <w:rPr>
          <w:b/>
          <w:bCs/>
        </w:rPr>
      </w:pPr>
      <w:r w:rsidRPr="00636564">
        <w:rPr>
          <w:b/>
          <w:bCs/>
        </w:rPr>
        <w:t xml:space="preserve">ESC Act section 8A(1)(a) requires us to have regard to ‘efficiency in the industry and incentives for long term investment’.  </w:t>
      </w:r>
    </w:p>
    <w:p w14:paraId="32A6DDC7" w14:textId="77777777" w:rsidR="00456FD5" w:rsidRPr="00636564" w:rsidRDefault="00456FD5" w:rsidP="00456FD5">
      <w:r w:rsidRPr="00636564">
        <w:t xml:space="preserve">We consider that adopting forecasts of efficient expenditure that reflect the service priorities of the customers of each water corporation promotes efficiency in the water industry. </w:t>
      </w:r>
    </w:p>
    <w:p w14:paraId="4696E88B" w14:textId="77777777" w:rsidR="00456FD5" w:rsidRPr="00636564" w:rsidRDefault="00456FD5" w:rsidP="00456FD5">
      <w:r w:rsidRPr="00636564">
        <w:lastRenderedPageBreak/>
        <w:t>The following chapters and sections of our draft decision involved consideration of this factor:</w:t>
      </w:r>
    </w:p>
    <w:p w14:paraId="266400C1" w14:textId="77777777" w:rsidR="00456FD5" w:rsidRPr="00636564" w:rsidRDefault="00456FD5" w:rsidP="00821A3A">
      <w:pPr>
        <w:pStyle w:val="ListBullet"/>
      </w:pPr>
      <w:r w:rsidRPr="00636564">
        <w:t>Our consideration of customer engagement (Section 3.1).</w:t>
      </w:r>
    </w:p>
    <w:p w14:paraId="657DA0F0" w14:textId="77777777" w:rsidR="00456FD5" w:rsidRPr="00636564" w:rsidRDefault="00456FD5" w:rsidP="00821A3A">
      <w:pPr>
        <w:pStyle w:val="ListBullet"/>
      </w:pPr>
      <w:r w:rsidRPr="00636564">
        <w:t>Our consideration of outcomes (Section 3.2).</w:t>
      </w:r>
    </w:p>
    <w:p w14:paraId="1F93F334" w14:textId="77777777" w:rsidR="00456FD5" w:rsidRPr="00636564" w:rsidRDefault="00456FD5" w:rsidP="00821A3A">
      <w:pPr>
        <w:pStyle w:val="ListBullet"/>
      </w:pPr>
      <w:r w:rsidRPr="00636564">
        <w:t>Our assessment of the revenue requirement (Chapter 4).</w:t>
      </w:r>
    </w:p>
    <w:p w14:paraId="09E5C778" w14:textId="77777777" w:rsidR="00456FD5" w:rsidRPr="00636564" w:rsidRDefault="00456FD5" w:rsidP="00821A3A">
      <w:pPr>
        <w:pStyle w:val="ListBullet"/>
      </w:pPr>
      <w:r w:rsidRPr="00636564">
        <w:t>Our assessment of efficient operating expenditure (Section 4.1) and capital expenditure (Section 4.2).</w:t>
      </w:r>
    </w:p>
    <w:p w14:paraId="4F21F533" w14:textId="6DBB4752" w:rsidR="00456FD5" w:rsidRPr="00636564" w:rsidRDefault="00456FD5" w:rsidP="00821A3A">
      <w:pPr>
        <w:pStyle w:val="ListBullet"/>
      </w:pPr>
      <w:r w:rsidRPr="00636564">
        <w:t xml:space="preserve">Our assessment of tariffs </w:t>
      </w:r>
      <w:r w:rsidR="007D4BE5">
        <w:t>(</w:t>
      </w:r>
      <w:r w:rsidR="001E26AB">
        <w:t>c</w:t>
      </w:r>
      <w:r w:rsidR="0090031D">
        <w:t>hapters 7, 8, 9, 10, and 11</w:t>
      </w:r>
      <w:r w:rsidR="004B46C2" w:rsidRPr="00636564">
        <w:t>)</w:t>
      </w:r>
      <w:r w:rsidR="004B46C2" w:rsidRPr="00636564" w:rsidDel="0090031D">
        <w:t>.</w:t>
      </w:r>
    </w:p>
    <w:p w14:paraId="64C87E9D" w14:textId="77777777" w:rsidR="00456FD5" w:rsidRPr="00636564" w:rsidRDefault="00456FD5" w:rsidP="00456FD5">
      <w:r w:rsidRPr="00636564">
        <w:t>We have had regard to incentives for long term investment by adopting:</w:t>
      </w:r>
    </w:p>
    <w:p w14:paraId="7AAE4C1C" w14:textId="3A900FEB" w:rsidR="00456FD5" w:rsidRPr="00636564" w:rsidRDefault="00456FD5" w:rsidP="00821A3A">
      <w:pPr>
        <w:pStyle w:val="ListBullet"/>
      </w:pPr>
      <w:r w:rsidRPr="00636564">
        <w:t xml:space="preserve">A </w:t>
      </w:r>
      <w:r w:rsidR="005E22D6">
        <w:t>10</w:t>
      </w:r>
      <w:r w:rsidRPr="00636564">
        <w:t>-year trailing average approach to estimating the benchmark cost of debt (see Section</w:t>
      </w:r>
      <w:r>
        <w:t> </w:t>
      </w:r>
      <w:r w:rsidRPr="00636564">
        <w:t xml:space="preserve">4.4.1). </w:t>
      </w:r>
    </w:p>
    <w:p w14:paraId="0BAAD0C7" w14:textId="74A6ED3D" w:rsidR="00456FD5" w:rsidRPr="00636564" w:rsidRDefault="00456FD5" w:rsidP="00821A3A">
      <w:pPr>
        <w:pStyle w:val="ListBullet"/>
      </w:pPr>
      <w:r w:rsidRPr="00636564">
        <w:t xml:space="preserve">A regulatory rate of return that we consider will enable </w:t>
      </w:r>
      <w:r w:rsidR="00D1620B">
        <w:t>Goulburn-Murray Water</w:t>
      </w:r>
      <w:r w:rsidRPr="00636564">
        <w:t xml:space="preserve"> to recover borrowing costs associated with its investment in </w:t>
      </w:r>
      <w:r w:rsidR="000D6834" w:rsidRPr="00636564">
        <w:t>services and</w:t>
      </w:r>
      <w:r w:rsidRPr="00636564">
        <w:t xml:space="preserve"> generate a return on assets.</w:t>
      </w:r>
      <w:r>
        <w:rPr>
          <w:rStyle w:val="FootnoteReference"/>
        </w:rPr>
        <w:footnoteReference w:id="118"/>
      </w:r>
      <w:r w:rsidRPr="00636564">
        <w:t xml:space="preserve"> </w:t>
      </w:r>
    </w:p>
    <w:p w14:paraId="3318067C" w14:textId="77777777" w:rsidR="00456FD5" w:rsidRPr="00636564" w:rsidRDefault="00456FD5" w:rsidP="00456FD5">
      <w:pPr>
        <w:rPr>
          <w:b/>
          <w:bCs/>
        </w:rPr>
      </w:pPr>
      <w:r w:rsidRPr="00636564">
        <w:rPr>
          <w:b/>
          <w:bCs/>
        </w:rPr>
        <w:t xml:space="preserve">ESC Act section 8A(1)(b) requires us to have regard to the ‘financial viability of the industry’.  </w:t>
      </w:r>
    </w:p>
    <w:p w14:paraId="3BBD929F" w14:textId="77777777" w:rsidR="00456FD5" w:rsidRPr="00636564" w:rsidRDefault="00456FD5" w:rsidP="00456FD5">
      <w:r w:rsidRPr="00636564">
        <w:t>We consider that the financial viability of the industry is secured by approving prices that provide a high degree of certainty that each water corporation can maintain an investment grade credit rating. Further, prices should enable each corporation to generate cash flow to service financing costs arising from investments to meet service expectations.</w:t>
      </w:r>
    </w:p>
    <w:p w14:paraId="72AEB3DA" w14:textId="11DA7725" w:rsidR="00456FD5" w:rsidRPr="00636564" w:rsidRDefault="00456FD5" w:rsidP="00456FD5">
      <w:r w:rsidRPr="00636564">
        <w:t xml:space="preserve">We have had regard to this matter in Chapter </w:t>
      </w:r>
      <w:r w:rsidR="0021319C">
        <w:t>15</w:t>
      </w:r>
      <w:r w:rsidRPr="00636564">
        <w:t>.</w:t>
      </w:r>
    </w:p>
    <w:p w14:paraId="3336A716" w14:textId="77777777" w:rsidR="00456FD5" w:rsidRPr="00636564" w:rsidRDefault="00456FD5" w:rsidP="00456FD5">
      <w:pPr>
        <w:rPr>
          <w:b/>
          <w:bCs/>
        </w:rPr>
      </w:pPr>
      <w:r w:rsidRPr="00636564">
        <w:rPr>
          <w:b/>
          <w:bCs/>
        </w:rPr>
        <w:t xml:space="preserve">ESC Act section 33(3)(b) requires us to have regard to the ‘efficient costs of producing or supplying regulated goods or services and of complying with relevant legislation and relevant health, safety, environmental and social legislation applying to the regulated industry’.  </w:t>
      </w:r>
    </w:p>
    <w:p w14:paraId="52B4B841" w14:textId="26834A97" w:rsidR="00456FD5" w:rsidRPr="00636564" w:rsidRDefault="00456FD5" w:rsidP="00456FD5">
      <w:r w:rsidRPr="00636564">
        <w:t xml:space="preserve">In preparing our draft decision, we have had regard to the extent </w:t>
      </w:r>
      <w:r w:rsidR="00D1620B">
        <w:t>Goulburn-Murray Water</w:t>
      </w:r>
      <w:r w:rsidRPr="00636564">
        <w:t xml:space="preserve"> has demonstrated its forecasts reflect efficient costs to deliver services valued by customers, and to deliver on relevant legislation and relevant health, safety, environmental and social obligations.</w:t>
      </w:r>
    </w:p>
    <w:p w14:paraId="7A0D7777" w14:textId="77777777" w:rsidR="00456FD5" w:rsidRPr="00636564" w:rsidRDefault="00456FD5" w:rsidP="00456FD5">
      <w:r w:rsidRPr="00636564">
        <w:t>The following chapters and sections of our draft decision involved consideration of this factor:</w:t>
      </w:r>
    </w:p>
    <w:p w14:paraId="71AD18F9" w14:textId="77777777" w:rsidR="00456FD5" w:rsidRPr="00636564" w:rsidRDefault="00456FD5" w:rsidP="00821A3A">
      <w:pPr>
        <w:pStyle w:val="ListBullet"/>
      </w:pPr>
      <w:r w:rsidRPr="00636564">
        <w:t>Our consideration of customer engagement (Section 3.1).</w:t>
      </w:r>
    </w:p>
    <w:p w14:paraId="18A3F555" w14:textId="77777777" w:rsidR="00456FD5" w:rsidRPr="00636564" w:rsidRDefault="00456FD5" w:rsidP="00821A3A">
      <w:pPr>
        <w:pStyle w:val="ListBullet"/>
      </w:pPr>
      <w:r w:rsidRPr="00636564">
        <w:t>Our assessment of the revenue requirement (Chapter 4).</w:t>
      </w:r>
    </w:p>
    <w:p w14:paraId="65076E81" w14:textId="77777777" w:rsidR="00456FD5" w:rsidRPr="00636564" w:rsidRDefault="00456FD5" w:rsidP="00821A3A">
      <w:pPr>
        <w:pStyle w:val="ListBullet"/>
      </w:pPr>
      <w:r w:rsidRPr="00636564">
        <w:t>Our assessment of efficient operating expenditure (Section 4.1) and capital expenditure (Section 4.2).</w:t>
      </w:r>
    </w:p>
    <w:p w14:paraId="692746A5" w14:textId="44AC015C" w:rsidR="00456FD5" w:rsidRPr="00636564" w:rsidRDefault="00456FD5" w:rsidP="00821A3A">
      <w:pPr>
        <w:pStyle w:val="ListBullet"/>
      </w:pPr>
      <w:r w:rsidRPr="00636564">
        <w:lastRenderedPageBreak/>
        <w:t>Our assessment of tariffs (</w:t>
      </w:r>
      <w:r w:rsidR="00B57AAD">
        <w:t>c</w:t>
      </w:r>
      <w:r w:rsidR="00C939BB">
        <w:t>hapters 7, 8, 9, 10, and 11</w:t>
      </w:r>
      <w:r w:rsidRPr="00636564">
        <w:t>).</w:t>
      </w:r>
    </w:p>
    <w:p w14:paraId="22CE047B" w14:textId="699EBD4C" w:rsidR="00456FD5" w:rsidRPr="00636564" w:rsidRDefault="00456FD5" w:rsidP="00456FD5">
      <w:pPr>
        <w:pStyle w:val="Heading2"/>
      </w:pPr>
      <w:bookmarkStart w:id="223" w:name="_Toc122514887"/>
      <w:bookmarkStart w:id="224" w:name="_Toc149223966"/>
      <w:bookmarkStart w:id="225" w:name="_Toc150866278"/>
      <w:bookmarkStart w:id="226" w:name="_Toc160038361"/>
      <w:bookmarkStart w:id="227" w:name="_Toc161400078"/>
      <w:r w:rsidRPr="00636564">
        <w:t>Industry specific matters</w:t>
      </w:r>
      <w:bookmarkEnd w:id="223"/>
      <w:bookmarkEnd w:id="224"/>
      <w:bookmarkEnd w:id="225"/>
      <w:bookmarkEnd w:id="226"/>
      <w:bookmarkEnd w:id="227"/>
    </w:p>
    <w:p w14:paraId="548EA2AC" w14:textId="77777777" w:rsidR="00456FD5" w:rsidRPr="00636564" w:rsidRDefault="00456FD5" w:rsidP="00456FD5">
      <w:pPr>
        <w:rPr>
          <w:b/>
          <w:bCs/>
        </w:rPr>
      </w:pPr>
      <w:r w:rsidRPr="00636564">
        <w:rPr>
          <w:b/>
          <w:bCs/>
        </w:rPr>
        <w:t xml:space="preserve">ESC Act section 33(3)(a) requires us to have regard to the ‘particular circumstances of the regulated industry and the prescribed goods and services for which the determination is being made’.  </w:t>
      </w:r>
    </w:p>
    <w:p w14:paraId="7F037EF7" w14:textId="77777777" w:rsidR="00456FD5" w:rsidRPr="00636564" w:rsidRDefault="00456FD5" w:rsidP="00456FD5">
      <w:r w:rsidRPr="00636564">
        <w:t>Our pricing approach allows each water corporation to propose outcomes, tariff structures and expenditure that reflect its particular circumstances. We consider that taking into account the particular circumstances of each water corporation is consistent with taking into account the particular circumstances of the water industry.</w:t>
      </w:r>
    </w:p>
    <w:p w14:paraId="442ACBCE" w14:textId="77777777" w:rsidR="00456FD5" w:rsidRPr="00636564" w:rsidRDefault="00456FD5" w:rsidP="00456FD5">
      <w:r w:rsidRPr="00636564">
        <w:t>The following chapters and sections of our draft decision involved consideration of this factor:</w:t>
      </w:r>
    </w:p>
    <w:p w14:paraId="38D98444" w14:textId="77777777" w:rsidR="00456FD5" w:rsidRPr="00636564" w:rsidRDefault="00456FD5" w:rsidP="00821A3A">
      <w:pPr>
        <w:pStyle w:val="ListBullet"/>
      </w:pPr>
      <w:r w:rsidRPr="00636564">
        <w:t>Our consideration of customer engagement (Section 3.1).</w:t>
      </w:r>
    </w:p>
    <w:p w14:paraId="0BB3E3CC" w14:textId="77777777" w:rsidR="00456FD5" w:rsidRPr="00636564" w:rsidRDefault="00456FD5" w:rsidP="00821A3A">
      <w:pPr>
        <w:pStyle w:val="ListBullet"/>
      </w:pPr>
      <w:r w:rsidRPr="00636564">
        <w:t>Our consideration of outcomes (Section 3.2).</w:t>
      </w:r>
    </w:p>
    <w:p w14:paraId="0F36BA57" w14:textId="77777777" w:rsidR="00456FD5" w:rsidRPr="00636564" w:rsidRDefault="00456FD5" w:rsidP="00821A3A">
      <w:pPr>
        <w:pStyle w:val="ListBullet"/>
      </w:pPr>
      <w:r w:rsidRPr="00636564">
        <w:t>Our assessment of the revenue requirement (Chapter 4).</w:t>
      </w:r>
    </w:p>
    <w:p w14:paraId="41975C0B" w14:textId="77777777" w:rsidR="00456FD5" w:rsidRPr="00636564" w:rsidRDefault="00456FD5" w:rsidP="00821A3A">
      <w:pPr>
        <w:pStyle w:val="ListBullet"/>
      </w:pPr>
      <w:r w:rsidRPr="00636564">
        <w:t>Our assessment of efficient operating expenditure (Section 4.1) and capital expenditure (Section 4.2).</w:t>
      </w:r>
    </w:p>
    <w:p w14:paraId="66B2F3ED" w14:textId="15BD07E8" w:rsidR="00456FD5" w:rsidRPr="00636564" w:rsidRDefault="00456FD5" w:rsidP="00821A3A">
      <w:pPr>
        <w:pStyle w:val="ListBullet"/>
      </w:pPr>
      <w:r w:rsidRPr="00636564">
        <w:t>Our assessment of tariffs (</w:t>
      </w:r>
      <w:r w:rsidR="00B57AAD">
        <w:t>c</w:t>
      </w:r>
      <w:r w:rsidR="00222F51">
        <w:t>hapters 7, 8, 9, 10, and 11</w:t>
      </w:r>
      <w:r w:rsidRPr="00636564">
        <w:t>).</w:t>
      </w:r>
    </w:p>
    <w:p w14:paraId="7A44B472" w14:textId="0231AFFD" w:rsidR="00456FD5" w:rsidRPr="00636564" w:rsidRDefault="00456FD5" w:rsidP="00456FD5">
      <w:r w:rsidRPr="00636564">
        <w:t xml:space="preserve">We have had regard to the prescribed services listed in the WIRO in making our </w:t>
      </w:r>
      <w:r w:rsidR="00F772CD">
        <w:t xml:space="preserve">draft </w:t>
      </w:r>
      <w:r w:rsidRPr="00636564">
        <w:t xml:space="preserve">decision. This includes adopting operating and capital expenditure benchmarks that we consider will allow </w:t>
      </w:r>
      <w:r w:rsidR="00D1620B">
        <w:t>Goulburn-Murray Water</w:t>
      </w:r>
      <w:r w:rsidRPr="00636564">
        <w:t xml:space="preserve"> to deliver services that are covered by the prescribed services listed in the WIRO. </w:t>
      </w:r>
    </w:p>
    <w:p w14:paraId="38CB6217" w14:textId="77777777" w:rsidR="00456FD5" w:rsidRPr="00636564" w:rsidRDefault="00456FD5" w:rsidP="00456FD5">
      <w:pPr>
        <w:rPr>
          <w:b/>
          <w:bCs/>
        </w:rPr>
      </w:pPr>
      <w:r w:rsidRPr="00636564">
        <w:rPr>
          <w:b/>
          <w:bCs/>
        </w:rPr>
        <w:t xml:space="preserve">ESC Act section 33(3)(c) requires us to have regard to the ‘return on assets in the regulated industry’.  </w:t>
      </w:r>
    </w:p>
    <w:p w14:paraId="6D7EDCC0" w14:textId="6F145214" w:rsidR="00456FD5" w:rsidRPr="00636564" w:rsidRDefault="00456FD5" w:rsidP="00456FD5">
      <w:r w:rsidRPr="00636564">
        <w:t xml:space="preserve">Our draft decision provides for </w:t>
      </w:r>
      <w:r w:rsidR="00D1620B">
        <w:t>Goulburn-Murray Water</w:t>
      </w:r>
      <w:r w:rsidRPr="00636564">
        <w:t xml:space="preserve"> to generate a return on assets through:</w:t>
      </w:r>
    </w:p>
    <w:p w14:paraId="36E7AE22" w14:textId="77777777" w:rsidR="00456FD5" w:rsidRPr="00636564" w:rsidRDefault="00456FD5" w:rsidP="00821A3A">
      <w:pPr>
        <w:pStyle w:val="ListBullet"/>
      </w:pPr>
      <w:r w:rsidRPr="00636564">
        <w:t>Our consideration of the regulatory asset base (Section 4.3).</w:t>
      </w:r>
    </w:p>
    <w:p w14:paraId="711015E8" w14:textId="77777777" w:rsidR="00456FD5" w:rsidRPr="00636564" w:rsidRDefault="00456FD5" w:rsidP="00821A3A">
      <w:pPr>
        <w:pStyle w:val="ListBullet"/>
      </w:pPr>
      <w:r w:rsidRPr="00636564">
        <w:t>Our consideration of the cost of debt (Section 4.4.1).</w:t>
      </w:r>
    </w:p>
    <w:p w14:paraId="11255108" w14:textId="77777777" w:rsidR="00456FD5" w:rsidRPr="00636564" w:rsidRDefault="00456FD5" w:rsidP="00821A3A">
      <w:pPr>
        <w:pStyle w:val="ListBullet"/>
      </w:pPr>
      <w:r w:rsidRPr="00636564">
        <w:t>Our consideration of the return on equity (Section 4.4.2).</w:t>
      </w:r>
    </w:p>
    <w:p w14:paraId="5FA25B2C" w14:textId="77777777" w:rsidR="00456FD5" w:rsidRPr="00636564" w:rsidRDefault="00456FD5" w:rsidP="00456FD5">
      <w:pPr>
        <w:keepNext/>
        <w:rPr>
          <w:b/>
          <w:bCs/>
        </w:rPr>
      </w:pPr>
      <w:r w:rsidRPr="00636564">
        <w:rPr>
          <w:b/>
          <w:bCs/>
        </w:rPr>
        <w:t xml:space="preserve">ESC Act Section 33(3)(d) requires us to have regard to ‘any relevant interstate and international benchmarks for prices, costs and return on assets in comparable industries’.  </w:t>
      </w:r>
    </w:p>
    <w:p w14:paraId="72909AD2" w14:textId="77777777" w:rsidR="00456FD5" w:rsidRPr="00636564" w:rsidRDefault="00456FD5" w:rsidP="00456FD5">
      <w:r w:rsidRPr="00636564">
        <w:t>In assessing costs, prices and return on assets we have had regard to relevant interstate benchmarks:</w:t>
      </w:r>
    </w:p>
    <w:p w14:paraId="30906373" w14:textId="77777777" w:rsidR="00456FD5" w:rsidRPr="004E635E" w:rsidRDefault="00456FD5" w:rsidP="00821A3A">
      <w:pPr>
        <w:pStyle w:val="ListBullet"/>
      </w:pPr>
      <w:r w:rsidRPr="004E635E">
        <w:lastRenderedPageBreak/>
        <w:t>indicative bills paid by customers in other jurisdictions in Australia</w:t>
      </w:r>
      <w:r w:rsidRPr="00E90D62">
        <w:rPr>
          <w:rStyle w:val="FootnoteReference"/>
          <w:vertAlign w:val="baseline"/>
        </w:rPr>
        <w:footnoteReference w:id="119"/>
      </w:r>
      <w:r w:rsidRPr="004E635E">
        <w:t xml:space="preserve">  </w:t>
      </w:r>
    </w:p>
    <w:p w14:paraId="2E4401AE" w14:textId="77777777" w:rsidR="00456FD5" w:rsidRPr="004E635E" w:rsidRDefault="00456FD5" w:rsidP="00821A3A">
      <w:pPr>
        <w:pStyle w:val="ListBullet"/>
      </w:pPr>
      <w:r w:rsidRPr="004E635E">
        <w:t>operating and capital expenditure costs per connection throughout Australia</w:t>
      </w:r>
      <w:r w:rsidRPr="00E90D62">
        <w:rPr>
          <w:rStyle w:val="FootnoteReference"/>
          <w:vertAlign w:val="baseline"/>
        </w:rPr>
        <w:footnoteReference w:id="120"/>
      </w:r>
      <w:r w:rsidRPr="004E635E">
        <w:t xml:space="preserve"> </w:t>
      </w:r>
    </w:p>
    <w:p w14:paraId="02012DF5" w14:textId="77777777" w:rsidR="00456FD5" w:rsidRPr="004E635E" w:rsidRDefault="00456FD5" w:rsidP="00821A3A">
      <w:pPr>
        <w:pStyle w:val="ListBullet"/>
      </w:pPr>
      <w:r w:rsidRPr="004E635E">
        <w:t>tariff structures applied by water corporations throughout Australia</w:t>
      </w:r>
      <w:r w:rsidRPr="00E90D62">
        <w:rPr>
          <w:rStyle w:val="FootnoteReference"/>
          <w:vertAlign w:val="baseline"/>
        </w:rPr>
        <w:footnoteReference w:id="121"/>
      </w:r>
      <w:r w:rsidRPr="004E635E">
        <w:t xml:space="preserve"> </w:t>
      </w:r>
    </w:p>
    <w:p w14:paraId="024CB6E5" w14:textId="77777777" w:rsidR="00456FD5" w:rsidRPr="004E635E" w:rsidRDefault="00456FD5" w:rsidP="00821A3A">
      <w:pPr>
        <w:pStyle w:val="ListBullet"/>
      </w:pPr>
      <w:r w:rsidRPr="004E635E">
        <w:t>the regulatory rate of return set by other regulators.</w:t>
      </w:r>
      <w:r w:rsidRPr="00E90D62">
        <w:rPr>
          <w:rStyle w:val="FootnoteReference"/>
          <w:vertAlign w:val="baseline"/>
        </w:rPr>
        <w:footnoteReference w:id="122"/>
      </w:r>
      <w:r w:rsidRPr="004E635E">
        <w:t xml:space="preserve">  </w:t>
      </w:r>
    </w:p>
    <w:p w14:paraId="54112D15" w14:textId="766DDA49" w:rsidR="00456FD5" w:rsidRPr="00636564" w:rsidRDefault="00456FD5" w:rsidP="00456FD5">
      <w:r w:rsidRPr="00636564">
        <w:t xml:space="preserve">We are not aware of any international benchmarks that are relevant to our </w:t>
      </w:r>
      <w:r w:rsidR="0018043B">
        <w:t xml:space="preserve">draft </w:t>
      </w:r>
      <w:r w:rsidRPr="00636564">
        <w:t>decision.</w:t>
      </w:r>
    </w:p>
    <w:p w14:paraId="31FB70D1" w14:textId="77777777" w:rsidR="00456FD5" w:rsidRPr="00636564" w:rsidRDefault="00456FD5" w:rsidP="00456FD5">
      <w:pPr>
        <w:rPr>
          <w:b/>
          <w:bCs/>
        </w:rPr>
      </w:pPr>
      <w:r w:rsidRPr="00636564">
        <w:rPr>
          <w:b/>
          <w:bCs/>
        </w:rPr>
        <w:t xml:space="preserve">WI Act section 4C(b) requires us to ‘ensure that regulatory decision making and regulatory processes have regard to any differences between the operating environments of regulated entities’.  </w:t>
      </w:r>
    </w:p>
    <w:p w14:paraId="1623CD3B" w14:textId="77777777" w:rsidR="00456FD5" w:rsidRPr="00636564" w:rsidRDefault="00456FD5" w:rsidP="00456FD5">
      <w:r w:rsidRPr="00636564">
        <w:t xml:space="preserve">Our pricing approach allows each water corporation to propose outcomes, a revenue requirement, expenditure and tariffs that reflect its particular circumstances and operating environment. </w:t>
      </w:r>
    </w:p>
    <w:p w14:paraId="768518F6" w14:textId="77777777" w:rsidR="00456FD5" w:rsidRPr="00636564" w:rsidRDefault="00456FD5" w:rsidP="00456FD5">
      <w:r w:rsidRPr="00636564">
        <w:t>The following chapters and sections of our draft decision involved consideration of this factor:</w:t>
      </w:r>
    </w:p>
    <w:p w14:paraId="6B1B8EF9" w14:textId="77777777" w:rsidR="00456FD5" w:rsidRPr="00636564" w:rsidRDefault="00456FD5" w:rsidP="00821A3A">
      <w:pPr>
        <w:pStyle w:val="ListBullet"/>
      </w:pPr>
      <w:r w:rsidRPr="00636564">
        <w:t>Our consideration of customer engagement (Section 3.1).</w:t>
      </w:r>
    </w:p>
    <w:p w14:paraId="1B48DF2B" w14:textId="77777777" w:rsidR="00456FD5" w:rsidRPr="00636564" w:rsidRDefault="00456FD5" w:rsidP="00821A3A">
      <w:pPr>
        <w:pStyle w:val="ListBullet"/>
      </w:pPr>
      <w:r w:rsidRPr="00636564">
        <w:t>Our consideration of outcomes (Section 3.2).</w:t>
      </w:r>
    </w:p>
    <w:p w14:paraId="55A64013" w14:textId="77777777" w:rsidR="00456FD5" w:rsidRPr="00636564" w:rsidRDefault="00456FD5" w:rsidP="00821A3A">
      <w:pPr>
        <w:pStyle w:val="ListBullet"/>
      </w:pPr>
      <w:r w:rsidRPr="00636564">
        <w:t>Our assessment of the revenue requirement (Chapter 4).</w:t>
      </w:r>
    </w:p>
    <w:p w14:paraId="65F4EF5E" w14:textId="77777777" w:rsidR="00456FD5" w:rsidRPr="00636564" w:rsidRDefault="00456FD5" w:rsidP="00821A3A">
      <w:pPr>
        <w:pStyle w:val="ListBullet"/>
      </w:pPr>
      <w:r w:rsidRPr="00636564">
        <w:t>Our assessment of efficient operating expenditure (Section 4.1) and capital expenditure (Section 4.2).</w:t>
      </w:r>
    </w:p>
    <w:p w14:paraId="008FDA85" w14:textId="0FE50ED3" w:rsidR="00456FD5" w:rsidRPr="00636564" w:rsidRDefault="00456FD5" w:rsidP="00821A3A">
      <w:pPr>
        <w:pStyle w:val="ListBullet"/>
      </w:pPr>
      <w:r w:rsidRPr="00636564">
        <w:t>Our assessment of tariffs (</w:t>
      </w:r>
      <w:r w:rsidR="00D6645E">
        <w:t>c</w:t>
      </w:r>
      <w:r w:rsidR="000A7C34">
        <w:t>hapters 7, 8, 9, 10, and 11</w:t>
      </w:r>
      <w:r w:rsidR="00F27D6E" w:rsidRPr="00636564">
        <w:t>)</w:t>
      </w:r>
      <w:r w:rsidR="00F27D6E" w:rsidRPr="00636564" w:rsidDel="000A7C34">
        <w:t>.</w:t>
      </w:r>
    </w:p>
    <w:p w14:paraId="29BECCFA" w14:textId="336F678D" w:rsidR="00456FD5" w:rsidRPr="00636564" w:rsidRDefault="00456FD5" w:rsidP="00456FD5">
      <w:r w:rsidRPr="00636564">
        <w:t xml:space="preserve">Our price review also considers the views of stakeholders affected by </w:t>
      </w:r>
      <w:r w:rsidR="00D1620B">
        <w:t>Goulburn-Murray Water</w:t>
      </w:r>
      <w:r w:rsidRPr="00636564">
        <w:t>’s proposals, including through submissions and public meetings.</w:t>
      </w:r>
    </w:p>
    <w:p w14:paraId="17CA5031" w14:textId="77777777" w:rsidR="00456FD5" w:rsidRPr="00636564" w:rsidRDefault="00456FD5" w:rsidP="00456FD5">
      <w:pPr>
        <w:pStyle w:val="Heading2"/>
      </w:pPr>
      <w:bookmarkStart w:id="228" w:name="_Toc122514888"/>
      <w:bookmarkStart w:id="229" w:name="_Toc149223967"/>
      <w:bookmarkStart w:id="230" w:name="_Toc150866279"/>
      <w:bookmarkStart w:id="231" w:name="_Toc160038362"/>
      <w:bookmarkStart w:id="232" w:name="_Toc161400079"/>
      <w:r w:rsidRPr="00636564">
        <w:lastRenderedPageBreak/>
        <w:t>Customer matters</w:t>
      </w:r>
      <w:bookmarkEnd w:id="228"/>
      <w:bookmarkEnd w:id="229"/>
      <w:bookmarkEnd w:id="230"/>
      <w:bookmarkEnd w:id="231"/>
      <w:bookmarkEnd w:id="232"/>
    </w:p>
    <w:p w14:paraId="47731DB6" w14:textId="61766953" w:rsidR="00456FD5" w:rsidRPr="003D6992" w:rsidRDefault="00456FD5" w:rsidP="00456FD5">
      <w:pPr>
        <w:keepNext/>
        <w:keepLines/>
        <w:rPr>
          <w:b/>
          <w:bCs/>
        </w:rPr>
      </w:pPr>
      <w:r w:rsidRPr="003D6992">
        <w:rPr>
          <w:b/>
          <w:bCs/>
        </w:rPr>
        <w:t>ESC Act section 8(1) requires us to have regard to the fact that the ‘objective of the Commission is to promote the long</w:t>
      </w:r>
      <w:r w:rsidR="002E2DFC">
        <w:rPr>
          <w:b/>
          <w:bCs/>
        </w:rPr>
        <w:t>-</w:t>
      </w:r>
      <w:r w:rsidRPr="003D6992">
        <w:rPr>
          <w:b/>
          <w:bCs/>
        </w:rPr>
        <w:t xml:space="preserve">term interests of Victorian consumers’.  </w:t>
      </w:r>
    </w:p>
    <w:p w14:paraId="2647B043" w14:textId="77777777" w:rsidR="00456FD5" w:rsidRPr="00636564" w:rsidRDefault="00456FD5" w:rsidP="00456FD5">
      <w:r w:rsidRPr="00636564">
        <w:t>We consider that promoting efficiency in delivering outcomes that align to service priorities of customers is consistent with promoting the long</w:t>
      </w:r>
      <w:r>
        <w:noBreakHyphen/>
      </w:r>
      <w:r w:rsidRPr="00636564">
        <w:t>term interests of Victorian consumers.</w:t>
      </w:r>
    </w:p>
    <w:p w14:paraId="2741D41B" w14:textId="77777777" w:rsidR="00456FD5" w:rsidRPr="00636564" w:rsidRDefault="00456FD5" w:rsidP="00456FD5">
      <w:r w:rsidRPr="00636564">
        <w:t>The following chapters and sections of our draft decision involved consideration of this factor:</w:t>
      </w:r>
    </w:p>
    <w:p w14:paraId="2372DA84" w14:textId="77777777" w:rsidR="00456FD5" w:rsidRPr="00636564" w:rsidRDefault="00456FD5" w:rsidP="00821A3A">
      <w:pPr>
        <w:pStyle w:val="ListBullet"/>
      </w:pPr>
      <w:r w:rsidRPr="00636564">
        <w:t>Our consideration of customer engagement (Section 3.1).</w:t>
      </w:r>
    </w:p>
    <w:p w14:paraId="0835B11B" w14:textId="77777777" w:rsidR="00456FD5" w:rsidRPr="00636564" w:rsidRDefault="00456FD5" w:rsidP="00821A3A">
      <w:pPr>
        <w:pStyle w:val="ListBullet"/>
      </w:pPr>
      <w:r w:rsidRPr="00636564">
        <w:t>Our consideration of outcomes (Section 3.2).</w:t>
      </w:r>
    </w:p>
    <w:p w14:paraId="0ED8004D" w14:textId="77777777" w:rsidR="00456FD5" w:rsidRPr="00636564" w:rsidRDefault="00456FD5" w:rsidP="00821A3A">
      <w:pPr>
        <w:pStyle w:val="ListBullet"/>
      </w:pPr>
      <w:r w:rsidRPr="00636564">
        <w:t>Our assessment of the revenue requirement (Chapter 4).</w:t>
      </w:r>
    </w:p>
    <w:p w14:paraId="0F9032E3" w14:textId="77777777" w:rsidR="00456FD5" w:rsidRPr="00636564" w:rsidRDefault="00456FD5" w:rsidP="00821A3A">
      <w:pPr>
        <w:pStyle w:val="ListBullet"/>
      </w:pPr>
      <w:r w:rsidRPr="00636564">
        <w:t>Our assessment of efficient operating expenditure (Section 4.1) and capital expenditure (Section 4.2).</w:t>
      </w:r>
    </w:p>
    <w:p w14:paraId="29FCE8B0" w14:textId="16B38998" w:rsidR="00456FD5" w:rsidRPr="00636564" w:rsidRDefault="00456FD5" w:rsidP="00821A3A">
      <w:pPr>
        <w:pStyle w:val="ListBullet"/>
      </w:pPr>
      <w:r w:rsidRPr="00636564">
        <w:t xml:space="preserve">Our assessment of tariffs </w:t>
      </w:r>
      <w:r w:rsidR="00F15813">
        <w:t>c</w:t>
      </w:r>
      <w:r w:rsidR="000A7C34">
        <w:t>hapters 7, 8, 9, 10, and 11</w:t>
      </w:r>
      <w:r w:rsidR="00A13B09" w:rsidRPr="00636564">
        <w:t>)</w:t>
      </w:r>
      <w:r w:rsidR="00A13B09" w:rsidRPr="00636564" w:rsidDel="000A7C34">
        <w:t>.</w:t>
      </w:r>
    </w:p>
    <w:p w14:paraId="66776095" w14:textId="77777777" w:rsidR="00456FD5" w:rsidRPr="003D6992" w:rsidRDefault="00456FD5" w:rsidP="00456FD5">
      <w:pPr>
        <w:rPr>
          <w:b/>
          <w:bCs/>
        </w:rPr>
      </w:pPr>
      <w:r w:rsidRPr="003D6992">
        <w:rPr>
          <w:b/>
          <w:bCs/>
        </w:rPr>
        <w:t xml:space="preserve">ESC Act Section 8(2) requires us to ‘have regard to the price, quality and reliability of essential services’ in seeking to achieve the objective in section 8(1) of the ESC Act.  </w:t>
      </w:r>
    </w:p>
    <w:p w14:paraId="0CC11A42" w14:textId="77777777" w:rsidR="00456FD5" w:rsidRPr="00636564" w:rsidRDefault="00456FD5" w:rsidP="00456FD5">
      <w:r w:rsidRPr="00636564">
        <w:t xml:space="preserve">We consider that promoting efficiency in delivering outcomes that align to service priorities of customers, and allowing businesses to meet regulatory and policy obligations is consistent with this objective. </w:t>
      </w:r>
    </w:p>
    <w:p w14:paraId="67191F8E" w14:textId="77777777" w:rsidR="00456FD5" w:rsidRPr="00636564" w:rsidRDefault="00456FD5" w:rsidP="00456FD5">
      <w:r w:rsidRPr="00636564">
        <w:t>In terms of prices, the following chapters and sections of our draft decision involved consideration of this factor:</w:t>
      </w:r>
    </w:p>
    <w:p w14:paraId="49DC72A9" w14:textId="77777777" w:rsidR="00456FD5" w:rsidRPr="00636564" w:rsidRDefault="00456FD5" w:rsidP="00821A3A">
      <w:pPr>
        <w:pStyle w:val="ListBullet"/>
      </w:pPr>
      <w:r w:rsidRPr="00636564">
        <w:t>Our consideration of the revenue requirement (Chapter 4).</w:t>
      </w:r>
    </w:p>
    <w:p w14:paraId="2927A2B3" w14:textId="77777777" w:rsidR="00456FD5" w:rsidRPr="00636564" w:rsidRDefault="00456FD5" w:rsidP="00821A3A">
      <w:pPr>
        <w:pStyle w:val="ListBullet"/>
      </w:pPr>
      <w:r w:rsidRPr="00636564">
        <w:t>Our assessment of efficient operating expenditure (Section 4.1) and capital expenditure (Section 4.2).</w:t>
      </w:r>
    </w:p>
    <w:p w14:paraId="709976AE" w14:textId="77777777" w:rsidR="00456FD5" w:rsidRPr="00636564" w:rsidRDefault="00456FD5" w:rsidP="00821A3A">
      <w:pPr>
        <w:pStyle w:val="ListBullet"/>
      </w:pPr>
      <w:r w:rsidRPr="00636564">
        <w:t>Our consideration of demand (Section 5.1).</w:t>
      </w:r>
    </w:p>
    <w:p w14:paraId="4A6AE041" w14:textId="00B24A0A" w:rsidR="00456FD5" w:rsidRPr="00636564" w:rsidRDefault="00456FD5" w:rsidP="00821A3A">
      <w:pPr>
        <w:pStyle w:val="ListBullet"/>
      </w:pPr>
      <w:r w:rsidRPr="00636564">
        <w:t>Our consideration of tariffs (</w:t>
      </w:r>
      <w:r w:rsidR="00F15813">
        <w:t>c</w:t>
      </w:r>
      <w:r w:rsidR="000A7C34">
        <w:t>hapters 7, 8, 9, 10, and 11</w:t>
      </w:r>
      <w:r w:rsidRPr="00636564">
        <w:t>).</w:t>
      </w:r>
    </w:p>
    <w:p w14:paraId="0129FEF3" w14:textId="77777777" w:rsidR="00456FD5" w:rsidRPr="00636564" w:rsidRDefault="00456FD5" w:rsidP="00456FD5">
      <w:r w:rsidRPr="00636564">
        <w:t>In terms of the quality and reliability of services, the following sections of our draft decision involved consideration of this factor:</w:t>
      </w:r>
    </w:p>
    <w:p w14:paraId="432661E1" w14:textId="77777777" w:rsidR="00456FD5" w:rsidRPr="00636564" w:rsidRDefault="00456FD5" w:rsidP="00821A3A">
      <w:pPr>
        <w:pStyle w:val="ListBullet"/>
      </w:pPr>
      <w:r w:rsidRPr="00636564">
        <w:t>Our consideration of customer engagement (Section 3.1).</w:t>
      </w:r>
    </w:p>
    <w:p w14:paraId="3285D805" w14:textId="77777777" w:rsidR="00456FD5" w:rsidRPr="00636564" w:rsidRDefault="00456FD5" w:rsidP="00821A3A">
      <w:pPr>
        <w:pStyle w:val="ListBullet"/>
      </w:pPr>
      <w:r w:rsidRPr="00636564">
        <w:t>Our consideration of outcomes (Section 3.2).</w:t>
      </w:r>
    </w:p>
    <w:p w14:paraId="53BD109B" w14:textId="7AF5D373" w:rsidR="00456FD5" w:rsidRPr="003D6992" w:rsidRDefault="00456FD5" w:rsidP="00456FD5">
      <w:pPr>
        <w:keepNext/>
        <w:keepLines/>
        <w:rPr>
          <w:b/>
          <w:bCs/>
        </w:rPr>
      </w:pPr>
      <w:r w:rsidRPr="003D6992">
        <w:rPr>
          <w:b/>
          <w:bCs/>
        </w:rPr>
        <w:lastRenderedPageBreak/>
        <w:t xml:space="preserve">WIRO Clause 11(d)(i) requires us to have regard to whether </w:t>
      </w:r>
      <w:r w:rsidR="00D1620B">
        <w:rPr>
          <w:b/>
          <w:bCs/>
        </w:rPr>
        <w:t>Goulburn-Murray Water</w:t>
      </w:r>
      <w:r w:rsidRPr="003D6992">
        <w:rPr>
          <w:b/>
          <w:bCs/>
        </w:rPr>
        <w:t xml:space="preserve">’s prices ‘enable customers or potential customers of the regulated entity to easily understand prices charged by the regulated entity for prescribed services or the manner in which such prices are calculated, determined or otherwise regulated’.  </w:t>
      </w:r>
    </w:p>
    <w:p w14:paraId="1732ED84" w14:textId="645DE416" w:rsidR="00456FD5" w:rsidRPr="00636564" w:rsidRDefault="00456FD5" w:rsidP="00456FD5">
      <w:r w:rsidRPr="00636564">
        <w:t xml:space="preserve">We consider that the following matters are relevant when considering whether </w:t>
      </w:r>
      <w:r w:rsidR="00D1620B">
        <w:t>Goulburn-Murray Water</w:t>
      </w:r>
      <w:r w:rsidRPr="00636564">
        <w:t>’s prices enable customers or potential customers to easily understand prices, or the manner in which prices are calculated, determined or otherwise regulated:</w:t>
      </w:r>
    </w:p>
    <w:p w14:paraId="17CEA750" w14:textId="77777777" w:rsidR="00456FD5" w:rsidRPr="00636564" w:rsidRDefault="00456FD5" w:rsidP="00821A3A">
      <w:pPr>
        <w:pStyle w:val="ListBullet"/>
      </w:pPr>
      <w:r w:rsidRPr="00636564">
        <w:t xml:space="preserve">feedback from customers during a water corporation’s engagement </w:t>
      </w:r>
    </w:p>
    <w:p w14:paraId="6DF5710A" w14:textId="77777777" w:rsidR="00456FD5" w:rsidRPr="00636564" w:rsidRDefault="00456FD5" w:rsidP="00821A3A">
      <w:pPr>
        <w:pStyle w:val="ListBullet"/>
      </w:pPr>
      <w:r w:rsidRPr="00636564">
        <w:t>the structure of individual tariffs</w:t>
      </w:r>
    </w:p>
    <w:p w14:paraId="7BFE89AF" w14:textId="77777777" w:rsidR="00456FD5" w:rsidRPr="00636564" w:rsidRDefault="00456FD5" w:rsidP="00821A3A">
      <w:pPr>
        <w:pStyle w:val="ListBullet"/>
      </w:pPr>
      <w:r w:rsidRPr="00636564">
        <w:t>the proposed form of price control</w:t>
      </w:r>
    </w:p>
    <w:p w14:paraId="6EF504EB" w14:textId="77777777" w:rsidR="00456FD5" w:rsidRPr="00636564" w:rsidRDefault="00456FD5" w:rsidP="00821A3A">
      <w:pPr>
        <w:pStyle w:val="ListBullet"/>
      </w:pPr>
      <w:r w:rsidRPr="00636564">
        <w:t>any changes to tariffs and how water corporations explain them to customers.</w:t>
      </w:r>
    </w:p>
    <w:p w14:paraId="48CA9F6F" w14:textId="77777777" w:rsidR="00456FD5" w:rsidRPr="00636564" w:rsidRDefault="00456FD5" w:rsidP="00456FD5">
      <w:r w:rsidRPr="00636564">
        <w:t>The following sections of our draft decision involved consideration of this factor:</w:t>
      </w:r>
    </w:p>
    <w:p w14:paraId="20534D1A" w14:textId="52CF0F7D" w:rsidR="00456FD5" w:rsidRPr="00636564" w:rsidRDefault="00456FD5" w:rsidP="00821A3A">
      <w:pPr>
        <w:pStyle w:val="ListBullet"/>
      </w:pPr>
      <w:r w:rsidRPr="00636564">
        <w:t xml:space="preserve">Our consideration of tariffs and the form of price control </w:t>
      </w:r>
      <w:r w:rsidRPr="008B3DC6">
        <w:t>(</w:t>
      </w:r>
      <w:r w:rsidR="00F4293D">
        <w:t>c</w:t>
      </w:r>
      <w:r w:rsidR="008B3DC6">
        <w:t>hapters 6, 7, 8, 9, 10, and 11</w:t>
      </w:r>
      <w:r w:rsidRPr="008B3DC6">
        <w:t>).</w:t>
      </w:r>
    </w:p>
    <w:p w14:paraId="36C1A7E0" w14:textId="14C461D1" w:rsidR="00456FD5" w:rsidRPr="003D6992" w:rsidRDefault="00456FD5" w:rsidP="00456FD5">
      <w:pPr>
        <w:rPr>
          <w:b/>
          <w:bCs/>
        </w:rPr>
      </w:pPr>
      <w:r w:rsidRPr="003D6992">
        <w:rPr>
          <w:b/>
          <w:bCs/>
        </w:rPr>
        <w:t xml:space="preserve">WIRO Clause 11(d)(ii) requires us to have regard to whether </w:t>
      </w:r>
      <w:r w:rsidR="00D1620B">
        <w:rPr>
          <w:b/>
          <w:bCs/>
        </w:rPr>
        <w:t>Goulburn-Murray Water</w:t>
      </w:r>
      <w:r w:rsidRPr="003D6992">
        <w:rPr>
          <w:b/>
          <w:bCs/>
        </w:rPr>
        <w:t xml:space="preserve">’s prices ‘provide signals about the efficient costs of providing prescribed services to customers while avoiding price shocks where possible’.  </w:t>
      </w:r>
    </w:p>
    <w:p w14:paraId="3E521684" w14:textId="77777777" w:rsidR="00456FD5" w:rsidRPr="00636564" w:rsidRDefault="00456FD5" w:rsidP="00456FD5">
      <w:r w:rsidRPr="00636564">
        <w:t xml:space="preserve">We consider prices can provide signals about efficient costs when a tariff is applied to customers benefiting from the service covered by the tariff, and tariffs send appropriate signals about efficient costs. </w:t>
      </w:r>
    </w:p>
    <w:p w14:paraId="6E368D22" w14:textId="77777777" w:rsidR="00456FD5" w:rsidRPr="00636564" w:rsidRDefault="00456FD5" w:rsidP="00813046">
      <w:r w:rsidRPr="00636564">
        <w:t>The following chapters and sections of our draft decision involved consideration of this factor:</w:t>
      </w:r>
    </w:p>
    <w:p w14:paraId="3DD1409F" w14:textId="77777777" w:rsidR="00456FD5" w:rsidRPr="00636564" w:rsidRDefault="00456FD5" w:rsidP="00821A3A">
      <w:pPr>
        <w:pStyle w:val="ListBullet"/>
      </w:pPr>
      <w:r w:rsidRPr="00636564">
        <w:t>Our consideration of customer engagement (Section 3.1).</w:t>
      </w:r>
    </w:p>
    <w:p w14:paraId="1FA8E390" w14:textId="77777777" w:rsidR="00456FD5" w:rsidRPr="00636564" w:rsidRDefault="00456FD5" w:rsidP="00821A3A">
      <w:pPr>
        <w:pStyle w:val="ListBullet"/>
      </w:pPr>
      <w:r w:rsidRPr="00636564">
        <w:t>Our assessment of the revenue requirement (Chapter 4).</w:t>
      </w:r>
    </w:p>
    <w:p w14:paraId="2D2ECFF3" w14:textId="77777777" w:rsidR="00456FD5" w:rsidRPr="00636564" w:rsidRDefault="00456FD5" w:rsidP="00821A3A">
      <w:pPr>
        <w:pStyle w:val="ListBullet"/>
      </w:pPr>
      <w:r w:rsidRPr="00636564">
        <w:t>Our assessment of efficient operating expenditure (Section 4.1) and capital expenditure (Section 4.2).</w:t>
      </w:r>
    </w:p>
    <w:p w14:paraId="77EC5F70" w14:textId="6C920E8B" w:rsidR="00456FD5" w:rsidRPr="00636564" w:rsidRDefault="00456FD5" w:rsidP="00821A3A">
      <w:pPr>
        <w:pStyle w:val="ListBullet"/>
      </w:pPr>
      <w:r w:rsidRPr="00636564">
        <w:t>Our assessment of tariffs (</w:t>
      </w:r>
      <w:r w:rsidR="00F4293D">
        <w:t>c</w:t>
      </w:r>
      <w:r w:rsidR="00C71156">
        <w:t>hapters 7, 8, 9, 10, and 11</w:t>
      </w:r>
      <w:r w:rsidRPr="00636564">
        <w:t>).</w:t>
      </w:r>
    </w:p>
    <w:p w14:paraId="42163470" w14:textId="2B2F6BE5" w:rsidR="00456FD5" w:rsidRPr="003D6992" w:rsidRDefault="00456FD5" w:rsidP="00456FD5">
      <w:pPr>
        <w:rPr>
          <w:b/>
          <w:bCs/>
        </w:rPr>
      </w:pPr>
      <w:r w:rsidRPr="003D6992">
        <w:rPr>
          <w:b/>
          <w:bCs/>
        </w:rPr>
        <w:t xml:space="preserve">WIRO Clause 11(d)(iii) requires us to have regard to whether </w:t>
      </w:r>
      <w:r w:rsidR="00D1620B">
        <w:rPr>
          <w:b/>
          <w:bCs/>
        </w:rPr>
        <w:t>Goulburn-Murray Water</w:t>
      </w:r>
      <w:r w:rsidRPr="003D6992">
        <w:rPr>
          <w:b/>
          <w:bCs/>
        </w:rPr>
        <w:t xml:space="preserve">’s prices ‘take into account the interests of customers of the regulated entity, including low income and vulnerable customers’.  </w:t>
      </w:r>
    </w:p>
    <w:p w14:paraId="1FED006C" w14:textId="395EF84A" w:rsidR="006F1658" w:rsidRPr="00612229" w:rsidRDefault="006F1658" w:rsidP="00456FD5">
      <w:pPr>
        <w:rPr>
          <w:color w:val="000000" w:themeColor="text1"/>
        </w:rPr>
      </w:pPr>
      <w:r w:rsidRPr="00612229">
        <w:rPr>
          <w:color w:val="000000" w:themeColor="text1"/>
        </w:rPr>
        <w:t>We consider that customer value established through prices and customer outcomes, as well as tariff structures, and assistance available to customers having difficulty paying bills is relevant to this objective.</w:t>
      </w:r>
    </w:p>
    <w:p w14:paraId="68E68420" w14:textId="77777777" w:rsidR="00456FD5" w:rsidRPr="00636564" w:rsidRDefault="00456FD5" w:rsidP="00456FD5">
      <w:r w:rsidRPr="00636564">
        <w:t>In considering the above factor, we had regard to:</w:t>
      </w:r>
    </w:p>
    <w:p w14:paraId="1CFEB6F3" w14:textId="26BB2D06" w:rsidR="00685E44" w:rsidRDefault="00813046" w:rsidP="00821A3A">
      <w:pPr>
        <w:pStyle w:val="ListBullet"/>
      </w:pPr>
      <w:r w:rsidRPr="00B9085E">
        <w:t xml:space="preserve">Our consideration of customer </w:t>
      </w:r>
      <w:r w:rsidR="0054512E">
        <w:t>engagement</w:t>
      </w:r>
      <w:r w:rsidR="00BF2390" w:rsidRPr="00B9085E">
        <w:t xml:space="preserve"> </w:t>
      </w:r>
      <w:r w:rsidRPr="00B9085E">
        <w:t>(</w:t>
      </w:r>
      <w:r w:rsidR="00985EB6">
        <w:t>Section</w:t>
      </w:r>
      <w:r w:rsidR="00BF2390" w:rsidRPr="00B9085E">
        <w:t xml:space="preserve"> </w:t>
      </w:r>
      <w:r w:rsidR="00A8585D">
        <w:t>3</w:t>
      </w:r>
      <w:r w:rsidR="00985EB6">
        <w:t>.1</w:t>
      </w:r>
      <w:r w:rsidRPr="00B9085E">
        <w:t xml:space="preserve">) </w:t>
      </w:r>
    </w:p>
    <w:p w14:paraId="25E88EFA" w14:textId="77777777" w:rsidR="00224DCE" w:rsidRDefault="00FA5DD2" w:rsidP="00821A3A">
      <w:pPr>
        <w:pStyle w:val="ListBullet"/>
      </w:pPr>
      <w:r w:rsidRPr="00636564">
        <w:lastRenderedPageBreak/>
        <w:t xml:space="preserve">Our consideration of </w:t>
      </w:r>
      <w:r w:rsidR="009340E9">
        <w:t>outcomes</w:t>
      </w:r>
      <w:r w:rsidRPr="00636564">
        <w:t xml:space="preserve"> (Section 3.</w:t>
      </w:r>
      <w:r w:rsidR="001E3742">
        <w:t>2</w:t>
      </w:r>
      <w:r w:rsidRPr="00636564">
        <w:t>).</w:t>
      </w:r>
    </w:p>
    <w:p w14:paraId="0F629E11" w14:textId="3A44D186" w:rsidR="00B278EA" w:rsidRPr="00224DCE" w:rsidRDefault="00813046" w:rsidP="00821A3A">
      <w:pPr>
        <w:pStyle w:val="ListBullet"/>
      </w:pPr>
      <w:r w:rsidRPr="00F91DBD">
        <w:t>O</w:t>
      </w:r>
      <w:r w:rsidR="00B278EA" w:rsidRPr="00F91DBD">
        <w:t>u</w:t>
      </w:r>
      <w:r w:rsidRPr="00F91DBD">
        <w:t>r</w:t>
      </w:r>
      <w:r w:rsidRPr="00B9085E">
        <w:t xml:space="preserve"> assessment of </w:t>
      </w:r>
      <w:r w:rsidR="00B278EA" w:rsidRPr="00B9085E">
        <w:t>tariff structure and prices (</w:t>
      </w:r>
      <w:r w:rsidR="000717F6">
        <w:t>c</w:t>
      </w:r>
      <w:r w:rsidR="008557E2">
        <w:t>hapters 7, 8, 9, 10, and 11</w:t>
      </w:r>
      <w:r w:rsidR="00E97F31" w:rsidRPr="00B9085E">
        <w:t xml:space="preserve">) </w:t>
      </w:r>
    </w:p>
    <w:p w14:paraId="47824DD3" w14:textId="300BACF2" w:rsidR="00456FD5" w:rsidRPr="00636564" w:rsidRDefault="00456FD5" w:rsidP="00456FD5">
      <w:pPr>
        <w:pStyle w:val="Heading2"/>
      </w:pPr>
      <w:bookmarkStart w:id="233" w:name="_Toc122514889"/>
      <w:bookmarkStart w:id="234" w:name="_Toc149223968"/>
      <w:bookmarkStart w:id="235" w:name="_Toc150866280"/>
      <w:bookmarkStart w:id="236" w:name="_Toc160038363"/>
      <w:bookmarkStart w:id="237" w:name="_Toc161400080"/>
      <w:r w:rsidRPr="00636564">
        <w:t>Health, safety, environmental and social obligations</w:t>
      </w:r>
      <w:bookmarkEnd w:id="233"/>
      <w:bookmarkEnd w:id="234"/>
      <w:bookmarkEnd w:id="235"/>
      <w:bookmarkEnd w:id="236"/>
      <w:bookmarkEnd w:id="237"/>
    </w:p>
    <w:p w14:paraId="6CF067F9" w14:textId="77777777" w:rsidR="00456FD5" w:rsidRPr="003D6992" w:rsidRDefault="00456FD5" w:rsidP="00456FD5">
      <w:pPr>
        <w:rPr>
          <w:b/>
          <w:bCs/>
        </w:rPr>
      </w:pPr>
      <w:r w:rsidRPr="003D6992">
        <w:rPr>
          <w:b/>
          <w:bCs/>
        </w:rPr>
        <w:t xml:space="preserve">ESC Act Section 8A(1)(d) requires us to have regard to ‘the relevant health, safety, environmental and social legislation applying to the industry’.  </w:t>
      </w:r>
    </w:p>
    <w:p w14:paraId="5DD1B0DE" w14:textId="39821574" w:rsidR="00456FD5" w:rsidRPr="00636564" w:rsidRDefault="00456FD5" w:rsidP="00456FD5">
      <w:r w:rsidRPr="00636564">
        <w:t xml:space="preserve">Our draft decision proposes to approve a revenue requirement that will enable </w:t>
      </w:r>
      <w:r w:rsidR="00D1620B">
        <w:t>Goulburn-Murray Water</w:t>
      </w:r>
      <w:r w:rsidRPr="00636564">
        <w:t xml:space="preserve"> to deliver the outcomes valued by customers, and on its legal and regulatory obligations.  </w:t>
      </w:r>
    </w:p>
    <w:p w14:paraId="507B26C3" w14:textId="77777777" w:rsidR="00456FD5" w:rsidRPr="00636564" w:rsidRDefault="00456FD5" w:rsidP="00456FD5">
      <w:r w:rsidRPr="00636564">
        <w:t>The following chapters and sections of our draft decision involved consideration of this factor:</w:t>
      </w:r>
    </w:p>
    <w:p w14:paraId="1F8AF92F" w14:textId="77777777" w:rsidR="00456FD5" w:rsidRPr="00636564" w:rsidRDefault="00456FD5" w:rsidP="00821A3A">
      <w:pPr>
        <w:pStyle w:val="ListBullet"/>
      </w:pPr>
      <w:r w:rsidRPr="00636564">
        <w:t>Our assessment of the revenue requirement (Chapter 4).</w:t>
      </w:r>
    </w:p>
    <w:p w14:paraId="31863A98" w14:textId="77777777" w:rsidR="00456FD5" w:rsidRPr="00636564" w:rsidRDefault="00456FD5" w:rsidP="00821A3A">
      <w:pPr>
        <w:pStyle w:val="ListBullet"/>
      </w:pPr>
      <w:r w:rsidRPr="00636564">
        <w:t>Our assessment of efficient operating expenditure (Section 4.1) and capital expenditure (Section 4.2).</w:t>
      </w:r>
    </w:p>
    <w:p w14:paraId="0582ADBE" w14:textId="5A030861" w:rsidR="00456FD5" w:rsidRPr="00636564" w:rsidRDefault="00456FD5" w:rsidP="00821A3A">
      <w:pPr>
        <w:pStyle w:val="ListBullet"/>
      </w:pPr>
      <w:r w:rsidRPr="00636564">
        <w:t>Our assessment of the form of price control (</w:t>
      </w:r>
      <w:r w:rsidR="002B67FF">
        <w:t>Chapter 6</w:t>
      </w:r>
      <w:r w:rsidRPr="00636564">
        <w:t>).</w:t>
      </w:r>
    </w:p>
    <w:p w14:paraId="0150014F" w14:textId="77777777" w:rsidR="00456FD5" w:rsidRPr="003D6992" w:rsidRDefault="00456FD5" w:rsidP="00456FD5">
      <w:pPr>
        <w:rPr>
          <w:b/>
          <w:bCs/>
        </w:rPr>
      </w:pPr>
      <w:r w:rsidRPr="003D6992">
        <w:rPr>
          <w:b/>
          <w:bCs/>
        </w:rPr>
        <w:t xml:space="preserve">WI Act section 4C(c) requires us to ‘ensure that regulatory decision making has regard to the health, safety, environmental sustainability (including water conservation) and social obligations of regulated entities’.  </w:t>
      </w:r>
    </w:p>
    <w:p w14:paraId="754ED869" w14:textId="49CAA670" w:rsidR="00456FD5" w:rsidRPr="00636564" w:rsidRDefault="00456FD5" w:rsidP="00456FD5">
      <w:r w:rsidRPr="00636564">
        <w:t xml:space="preserve">Our draft decision proposes to approve a revenue requirement that will enable </w:t>
      </w:r>
      <w:r w:rsidR="00D1620B">
        <w:t>Goulburn-Murray Water</w:t>
      </w:r>
      <w:r w:rsidRPr="00636564">
        <w:t xml:space="preserve"> to deliver the outcomes valued by customers, and on its health, safety, environmental sustainability and social obligations. </w:t>
      </w:r>
    </w:p>
    <w:p w14:paraId="6CD1347F" w14:textId="77777777" w:rsidR="00456FD5" w:rsidRPr="00636564" w:rsidRDefault="00456FD5" w:rsidP="00456FD5">
      <w:r w:rsidRPr="00636564">
        <w:t>The following chapters and sections of our draft decision involved consideration of this factor:</w:t>
      </w:r>
    </w:p>
    <w:p w14:paraId="30D7D75C" w14:textId="77777777" w:rsidR="00456FD5" w:rsidRPr="00636564" w:rsidRDefault="00456FD5" w:rsidP="00821A3A">
      <w:pPr>
        <w:pStyle w:val="ListBullet"/>
      </w:pPr>
      <w:r w:rsidRPr="00636564">
        <w:t>Our assessment of the revenue requirement (Chapter 4).</w:t>
      </w:r>
    </w:p>
    <w:p w14:paraId="636DBB90" w14:textId="77777777" w:rsidR="00456FD5" w:rsidRPr="00636564" w:rsidRDefault="00456FD5" w:rsidP="00821A3A">
      <w:pPr>
        <w:pStyle w:val="ListBullet"/>
      </w:pPr>
      <w:r w:rsidRPr="00636564">
        <w:t>Our assessment of efficient operating expenditure (Section 4.1) and capital expenditure (Section 4.2).</w:t>
      </w:r>
    </w:p>
    <w:p w14:paraId="03C166AC" w14:textId="7D26D239" w:rsidR="00456FD5" w:rsidRPr="00636564" w:rsidRDefault="00456FD5" w:rsidP="00821A3A">
      <w:pPr>
        <w:pStyle w:val="ListBullet"/>
      </w:pPr>
      <w:r w:rsidRPr="00636564">
        <w:t>Our assessment of tariffs (</w:t>
      </w:r>
      <w:r w:rsidR="001B5C90">
        <w:rPr>
          <w:color w:val="000000" w:themeColor="text1"/>
        </w:rPr>
        <w:t>c</w:t>
      </w:r>
      <w:r w:rsidR="00921F93" w:rsidRPr="00574D09">
        <w:rPr>
          <w:color w:val="000000" w:themeColor="text1"/>
        </w:rPr>
        <w:t>hapters 7, 8, 9, 10 and 11</w:t>
      </w:r>
      <w:r w:rsidRPr="00636564">
        <w:t>).</w:t>
      </w:r>
    </w:p>
    <w:p w14:paraId="2D8C826B" w14:textId="08F38C6F" w:rsidR="00456FD5" w:rsidRPr="00636564" w:rsidRDefault="00456FD5" w:rsidP="00456FD5">
      <w:pPr>
        <w:pStyle w:val="Heading2"/>
      </w:pPr>
      <w:bookmarkStart w:id="238" w:name="_Toc122514890"/>
      <w:bookmarkStart w:id="239" w:name="_Toc149223969"/>
      <w:bookmarkStart w:id="240" w:name="_Toc150866281"/>
      <w:bookmarkStart w:id="241" w:name="_Toc160038364"/>
      <w:bookmarkStart w:id="242" w:name="_Toc161400081"/>
      <w:r w:rsidRPr="00636564">
        <w:t>Other matters</w:t>
      </w:r>
      <w:bookmarkEnd w:id="238"/>
      <w:bookmarkEnd w:id="239"/>
      <w:bookmarkEnd w:id="240"/>
      <w:bookmarkEnd w:id="241"/>
      <w:bookmarkEnd w:id="242"/>
    </w:p>
    <w:p w14:paraId="0274039D" w14:textId="77777777" w:rsidR="00456FD5" w:rsidRPr="003D6992" w:rsidRDefault="00456FD5" w:rsidP="00456FD5">
      <w:pPr>
        <w:rPr>
          <w:b/>
          <w:bCs/>
        </w:rPr>
      </w:pPr>
      <w:r w:rsidRPr="003D6992">
        <w:rPr>
          <w:b/>
          <w:bCs/>
        </w:rPr>
        <w:t xml:space="preserve">ESC Act section 8A(1)(c) requires us to have regard to ‘the degree of, and scope for, competition within the industry, including countervailing market power and information asymmetries’.  </w:t>
      </w:r>
    </w:p>
    <w:p w14:paraId="37BB4F1D" w14:textId="42B2102C" w:rsidR="00456FD5" w:rsidRPr="00636564" w:rsidRDefault="00456FD5" w:rsidP="00456FD5">
      <w:r w:rsidRPr="00636564">
        <w:t xml:space="preserve">In relation to the above, </w:t>
      </w:r>
      <w:r w:rsidR="00D1620B">
        <w:t>Goulburn-Murray Water</w:t>
      </w:r>
      <w:r w:rsidRPr="00636564">
        <w:t xml:space="preserve"> does not face any competition in the delivery of its prescribed services within its region. Our draft decision takes this into account through our consideration of forecast efficient costs, and considering the service priorities of customers as revealed through a business’s customer engagement. </w:t>
      </w:r>
    </w:p>
    <w:p w14:paraId="27D6E467" w14:textId="77777777" w:rsidR="00456FD5" w:rsidRPr="00636564" w:rsidRDefault="00456FD5" w:rsidP="00456FD5">
      <w:r w:rsidRPr="00636564">
        <w:lastRenderedPageBreak/>
        <w:t>The following sections of our draft decision involved consideration of this factor:</w:t>
      </w:r>
    </w:p>
    <w:p w14:paraId="7A051E3A" w14:textId="77777777" w:rsidR="00456FD5" w:rsidRPr="00636564" w:rsidRDefault="00456FD5" w:rsidP="00821A3A">
      <w:pPr>
        <w:pStyle w:val="ListBullet"/>
      </w:pPr>
      <w:r w:rsidRPr="00636564">
        <w:t>Our assessment of engagement (Section 3.1)</w:t>
      </w:r>
    </w:p>
    <w:p w14:paraId="31659CF8" w14:textId="77777777" w:rsidR="00456FD5" w:rsidRPr="00636564" w:rsidRDefault="00456FD5" w:rsidP="00821A3A">
      <w:pPr>
        <w:pStyle w:val="ListBullet"/>
      </w:pPr>
      <w:r w:rsidRPr="00636564">
        <w:t>Our assessment of outcomes (Section 3.2)</w:t>
      </w:r>
    </w:p>
    <w:p w14:paraId="2243A05A" w14:textId="77777777" w:rsidR="00456FD5" w:rsidRPr="00636564" w:rsidRDefault="00456FD5" w:rsidP="00821A3A">
      <w:pPr>
        <w:pStyle w:val="ListBullet"/>
      </w:pPr>
      <w:r w:rsidRPr="00636564">
        <w:t>Our assessment of efficient operating expenditure (Section 4.1) and capital expenditure (Section 4.2).</w:t>
      </w:r>
    </w:p>
    <w:p w14:paraId="176B5066" w14:textId="77777777" w:rsidR="00456FD5" w:rsidRPr="00636564" w:rsidRDefault="00456FD5" w:rsidP="00456FD5">
      <w:r w:rsidRPr="00636564">
        <w:t>We consider that our pricing approach helps to address market power and information asymmetries relating to the water corporations. Our PREMO water pricing approach provides incentives for a water corporation to provide its “best offer” to customers in its price submission. This is described in further detail in a report we released in 2016.</w:t>
      </w:r>
      <w:r>
        <w:rPr>
          <w:rStyle w:val="FootnoteReference"/>
        </w:rPr>
        <w:footnoteReference w:id="123"/>
      </w:r>
      <w:r w:rsidRPr="00636564">
        <w:t xml:space="preserve"> </w:t>
      </w:r>
    </w:p>
    <w:p w14:paraId="0AF81946" w14:textId="77777777" w:rsidR="00456FD5" w:rsidRPr="003D6992" w:rsidRDefault="00456FD5" w:rsidP="00456FD5">
      <w:pPr>
        <w:rPr>
          <w:b/>
          <w:bCs/>
        </w:rPr>
      </w:pPr>
      <w:r w:rsidRPr="003D6992">
        <w:rPr>
          <w:b/>
          <w:bCs/>
        </w:rPr>
        <w:t xml:space="preserve">ESC Act section 8A(1)(e) requires us to have regard to the ‘benefits and costs of regulation (including externalities and gains from competition and efficiency) for: (i) consumers and users of products or services (including low income and vulnerable consumers); and (ii) regulated entities’.  </w:t>
      </w:r>
    </w:p>
    <w:p w14:paraId="6AEE3917" w14:textId="77777777" w:rsidR="00456FD5" w:rsidRPr="00636564" w:rsidRDefault="00456FD5" w:rsidP="00456FD5">
      <w:r w:rsidRPr="00636564">
        <w:t>We have had regard to benefits and costs of regulation by:</w:t>
      </w:r>
    </w:p>
    <w:p w14:paraId="50111D11" w14:textId="6A515683" w:rsidR="00456FD5" w:rsidRPr="00636564" w:rsidRDefault="00456FD5" w:rsidP="00821A3A">
      <w:pPr>
        <w:pStyle w:val="ListBullet"/>
      </w:pPr>
      <w:r w:rsidRPr="00636564">
        <w:t xml:space="preserve">Implementing a price review process so that water corporations may receive streamlined price reviews if they submit a </w:t>
      </w:r>
      <w:r w:rsidR="005E1E89" w:rsidRPr="00636564">
        <w:t>high-quality</w:t>
      </w:r>
      <w:r w:rsidRPr="00636564">
        <w:t xml:space="preserve"> price submission. This reduces the costs of regulation for water corporations and the commission. </w:t>
      </w:r>
    </w:p>
    <w:p w14:paraId="3B94FCCD" w14:textId="555BDF06" w:rsidR="00456FD5" w:rsidRPr="00636564" w:rsidRDefault="00456FD5" w:rsidP="00821A3A">
      <w:pPr>
        <w:pStyle w:val="ListBullet"/>
      </w:pPr>
      <w:r w:rsidRPr="00636564">
        <w:t xml:space="preserve">Focusing our assessments of price submissions on the materiality of proposals to customer interests (including low income </w:t>
      </w:r>
      <w:r w:rsidR="00634763">
        <w:t>customers and those experiencing vulnerability</w:t>
      </w:r>
      <w:r w:rsidRPr="00636564">
        <w:t>), including in terms of price, bill and service impacts.</w:t>
      </w:r>
    </w:p>
    <w:p w14:paraId="5DB32654" w14:textId="77777777" w:rsidR="00456FD5" w:rsidRPr="00636564" w:rsidRDefault="00456FD5" w:rsidP="00821A3A">
      <w:pPr>
        <w:pStyle w:val="ListBullet"/>
      </w:pPr>
      <w:r w:rsidRPr="00636564">
        <w:t>Designing our guidance so we minimise the compliance costs for water corporations. Our guidance noted that much of the information required in price submissions should be readily available to water corporations as it would be relevant for other purposes such as corporate planning and project prioritisation and justification.</w:t>
      </w:r>
      <w:r>
        <w:rPr>
          <w:rStyle w:val="FootnoteReference"/>
        </w:rPr>
        <w:footnoteReference w:id="124"/>
      </w:r>
      <w:r w:rsidRPr="00636564">
        <w:t xml:space="preserve"> </w:t>
      </w:r>
    </w:p>
    <w:p w14:paraId="3CD246E6" w14:textId="7E311673" w:rsidR="00456FD5" w:rsidRPr="003D6992" w:rsidRDefault="00456FD5" w:rsidP="00456FD5">
      <w:pPr>
        <w:rPr>
          <w:b/>
          <w:bCs/>
        </w:rPr>
      </w:pPr>
      <w:r w:rsidRPr="003D6992">
        <w:rPr>
          <w:b/>
          <w:bCs/>
        </w:rPr>
        <w:t xml:space="preserve">ESC Act section 8A(1)(f) requires us to have regard to ‘consistency in regulation between States and on a national basis’.  </w:t>
      </w:r>
    </w:p>
    <w:p w14:paraId="69F6ABFC" w14:textId="77777777" w:rsidR="00456FD5" w:rsidRPr="00636564" w:rsidRDefault="00456FD5" w:rsidP="00456FD5">
      <w:r w:rsidRPr="00636564">
        <w:t>Similar to other state and national regulators, our economic regulatory approach:</w:t>
      </w:r>
    </w:p>
    <w:p w14:paraId="3730D8DC" w14:textId="77777777" w:rsidR="00456FD5" w:rsidRPr="00636564" w:rsidRDefault="00456FD5" w:rsidP="00821A3A">
      <w:pPr>
        <w:pStyle w:val="ListBullet"/>
      </w:pPr>
      <w:r w:rsidRPr="00636564">
        <w:t>uses the building block method to estimate a water corporation’s revenue requirement</w:t>
      </w:r>
    </w:p>
    <w:p w14:paraId="67FC427E" w14:textId="77777777" w:rsidR="00456FD5" w:rsidRPr="00636564" w:rsidRDefault="00456FD5" w:rsidP="00821A3A">
      <w:pPr>
        <w:pStyle w:val="ListBullet"/>
      </w:pPr>
      <w:r w:rsidRPr="00636564">
        <w:t>allows water corporations to implement various forms of price control, including price caps and revenue caps</w:t>
      </w:r>
    </w:p>
    <w:p w14:paraId="538FBC0E" w14:textId="77777777" w:rsidR="00456FD5" w:rsidRPr="00636564" w:rsidRDefault="00456FD5" w:rsidP="00821A3A">
      <w:pPr>
        <w:pStyle w:val="ListBullet"/>
      </w:pPr>
      <w:r w:rsidRPr="00636564">
        <w:lastRenderedPageBreak/>
        <w:t>allows for consultation with key stakeholders during a price review, including through the release of a draft decision.</w:t>
      </w:r>
    </w:p>
    <w:p w14:paraId="4C2E4E96" w14:textId="77777777" w:rsidR="00456FD5" w:rsidRPr="003D6992" w:rsidRDefault="00456FD5" w:rsidP="00456FD5">
      <w:pPr>
        <w:rPr>
          <w:b/>
          <w:bCs/>
        </w:rPr>
      </w:pPr>
      <w:r w:rsidRPr="003D6992">
        <w:rPr>
          <w:b/>
          <w:bCs/>
        </w:rPr>
        <w:t xml:space="preserve">WI Act section 4C(a) requires us to ‘ensure that the costs of regulation do not exceed the benefits’.  </w:t>
      </w:r>
    </w:p>
    <w:p w14:paraId="2789A0BE" w14:textId="77777777" w:rsidR="00456FD5" w:rsidRPr="00636564" w:rsidRDefault="00456FD5" w:rsidP="00456FD5">
      <w:r w:rsidRPr="00636564">
        <w:t>We have sought to ensure that the costs of regulation do not exceed the benefits by:</w:t>
      </w:r>
    </w:p>
    <w:p w14:paraId="65E8611A" w14:textId="5446EC93" w:rsidR="00456FD5" w:rsidRPr="00636564" w:rsidRDefault="00456FD5" w:rsidP="00821A3A">
      <w:pPr>
        <w:pStyle w:val="ListBullet"/>
      </w:pPr>
      <w:r w:rsidRPr="00636564">
        <w:t xml:space="preserve">Implementing a price review process so that water corporations may receive streamlined price reviews if they submit a </w:t>
      </w:r>
      <w:r w:rsidR="00412D9F" w:rsidRPr="00636564">
        <w:t>high-quality</w:t>
      </w:r>
      <w:r w:rsidRPr="00636564">
        <w:t xml:space="preserve"> price submission. This reduces the costs of regulation for water corporations and the commission. </w:t>
      </w:r>
    </w:p>
    <w:p w14:paraId="1EE2189C" w14:textId="4087CF02" w:rsidR="00456FD5" w:rsidRPr="00636564" w:rsidRDefault="00456FD5" w:rsidP="00821A3A">
      <w:pPr>
        <w:pStyle w:val="ListBullet"/>
      </w:pPr>
      <w:r w:rsidRPr="00636564">
        <w:t xml:space="preserve">Focusing our assessments of price submissions on the materiality of proposals to customer interests (including </w:t>
      </w:r>
      <w:r w:rsidR="00F50FED" w:rsidRPr="00636564">
        <w:t>low-income</w:t>
      </w:r>
      <w:r w:rsidRPr="00636564">
        <w:t xml:space="preserve"> </w:t>
      </w:r>
      <w:r w:rsidR="006D54CB">
        <w:t>customers and those experiencing vulnerability</w:t>
      </w:r>
      <w:r w:rsidRPr="00636564">
        <w:t>), including in terms of price, bill and service impacts.</w:t>
      </w:r>
    </w:p>
    <w:p w14:paraId="62D6DD4E" w14:textId="77777777" w:rsidR="00456FD5" w:rsidRPr="00636564" w:rsidRDefault="00456FD5" w:rsidP="00821A3A">
      <w:pPr>
        <w:pStyle w:val="ListBullet"/>
      </w:pPr>
      <w:r w:rsidRPr="00636564">
        <w:t>Designing our guidance so we minimise the compliance costs for water corporations. Our guidance noted that much of the information required in price submissions should be readily available to water corporations as it would be relevant for other purposes such as corporate planning and project prioritisation and justification.</w:t>
      </w:r>
      <w:r>
        <w:rPr>
          <w:rStyle w:val="FootnoteReference"/>
        </w:rPr>
        <w:footnoteReference w:id="125"/>
      </w:r>
      <w:r w:rsidRPr="00636564">
        <w:t xml:space="preserve"> </w:t>
      </w:r>
    </w:p>
    <w:p w14:paraId="67F4E1DC" w14:textId="77777777" w:rsidR="00456FD5" w:rsidRPr="00636564" w:rsidRDefault="00456FD5" w:rsidP="00456FD5"/>
    <w:p w14:paraId="27D878F2" w14:textId="7BBF1059" w:rsidR="001C750A" w:rsidRPr="001C750A" w:rsidRDefault="001C750A" w:rsidP="001C750A"/>
    <w:sectPr w:rsidR="001C750A" w:rsidRPr="001C750A" w:rsidSect="00DB48F2">
      <w:footerReference w:type="default" r:id="rId51"/>
      <w:pgSz w:w="11906" w:h="16838" w:code="9"/>
      <w:pgMar w:top="1134" w:right="1134" w:bottom="1134" w:left="1134" w:header="709"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AA73E" w14:textId="77777777" w:rsidR="00DB48F2" w:rsidRDefault="00DB48F2" w:rsidP="00AE03FA">
      <w:pPr>
        <w:spacing w:after="0"/>
      </w:pPr>
      <w:r>
        <w:separator/>
      </w:r>
    </w:p>
    <w:p w14:paraId="3EBE990A" w14:textId="77777777" w:rsidR="00DB48F2" w:rsidRDefault="00DB48F2"/>
  </w:endnote>
  <w:endnote w:type="continuationSeparator" w:id="0">
    <w:p w14:paraId="32B6232A" w14:textId="77777777" w:rsidR="00DB48F2" w:rsidRDefault="00DB48F2" w:rsidP="00AE03FA">
      <w:pPr>
        <w:spacing w:after="0"/>
      </w:pPr>
      <w:r>
        <w:continuationSeparator/>
      </w:r>
    </w:p>
    <w:p w14:paraId="106FCD6A" w14:textId="77777777" w:rsidR="00DB48F2" w:rsidRDefault="00DB48F2"/>
  </w:endnote>
  <w:endnote w:type="continuationNotice" w:id="1">
    <w:p w14:paraId="18E4BEEF" w14:textId="77777777" w:rsidR="00DB48F2" w:rsidRDefault="00DB48F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C512A" w14:textId="0FFA1A3B" w:rsidR="004776AA" w:rsidRDefault="004776AA">
    <w:pPr>
      <w:pStyle w:val="Footer"/>
    </w:pPr>
  </w:p>
  <w:p w14:paraId="0A4881E8" w14:textId="50B0C937" w:rsidR="00BE5BE1" w:rsidRDefault="00BE5BE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EDB0" w14:textId="77777777" w:rsidR="00FD1F75" w:rsidRDefault="00FD1F75" w:rsidP="00FD1F75">
    <w:pPr>
      <w:pStyle w:val="FooterSpace"/>
      <w:ind w:right="707"/>
    </w:pPr>
    <w:r w:rsidRPr="00A97818">
      <w:t>Our role and approach to water pricing</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A85963" w14:paraId="1E1D7D52"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1F27920" w14:textId="77777777" w:rsidR="00A85963" w:rsidRPr="009E15D6" w:rsidRDefault="00A8596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6C5D6B35" w14:textId="77777777" w:rsidR="00A85963" w:rsidRPr="002C2ADF" w:rsidRDefault="00A85963" w:rsidP="00A236AB">
    <w:pPr>
      <w:pStyle w:val="Footer"/>
      <w:ind w:right="707"/>
      <w:rPr>
        <w:b/>
      </w:rPr>
    </w:pPr>
    <w:r>
      <w:t xml:space="preserve">Essential Services Commission </w:t>
    </w:r>
    <w:sdt>
      <w:sdtPr>
        <w:rPr>
          <w:b/>
        </w:rPr>
        <w:alias w:val="Title"/>
        <w:tag w:val=""/>
        <w:id w:val="-421564135"/>
        <w:placeholder>
          <w:docPart w:val="CBB558AD63A54A23BA83322EC5CE4376"/>
        </w:placeholder>
        <w:dataBinding w:prefixMappings="xmlns:ns0='http://purl.org/dc/elements/1.1/' xmlns:ns1='http://schemas.openxmlformats.org/package/2006/metadata/core-properties' " w:xpath="/ns1:coreProperties[1]/ns0:title[1]" w:storeItemID="{6C3C8BC8-F283-45AE-878A-BAB7291924A1}"/>
        <w:text/>
      </w:sdtPr>
      <w:sdtContent>
        <w:r w:rsidR="004346EB">
          <w:rPr>
            <w:b/>
          </w:rPr>
          <w:t>Goulburn-Murray Water draft decision</w:t>
        </w:r>
      </w:sdtContent>
    </w:sdt>
    <w:r>
      <w:rPr>
        <w:b/>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908C" w14:textId="77777777" w:rsidR="00A85963" w:rsidRDefault="000242A8" w:rsidP="00A236AB">
    <w:pPr>
      <w:pStyle w:val="FooterSpace"/>
      <w:ind w:right="707"/>
    </w:pPr>
    <w:r w:rsidRPr="000242A8">
      <w:t xml:space="preserve">Our assessment of </w:t>
    </w:r>
    <w:r w:rsidR="00D1620B">
      <w:t>Goulburn-Murray Water</w:t>
    </w:r>
    <w:r w:rsidRPr="000242A8">
      <w:t>’s price submission</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A85963" w14:paraId="2CBF7C69"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0496EAEF" w14:textId="77777777" w:rsidR="00A85963" w:rsidRPr="009E15D6" w:rsidRDefault="00A8596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49149AB7" w14:textId="77777777" w:rsidR="00A85963" w:rsidRPr="002C2ADF" w:rsidRDefault="00A85963" w:rsidP="00A236AB">
    <w:pPr>
      <w:pStyle w:val="Footer"/>
      <w:ind w:right="707"/>
      <w:rPr>
        <w:b/>
      </w:rPr>
    </w:pPr>
    <w:r>
      <w:t xml:space="preserve">Essential Services Commission </w:t>
    </w:r>
    <w:sdt>
      <w:sdtPr>
        <w:rPr>
          <w:b/>
        </w:rPr>
        <w:alias w:val="Title"/>
        <w:tag w:val=""/>
        <w:id w:val="531080814"/>
        <w:placeholder>
          <w:docPart w:val="CBB558AD63A54A23BA83322EC5CE4376"/>
        </w:placeholder>
        <w:dataBinding w:prefixMappings="xmlns:ns0='http://purl.org/dc/elements/1.1/' xmlns:ns1='http://schemas.openxmlformats.org/package/2006/metadata/core-properties' " w:xpath="/ns1:coreProperties[1]/ns0:title[1]" w:storeItemID="{6C3C8BC8-F283-45AE-878A-BAB7291924A1}"/>
        <w:text/>
      </w:sdtPr>
      <w:sdtContent>
        <w:r w:rsidR="004346EB">
          <w:rPr>
            <w:b/>
          </w:rPr>
          <w:t>Goulburn-Murray Water draft decision</w:t>
        </w:r>
      </w:sdtContent>
    </w:sdt>
    <w:r>
      <w:rPr>
        <w:b/>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F8069" w14:textId="2038D777" w:rsidR="00A12BC9" w:rsidRDefault="00A12BC9" w:rsidP="00A236AB">
    <w:pPr>
      <w:pStyle w:val="FooterSpace"/>
      <w:ind w:right="707"/>
    </w:pPr>
    <w:r>
      <w:t>Customer outcomes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A12BC9" w14:paraId="0968B8B2"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3ACDEF79" w14:textId="77777777" w:rsidR="00A12BC9" w:rsidRPr="009E15D6" w:rsidRDefault="00A12BC9"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11823FEF" w14:textId="30C06EE3" w:rsidR="00A12BC9" w:rsidRPr="002C2ADF" w:rsidRDefault="00A12BC9" w:rsidP="00A236AB">
    <w:pPr>
      <w:pStyle w:val="Footer"/>
      <w:ind w:right="707"/>
      <w:rPr>
        <w:b/>
      </w:rPr>
    </w:pPr>
    <w:r>
      <w:t xml:space="preserve">Essential Services Commission </w:t>
    </w:r>
    <w:sdt>
      <w:sdtPr>
        <w:rPr>
          <w:b/>
        </w:rPr>
        <w:alias w:val="Title"/>
        <w:tag w:val=""/>
        <w:id w:val="-1761904198"/>
        <w:placeholder>
          <w:docPart w:val="B4B87671E4104AA3857A6481E2189FCF"/>
        </w:placeholder>
        <w:dataBinding w:prefixMappings="xmlns:ns0='http://purl.org/dc/elements/1.1/' xmlns:ns1='http://schemas.openxmlformats.org/package/2006/metadata/core-properties' " w:xpath="/ns1:coreProperties[1]/ns0:title[1]" w:storeItemID="{6C3C8BC8-F283-45AE-878A-BAB7291924A1}"/>
        <w:text/>
      </w:sdtPr>
      <w:sdtContent>
        <w:r w:rsidR="004346EB">
          <w:rPr>
            <w:b/>
          </w:rPr>
          <w:t>Goulburn-Murray Water draft decision</w:t>
        </w:r>
      </w:sdtContent>
    </w:sdt>
    <w:r>
      <w:rPr>
        <w:b/>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BEEA2" w14:textId="5EE65FAF" w:rsidR="007C63C2" w:rsidRPr="00193965" w:rsidRDefault="00A66EE0" w:rsidP="00193965">
    <w:pPr>
      <w:pStyle w:val="FooterSpace"/>
      <w:ind w:right="707"/>
    </w:pPr>
    <w:r>
      <w:t>Revenue requiremen</w:t>
    </w:r>
    <w:r w:rsidR="00193965">
      <w:t>t</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711D77" w14:paraId="672853DE"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246C3B36" w14:textId="77777777" w:rsidR="00711D77" w:rsidRPr="009E15D6" w:rsidRDefault="00711D77"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209A0888" w14:textId="04920F8D" w:rsidR="00A66EE0" w:rsidRPr="00F15A6B" w:rsidRDefault="00711D77" w:rsidP="00F15A6B">
    <w:pPr>
      <w:pStyle w:val="Footer"/>
      <w:ind w:right="707"/>
      <w:rPr>
        <w:b/>
      </w:rPr>
    </w:pPr>
    <w:r>
      <w:t xml:space="preserve">Essential Services Commission </w:t>
    </w:r>
    <w:sdt>
      <w:sdtPr>
        <w:rPr>
          <w:b/>
        </w:rPr>
        <w:alias w:val="Title"/>
        <w:tag w:val=""/>
        <w:id w:val="1656330284"/>
        <w:placeholder>
          <w:docPart w:val="1D183FCE16D04DBAB2EA9F06C740945E"/>
        </w:placeholder>
        <w:dataBinding w:prefixMappings="xmlns:ns0='http://purl.org/dc/elements/1.1/' xmlns:ns1='http://schemas.openxmlformats.org/package/2006/metadata/core-properties' " w:xpath="/ns1:coreProperties[1]/ns0:title[1]" w:storeItemID="{6C3C8BC8-F283-45AE-878A-BAB7291924A1}"/>
        <w:text/>
      </w:sdtPr>
      <w:sdtContent>
        <w:r>
          <w:rPr>
            <w:b/>
          </w:rPr>
          <w:t>Goulburn-Murray Water draft decision</w:t>
        </w:r>
      </w:sdtContent>
    </w:sdt>
    <w:r>
      <w:rPr>
        <w:b/>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A056" w14:textId="77777777" w:rsidR="00BB45EB" w:rsidRDefault="00BB45EB" w:rsidP="00A236AB">
    <w:pPr>
      <w:pStyle w:val="FooterSpace"/>
      <w:ind w:right="707"/>
    </w:pPr>
    <w:r w:rsidRPr="00BB45EB">
      <w:t xml:space="preserve">Demand </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BB45EB" w14:paraId="06694981"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D8EB2AD" w14:textId="77777777" w:rsidR="00BB45EB" w:rsidRPr="009E15D6" w:rsidRDefault="00BB45EB"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10358540" w14:textId="77777777" w:rsidR="00BB45EB" w:rsidRPr="002C2ADF" w:rsidRDefault="00BB45EB" w:rsidP="00A236AB">
    <w:pPr>
      <w:pStyle w:val="Footer"/>
      <w:ind w:right="707"/>
      <w:rPr>
        <w:b/>
      </w:rPr>
    </w:pPr>
    <w:r>
      <w:t xml:space="preserve">Essential Services Commission </w:t>
    </w:r>
    <w:sdt>
      <w:sdtPr>
        <w:rPr>
          <w:b/>
        </w:rPr>
        <w:alias w:val="Title"/>
        <w:tag w:val=""/>
        <w:id w:val="-1592467538"/>
        <w:placeholder>
          <w:docPart w:val="95E81FE8971D4DA0984381202E99ECBB"/>
        </w:placeholder>
        <w:dataBinding w:prefixMappings="xmlns:ns0='http://purl.org/dc/elements/1.1/' xmlns:ns1='http://schemas.openxmlformats.org/package/2006/metadata/core-properties' " w:xpath="/ns1:coreProperties[1]/ns0:title[1]" w:storeItemID="{6C3C8BC8-F283-45AE-878A-BAB7291924A1}"/>
        <w:text/>
      </w:sdtPr>
      <w:sdtContent>
        <w:r w:rsidR="004346EB">
          <w:rPr>
            <w:b/>
          </w:rPr>
          <w:t>Goulburn-Murray Water draft decision</w:t>
        </w:r>
      </w:sdtContent>
    </w:sdt>
    <w:r>
      <w:rPr>
        <w:b/>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7B899" w14:textId="66A071FF" w:rsidR="00D52FED" w:rsidRDefault="00D52FED" w:rsidP="00A236AB">
    <w:pPr>
      <w:pStyle w:val="FooterSpace"/>
      <w:ind w:right="707"/>
    </w:pPr>
    <w:r>
      <w:t>Form of price control</w:t>
    </w:r>
    <w:r w:rsidRPr="00BB45EB">
      <w:t xml:space="preserve"> </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D52FED" w14:paraId="4B9B2A80"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50619B99" w14:textId="77777777" w:rsidR="00D52FED" w:rsidRPr="009E15D6" w:rsidRDefault="00D52FED"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1ABA5C40" w14:textId="77777777" w:rsidR="00D52FED" w:rsidRPr="002C2ADF" w:rsidRDefault="00D52FED" w:rsidP="00A236AB">
    <w:pPr>
      <w:pStyle w:val="Footer"/>
      <w:ind w:right="707"/>
      <w:rPr>
        <w:b/>
      </w:rPr>
    </w:pPr>
    <w:r>
      <w:t xml:space="preserve">Essential Services Commission </w:t>
    </w:r>
    <w:sdt>
      <w:sdtPr>
        <w:rPr>
          <w:b/>
        </w:rPr>
        <w:alias w:val="Title"/>
        <w:tag w:val=""/>
        <w:id w:val="-1833819890"/>
        <w:placeholder>
          <w:docPart w:val="1D183FCE16D04DBAB2EA9F06C740945E"/>
        </w:placeholder>
        <w:dataBinding w:prefixMappings="xmlns:ns0='http://purl.org/dc/elements/1.1/' xmlns:ns1='http://schemas.openxmlformats.org/package/2006/metadata/core-properties' " w:xpath="/ns1:coreProperties[1]/ns0:title[1]" w:storeItemID="{6C3C8BC8-F283-45AE-878A-BAB7291924A1}"/>
        <w:text/>
      </w:sdtPr>
      <w:sdtContent>
        <w:r>
          <w:rPr>
            <w:b/>
          </w:rPr>
          <w:t>Goulburn-Murray Water draft decision</w:t>
        </w:r>
      </w:sdtContent>
    </w:sdt>
    <w:r>
      <w:rPr>
        <w:b/>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E1B4" w14:textId="069B7715" w:rsidR="00D52FED" w:rsidRDefault="002F745C" w:rsidP="00A236AB">
    <w:pPr>
      <w:pStyle w:val="FooterSpace"/>
      <w:ind w:right="707"/>
    </w:pPr>
    <w:r>
      <w:t>Irrigation and drainage tariffs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BB45EB" w14:paraId="01333855"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AD890AF" w14:textId="77777777" w:rsidR="00BB45EB" w:rsidRPr="009E15D6" w:rsidRDefault="00BB45EB"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298C8C96" w14:textId="77777777" w:rsidR="00BB45EB" w:rsidRPr="002C2ADF" w:rsidRDefault="00BB45EB" w:rsidP="00A236AB">
    <w:pPr>
      <w:pStyle w:val="Footer"/>
      <w:ind w:right="707"/>
      <w:rPr>
        <w:b/>
      </w:rPr>
    </w:pPr>
    <w:r>
      <w:t xml:space="preserve">Essential Services Commission </w:t>
    </w:r>
    <w:sdt>
      <w:sdtPr>
        <w:rPr>
          <w:b/>
        </w:rPr>
        <w:alias w:val="Title"/>
        <w:tag w:val=""/>
        <w:id w:val="-608437720"/>
        <w:placeholder>
          <w:docPart w:val="95E81FE8971D4DA0984381202E99ECBB"/>
        </w:placeholder>
        <w:dataBinding w:prefixMappings="xmlns:ns0='http://purl.org/dc/elements/1.1/' xmlns:ns1='http://schemas.openxmlformats.org/package/2006/metadata/core-properties' " w:xpath="/ns1:coreProperties[1]/ns0:title[1]" w:storeItemID="{6C3C8BC8-F283-45AE-878A-BAB7291924A1}"/>
        <w:text/>
      </w:sdtPr>
      <w:sdtContent>
        <w:r w:rsidR="004346EB">
          <w:rPr>
            <w:b/>
          </w:rPr>
          <w:t>Goulburn-Murray Water draft decision</w:t>
        </w:r>
      </w:sdtContent>
    </w:sdt>
    <w:r>
      <w:rPr>
        <w:b/>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AD51" w14:textId="77AACAFF" w:rsidR="0042726D" w:rsidRDefault="00112A78" w:rsidP="00A236AB">
    <w:pPr>
      <w:pStyle w:val="FooterSpace"/>
      <w:ind w:right="707"/>
    </w:pPr>
    <w:r>
      <w:t>Diversion services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42726D" w14:paraId="4E4AB819"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2172DB10" w14:textId="77777777" w:rsidR="0042726D" w:rsidRPr="009E15D6" w:rsidRDefault="0042726D"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23857545" w14:textId="77777777" w:rsidR="0042726D" w:rsidRPr="002C2ADF" w:rsidRDefault="0042726D" w:rsidP="00A236AB">
    <w:pPr>
      <w:pStyle w:val="Footer"/>
      <w:ind w:right="707"/>
      <w:rPr>
        <w:b/>
      </w:rPr>
    </w:pPr>
    <w:r>
      <w:t xml:space="preserve">Essential Services Commission </w:t>
    </w:r>
    <w:sdt>
      <w:sdtPr>
        <w:rPr>
          <w:b/>
        </w:rPr>
        <w:alias w:val="Title"/>
        <w:tag w:val=""/>
        <w:id w:val="-950006783"/>
        <w:placeholder>
          <w:docPart w:val="F1B30C5AEB004994A6262674874B7B34"/>
        </w:placeholder>
        <w:dataBinding w:prefixMappings="xmlns:ns0='http://purl.org/dc/elements/1.1/' xmlns:ns1='http://schemas.openxmlformats.org/package/2006/metadata/core-properties' " w:xpath="/ns1:coreProperties[1]/ns0:title[1]" w:storeItemID="{6C3C8BC8-F283-45AE-878A-BAB7291924A1}"/>
        <w:text/>
      </w:sdtPr>
      <w:sdtContent>
        <w:r>
          <w:rPr>
            <w:b/>
          </w:rPr>
          <w:t>Goulburn-Murray Water draft decision</w:t>
        </w:r>
      </w:sdtContent>
    </w:sdt>
    <w:r>
      <w:rPr>
        <w:b/>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4A6BC" w14:textId="68A4C3CE" w:rsidR="00920876" w:rsidRDefault="00920876" w:rsidP="00A236AB">
    <w:pPr>
      <w:pStyle w:val="FooterSpace"/>
      <w:ind w:right="707"/>
    </w:pPr>
    <w:r>
      <w:t>Bulk wat</w:t>
    </w:r>
    <w:r w:rsidR="00AE06AA">
      <w:t>er stora</w:t>
    </w:r>
    <w:r w:rsidR="00A76A39">
      <w:t>ge</w:t>
    </w:r>
    <w:r>
      <w:t xml:space="preserve"> </w:t>
    </w:r>
    <w:r w:rsidR="00A70179">
      <w:t>s</w:t>
    </w:r>
    <w:r>
      <w:t>ervices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920876" w14:paraId="6CC64690"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5CD3710" w14:textId="77777777" w:rsidR="00920876" w:rsidRPr="009E15D6" w:rsidRDefault="00920876"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0D8DF5C8" w14:textId="77777777" w:rsidR="00920876" w:rsidRPr="002C2ADF" w:rsidRDefault="00920876" w:rsidP="00A236AB">
    <w:pPr>
      <w:pStyle w:val="Footer"/>
      <w:ind w:right="707"/>
      <w:rPr>
        <w:b/>
      </w:rPr>
    </w:pPr>
    <w:r>
      <w:t xml:space="preserve">Essential Services Commission </w:t>
    </w:r>
    <w:sdt>
      <w:sdtPr>
        <w:rPr>
          <w:b/>
        </w:rPr>
        <w:alias w:val="Title"/>
        <w:tag w:val=""/>
        <w:id w:val="-1531094832"/>
        <w:placeholder>
          <w:docPart w:val="F1D204BF7AAB4A69ADE110252FE44046"/>
        </w:placeholder>
        <w:dataBinding w:prefixMappings="xmlns:ns0='http://purl.org/dc/elements/1.1/' xmlns:ns1='http://schemas.openxmlformats.org/package/2006/metadata/core-properties' " w:xpath="/ns1:coreProperties[1]/ns0:title[1]" w:storeItemID="{6C3C8BC8-F283-45AE-878A-BAB7291924A1}"/>
        <w:text/>
      </w:sdtPr>
      <w:sdtContent>
        <w:r>
          <w:rPr>
            <w:b/>
          </w:rPr>
          <w:t>Goulburn-Murray Water draft decision</w:t>
        </w:r>
      </w:sdtContent>
    </w:sdt>
    <w:r>
      <w:rPr>
        <w:b/>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62E9D" w14:textId="0F36D03D" w:rsidR="00B6098C" w:rsidRDefault="008272F5" w:rsidP="00A236AB">
    <w:pPr>
      <w:pStyle w:val="FooterSpace"/>
      <w:ind w:right="707"/>
    </w:pPr>
    <w:r>
      <w:t>S</w:t>
    </w:r>
    <w:r w:rsidR="00B6098C">
      <w:t>ervice</w:t>
    </w:r>
    <w:r>
      <w:t xml:space="preserve"> point fees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B6098C" w14:paraId="7339DD4F"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C36F3F5" w14:textId="77777777" w:rsidR="00B6098C" w:rsidRPr="009E15D6" w:rsidRDefault="00B6098C"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0DEC21B4" w14:textId="77777777" w:rsidR="00B6098C" w:rsidRPr="002C2ADF" w:rsidRDefault="00B6098C" w:rsidP="00A236AB">
    <w:pPr>
      <w:pStyle w:val="Footer"/>
      <w:ind w:right="707"/>
      <w:rPr>
        <w:b/>
      </w:rPr>
    </w:pPr>
    <w:r>
      <w:t xml:space="preserve">Essential Services Commission </w:t>
    </w:r>
    <w:sdt>
      <w:sdtPr>
        <w:rPr>
          <w:b/>
        </w:rPr>
        <w:alias w:val="Title"/>
        <w:tag w:val=""/>
        <w:id w:val="-1147117909"/>
        <w:placeholder>
          <w:docPart w:val="8C95EC23ADA8403888A36759A5171A03"/>
        </w:placeholder>
        <w:dataBinding w:prefixMappings="xmlns:ns0='http://purl.org/dc/elements/1.1/' xmlns:ns1='http://schemas.openxmlformats.org/package/2006/metadata/core-properties' " w:xpath="/ns1:coreProperties[1]/ns0:title[1]" w:storeItemID="{6C3C8BC8-F283-45AE-878A-BAB7291924A1}"/>
        <w:text/>
      </w:sdtPr>
      <w:sdtContent>
        <w:r>
          <w:rPr>
            <w:b/>
          </w:rPr>
          <w:t>Goulburn-Murray Water draft decision</w:t>
        </w:r>
      </w:sdtContent>
    </w:sdt>
    <w:r>
      <w:rPr>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07871" w14:textId="08CD04B5" w:rsidR="004776AA" w:rsidRDefault="004776AA">
    <w:pPr>
      <w:pStyle w:val="Footer"/>
    </w:pPr>
  </w:p>
  <w:p w14:paraId="5FB26E5B" w14:textId="0C98D01F" w:rsidR="00BE5BE1" w:rsidRDefault="00BE5BE1"/>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17C15" w14:textId="18BC87AD" w:rsidR="00A633E5" w:rsidRDefault="0034536F" w:rsidP="00A236AB">
    <w:pPr>
      <w:pStyle w:val="FooterSpace"/>
      <w:ind w:right="707"/>
    </w:pPr>
    <w:r>
      <w:t>Other tariffs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A633E5" w14:paraId="0EFE560B"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7BA1F343" w14:textId="77777777" w:rsidR="00A633E5" w:rsidRPr="009E15D6" w:rsidRDefault="00A633E5"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4E378B7C" w14:textId="77777777" w:rsidR="00A633E5" w:rsidRPr="002C2ADF" w:rsidRDefault="00A633E5" w:rsidP="00A236AB">
    <w:pPr>
      <w:pStyle w:val="Footer"/>
      <w:ind w:right="707"/>
      <w:rPr>
        <w:b/>
      </w:rPr>
    </w:pPr>
    <w:r>
      <w:t xml:space="preserve">Essential Services Commission </w:t>
    </w:r>
    <w:sdt>
      <w:sdtPr>
        <w:rPr>
          <w:b/>
        </w:rPr>
        <w:alias w:val="Title"/>
        <w:tag w:val=""/>
        <w:id w:val="14656600"/>
        <w:placeholder>
          <w:docPart w:val="93CE704FC4684CD0955823AD0E391489"/>
        </w:placeholder>
        <w:dataBinding w:prefixMappings="xmlns:ns0='http://purl.org/dc/elements/1.1/' xmlns:ns1='http://schemas.openxmlformats.org/package/2006/metadata/core-properties' " w:xpath="/ns1:coreProperties[1]/ns0:title[1]" w:storeItemID="{6C3C8BC8-F283-45AE-878A-BAB7291924A1}"/>
        <w:text/>
      </w:sdtPr>
      <w:sdtContent>
        <w:r>
          <w:rPr>
            <w:b/>
          </w:rPr>
          <w:t>Goulburn-Murray Water draft decision</w:t>
        </w:r>
      </w:sdtContent>
    </w:sdt>
    <w:r>
      <w:rPr>
        <w:b/>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BED1" w14:textId="77777777" w:rsidR="004B2F98" w:rsidRDefault="004B2F98" w:rsidP="00A236AB">
    <w:pPr>
      <w:pStyle w:val="FooterSpace"/>
      <w:ind w:right="707"/>
    </w:pPr>
    <w:r w:rsidRPr="00997112">
      <w:t xml:space="preserve">Miscellaneous service charges </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4B2F98" w14:paraId="4A0A15D7"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23F35B80" w14:textId="77777777" w:rsidR="004B2F98" w:rsidRPr="009E15D6" w:rsidRDefault="004B2F98"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7FF4B8DC" w14:textId="395A6452" w:rsidR="004B2F98" w:rsidRPr="002C2ADF" w:rsidRDefault="004B2F98" w:rsidP="00A236AB">
    <w:pPr>
      <w:pStyle w:val="Footer"/>
      <w:ind w:right="707"/>
      <w:rPr>
        <w:b/>
      </w:rPr>
    </w:pPr>
    <w:r>
      <w:t xml:space="preserve">Essential Services Commission </w:t>
    </w:r>
    <w:sdt>
      <w:sdtPr>
        <w:rPr>
          <w:b/>
        </w:rPr>
        <w:alias w:val="Title"/>
        <w:tag w:val=""/>
        <w:id w:val="-1149429867"/>
        <w:placeholder>
          <w:docPart w:val="A732708EA6F44CB59B2398AF92E439BD"/>
        </w:placeholder>
        <w:dataBinding w:prefixMappings="xmlns:ns0='http://purl.org/dc/elements/1.1/' xmlns:ns1='http://schemas.openxmlformats.org/package/2006/metadata/core-properties' " w:xpath="/ns1:coreProperties[1]/ns0:title[1]" w:storeItemID="{6C3C8BC8-F283-45AE-878A-BAB7291924A1}"/>
        <w:text/>
      </w:sdtPr>
      <w:sdtContent>
        <w:r>
          <w:rPr>
            <w:b/>
          </w:rPr>
          <w:t>Goulburn-Murray Water draft decision</w:t>
        </w:r>
      </w:sdtContent>
    </w:sdt>
    <w:r>
      <w:rPr>
        <w:b/>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2E7E" w14:textId="02DD2BBA" w:rsidR="005A1539" w:rsidRDefault="005A1539" w:rsidP="00A236AB">
    <w:pPr>
      <w:pStyle w:val="FooterSpace"/>
      <w:ind w:right="707"/>
    </w:pPr>
    <w:r w:rsidRPr="005A1539">
      <w:t xml:space="preserve">Addressing the interests of </w:t>
    </w:r>
    <w:r w:rsidR="00004F9A">
      <w:t xml:space="preserve">customers with </w:t>
    </w:r>
    <w:r w:rsidRPr="005A1539">
      <w:t xml:space="preserve">low income </w:t>
    </w:r>
    <w:r w:rsidR="00004F9A">
      <w:t xml:space="preserve">or those experiencing </w:t>
    </w:r>
    <w:r w:rsidRPr="005A1539">
      <w:t>vulnerab</w:t>
    </w:r>
    <w:r w:rsidR="00004F9A">
      <w:t>ility</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5A1539" w14:paraId="7768FC01"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096773C" w14:textId="77777777" w:rsidR="005A1539" w:rsidRPr="009E15D6" w:rsidRDefault="005A1539"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1198AFF2" w14:textId="77777777" w:rsidR="005A1539" w:rsidRPr="002C2ADF" w:rsidRDefault="005A1539" w:rsidP="00A236AB">
    <w:pPr>
      <w:pStyle w:val="Footer"/>
      <w:ind w:right="707"/>
      <w:rPr>
        <w:b/>
      </w:rPr>
    </w:pPr>
    <w:r>
      <w:t xml:space="preserve">Essential Services Commission </w:t>
    </w:r>
    <w:sdt>
      <w:sdtPr>
        <w:rPr>
          <w:b/>
        </w:rPr>
        <w:alias w:val="Title"/>
        <w:tag w:val=""/>
        <w:id w:val="1074312132"/>
        <w:placeholder>
          <w:docPart w:val="5961CCE4384A474DAF0A13D2A7C541DB"/>
        </w:placeholder>
        <w:dataBinding w:prefixMappings="xmlns:ns0='http://purl.org/dc/elements/1.1/' xmlns:ns1='http://schemas.openxmlformats.org/package/2006/metadata/core-properties' " w:xpath="/ns1:coreProperties[1]/ns0:title[1]" w:storeItemID="{6C3C8BC8-F283-45AE-878A-BAB7291924A1}"/>
        <w:text/>
      </w:sdtPr>
      <w:sdtContent>
        <w:r>
          <w:rPr>
            <w:b/>
          </w:rPr>
          <w:t>Goulburn-Murray Water draft decision</w:t>
        </w:r>
      </w:sdtContent>
    </w:sdt>
    <w:r>
      <w:rPr>
        <w:b/>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27DB4" w14:textId="2DD51CD4" w:rsidR="00997112" w:rsidRDefault="00997112" w:rsidP="00A236AB">
    <w:pPr>
      <w:pStyle w:val="FooterSpace"/>
      <w:ind w:right="707"/>
    </w:pPr>
    <w:r>
      <w:t>Adjusting prices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997112" w14:paraId="7D1E0FAC"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E5D51F6" w14:textId="77777777" w:rsidR="00997112" w:rsidRPr="009E15D6" w:rsidRDefault="00997112"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054C3A5D" w14:textId="77777777" w:rsidR="00997112" w:rsidRPr="002C2ADF" w:rsidRDefault="00997112" w:rsidP="00A236AB">
    <w:pPr>
      <w:pStyle w:val="Footer"/>
      <w:ind w:right="707"/>
      <w:rPr>
        <w:b/>
      </w:rPr>
    </w:pPr>
    <w:r>
      <w:t xml:space="preserve">Essential Services Commission </w:t>
    </w:r>
    <w:sdt>
      <w:sdtPr>
        <w:rPr>
          <w:b/>
        </w:rPr>
        <w:alias w:val="Title"/>
        <w:tag w:val=""/>
        <w:id w:val="572398542"/>
        <w:placeholder>
          <w:docPart w:val="38A64778E6A0418E9EBFB742F375001E"/>
        </w:placeholder>
        <w:dataBinding w:prefixMappings="xmlns:ns0='http://purl.org/dc/elements/1.1/' xmlns:ns1='http://schemas.openxmlformats.org/package/2006/metadata/core-properties' " w:xpath="/ns1:coreProperties[1]/ns0:title[1]" w:storeItemID="{6C3C8BC8-F283-45AE-878A-BAB7291924A1}"/>
        <w:text/>
      </w:sdtPr>
      <w:sdtContent>
        <w:r>
          <w:rPr>
            <w:b/>
          </w:rPr>
          <w:t>Goulburn-Murray Water draft decision</w:t>
        </w:r>
      </w:sdtContent>
    </w:sdt>
    <w:r>
      <w:rPr>
        <w:b/>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716C6" w14:textId="416987E3" w:rsidR="00BF7DEC" w:rsidRDefault="00BF7DEC" w:rsidP="00A236AB">
    <w:pPr>
      <w:pStyle w:val="FooterSpace"/>
      <w:ind w:right="707"/>
    </w:pPr>
    <w:r>
      <w:t>Financial position</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BF7DEC" w14:paraId="62E0BC59"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E815684" w14:textId="77777777" w:rsidR="00BF7DEC" w:rsidRPr="009E15D6" w:rsidRDefault="00BF7DEC"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62A69D96" w14:textId="60AF09D3" w:rsidR="00BF7DEC" w:rsidRPr="002C2ADF" w:rsidRDefault="00BF7DEC" w:rsidP="00A236AB">
    <w:pPr>
      <w:pStyle w:val="Footer"/>
      <w:ind w:right="707"/>
      <w:rPr>
        <w:b/>
      </w:rPr>
    </w:pPr>
    <w:r>
      <w:t xml:space="preserve">Essential Services Commission </w:t>
    </w:r>
    <w:sdt>
      <w:sdtPr>
        <w:rPr>
          <w:b/>
        </w:rPr>
        <w:alias w:val="Title"/>
        <w:tag w:val=""/>
        <w:id w:val="378051864"/>
        <w:placeholder>
          <w:docPart w:val="307D8913B3F44B87874977D2938EAB5A"/>
        </w:placeholder>
        <w:dataBinding w:prefixMappings="xmlns:ns0='http://purl.org/dc/elements/1.1/' xmlns:ns1='http://schemas.openxmlformats.org/package/2006/metadata/core-properties' " w:xpath="/ns1:coreProperties[1]/ns0:title[1]" w:storeItemID="{6C3C8BC8-F283-45AE-878A-BAB7291924A1}"/>
        <w:text/>
      </w:sdtPr>
      <w:sdtContent>
        <w:r w:rsidR="004346EB">
          <w:rPr>
            <w:b/>
          </w:rPr>
          <w:t>Goulburn-Murray Water draft decision</w:t>
        </w:r>
      </w:sdtContent>
    </w:sdt>
    <w:r>
      <w:rPr>
        <w:b/>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8894F" w14:textId="0C0234E7" w:rsidR="008706A9" w:rsidRDefault="008706A9" w:rsidP="00A236AB">
    <w:pPr>
      <w:pStyle w:val="FooterSpace"/>
      <w:ind w:right="707"/>
    </w:pPr>
    <w:r>
      <w:t>PREMO rating</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8706A9" w14:paraId="68A1FACD"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0C88BA4" w14:textId="77777777" w:rsidR="008706A9" w:rsidRPr="009E15D6" w:rsidRDefault="008706A9"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291F7DB7" w14:textId="6DCE6095" w:rsidR="008706A9" w:rsidRPr="002C2ADF" w:rsidRDefault="008706A9" w:rsidP="00A236AB">
    <w:pPr>
      <w:pStyle w:val="Footer"/>
      <w:ind w:right="707"/>
      <w:rPr>
        <w:b/>
      </w:rPr>
    </w:pPr>
    <w:r>
      <w:t xml:space="preserve">Essential Services Commission </w:t>
    </w:r>
    <w:sdt>
      <w:sdtPr>
        <w:rPr>
          <w:b/>
        </w:rPr>
        <w:alias w:val="Title"/>
        <w:tag w:val=""/>
        <w:id w:val="1201286275"/>
        <w:placeholder>
          <w:docPart w:val="567F915EBA9D43F3BFA4445247AF7E8D"/>
        </w:placeholder>
        <w:dataBinding w:prefixMappings="xmlns:ns0='http://purl.org/dc/elements/1.1/' xmlns:ns1='http://schemas.openxmlformats.org/package/2006/metadata/core-properties' " w:xpath="/ns1:coreProperties[1]/ns0:title[1]" w:storeItemID="{6C3C8BC8-F283-45AE-878A-BAB7291924A1}"/>
        <w:text/>
      </w:sdtPr>
      <w:sdtContent>
        <w:r w:rsidR="004346EB">
          <w:rPr>
            <w:b/>
          </w:rPr>
          <w:t>Goulburn-Murray Water draft decision</w:t>
        </w:r>
      </w:sdtContent>
    </w:sdt>
    <w:r>
      <w:rPr>
        <w:b/>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A0B22" w14:textId="77777777" w:rsidR="00A46468" w:rsidRDefault="00A46468" w:rsidP="00A236AB">
    <w:pPr>
      <w:pStyle w:val="FooterSpace"/>
      <w:ind w:right="707"/>
    </w:pPr>
    <w:r>
      <w:t>Submissions received</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A46468" w14:paraId="53A00420"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09A9D6BF" w14:textId="77777777" w:rsidR="00A46468" w:rsidRPr="009E15D6" w:rsidRDefault="00A46468"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3CCB15F1" w14:textId="660358A5" w:rsidR="00A46468" w:rsidRPr="002C2ADF" w:rsidRDefault="00A46468" w:rsidP="00A236AB">
    <w:pPr>
      <w:pStyle w:val="Footer"/>
      <w:ind w:right="707"/>
      <w:rPr>
        <w:b/>
      </w:rPr>
    </w:pPr>
    <w:r>
      <w:t xml:space="preserve">Essential Services Commission </w:t>
    </w:r>
    <w:sdt>
      <w:sdtPr>
        <w:rPr>
          <w:b/>
        </w:rPr>
        <w:alias w:val="Title"/>
        <w:tag w:val=""/>
        <w:id w:val="-1595700930"/>
        <w:placeholder>
          <w:docPart w:val="1758A017CD6B41D088D263D4E6DEDA78"/>
        </w:placeholder>
        <w:dataBinding w:prefixMappings="xmlns:ns0='http://purl.org/dc/elements/1.1/' xmlns:ns1='http://schemas.openxmlformats.org/package/2006/metadata/core-properties' " w:xpath="/ns1:coreProperties[1]/ns0:title[1]" w:storeItemID="{6C3C8BC8-F283-45AE-878A-BAB7291924A1}"/>
        <w:text/>
      </w:sdtPr>
      <w:sdtContent>
        <w:r w:rsidR="004346EB">
          <w:rPr>
            <w:b/>
          </w:rPr>
          <w:t>Goulburn-Murray Water draft decision</w:t>
        </w:r>
      </w:sdtContent>
    </w:sdt>
    <w:r>
      <w:rPr>
        <w:b/>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84A8" w14:textId="5E20277B" w:rsidR="00456FD5" w:rsidRDefault="00D36A0D" w:rsidP="00A236AB">
    <w:pPr>
      <w:pStyle w:val="FooterSpace"/>
      <w:ind w:right="707"/>
    </w:pPr>
    <w:r w:rsidRPr="00D36A0D">
      <w:t>Commission’s consideration of legal requirements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456FD5" w14:paraId="720ED9BF"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0953E1EC" w14:textId="77777777" w:rsidR="00456FD5" w:rsidRPr="009E15D6" w:rsidRDefault="00456FD5"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3EC46B60" w14:textId="488DF78A" w:rsidR="00456FD5" w:rsidRPr="002C2ADF" w:rsidRDefault="00456FD5" w:rsidP="00A236AB">
    <w:pPr>
      <w:pStyle w:val="Footer"/>
      <w:ind w:right="707"/>
      <w:rPr>
        <w:b/>
      </w:rPr>
    </w:pPr>
    <w:r>
      <w:t xml:space="preserve">Essential Services Commission </w:t>
    </w:r>
    <w:sdt>
      <w:sdtPr>
        <w:rPr>
          <w:b/>
        </w:rPr>
        <w:alias w:val="Title"/>
        <w:tag w:val=""/>
        <w:id w:val="-106974279"/>
        <w:placeholder>
          <w:docPart w:val="CC1463DA7ABD447A96090107B133C92F"/>
        </w:placeholder>
        <w:dataBinding w:prefixMappings="xmlns:ns0='http://purl.org/dc/elements/1.1/' xmlns:ns1='http://schemas.openxmlformats.org/package/2006/metadata/core-properties' " w:xpath="/ns1:coreProperties[1]/ns0:title[1]" w:storeItemID="{6C3C8BC8-F283-45AE-878A-BAB7291924A1}"/>
        <w:text/>
      </w:sdtPr>
      <w:sdtContent>
        <w:r w:rsidR="004346EB">
          <w:rPr>
            <w:b/>
          </w:rPr>
          <w:t>Goulburn-Murray Water draft decision</w:t>
        </w:r>
      </w:sdtContent>
    </w:sdt>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72D5F" w14:textId="20F12972" w:rsidR="004776AA" w:rsidRDefault="004776AA">
    <w:pPr>
      <w:pStyle w:val="Footer"/>
    </w:pPr>
  </w:p>
  <w:p w14:paraId="535969A8" w14:textId="29243433" w:rsidR="00BE5BE1" w:rsidRDefault="00BE5BE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8971D" w14:textId="77777777" w:rsidR="003A30F3" w:rsidRDefault="003A30F3" w:rsidP="00A236AB">
    <w:pPr>
      <w:pStyle w:val="FooterSpace"/>
      <w:ind w:right="707"/>
    </w:pPr>
    <w:r>
      <w:t>Preface</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50F0C0F2"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EBA0222" w14:textId="77777777" w:rsidR="003A30F3" w:rsidRPr="009E15D6" w:rsidRDefault="003A30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936B74">
            <w:rPr>
              <w:rStyle w:val="PageNumber"/>
              <w:noProof/>
            </w:rPr>
            <w:t>i</w:t>
          </w:r>
          <w:r w:rsidRPr="009E15D6">
            <w:rPr>
              <w:rStyle w:val="PageNumber"/>
            </w:rPr>
            <w:fldChar w:fldCharType="end"/>
          </w:r>
        </w:p>
      </w:tc>
    </w:tr>
  </w:tbl>
  <w:p w14:paraId="3F26E1A6" w14:textId="2E2C4BF5" w:rsidR="003A30F3" w:rsidRPr="002C2ADF" w:rsidRDefault="003A30F3" w:rsidP="00A236AB">
    <w:pPr>
      <w:pStyle w:val="Footer"/>
      <w:ind w:right="707"/>
      <w:rPr>
        <w:b/>
      </w:rPr>
    </w:pPr>
    <w:r>
      <w:t xml:space="preserve">Essential Services Commission </w:t>
    </w:r>
    <w:sdt>
      <w:sdtPr>
        <w:rPr>
          <w:b/>
        </w:rPr>
        <w:alias w:val="Title"/>
        <w:tag w:val=""/>
        <w:id w:val="779065399"/>
        <w:placeholder>
          <w:docPart w:val="0D8C47B280514B998F856862935366E6"/>
        </w:placeholder>
        <w:dataBinding w:prefixMappings="xmlns:ns0='http://purl.org/dc/elements/1.1/' xmlns:ns1='http://schemas.openxmlformats.org/package/2006/metadata/core-properties' " w:xpath="/ns1:coreProperties[1]/ns0:title[1]" w:storeItemID="{6C3C8BC8-F283-45AE-878A-BAB7291924A1}"/>
        <w:text/>
      </w:sdtPr>
      <w:sdtContent>
        <w:r w:rsidR="004346EB">
          <w:rPr>
            <w:b/>
          </w:rPr>
          <w:t>Goulburn-Murray Water draft decision</w:t>
        </w:r>
      </w:sdtContent>
    </w:sdt>
    <w:r>
      <w:rPr>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47720" w14:textId="77777777" w:rsidR="003A30F3" w:rsidRPr="00707B2F" w:rsidRDefault="003A30F3" w:rsidP="00A236AB">
    <w:pPr>
      <w:pStyle w:val="FooterSpace"/>
      <w:ind w:right="707"/>
    </w:pPr>
    <w:r>
      <w:t>Contents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381773F3"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5DDB1091" w14:textId="77777777" w:rsidR="003A30F3" w:rsidRPr="009E15D6" w:rsidRDefault="003A30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936B74">
            <w:rPr>
              <w:rStyle w:val="PageNumber"/>
              <w:noProof/>
            </w:rPr>
            <w:t>iii</w:t>
          </w:r>
          <w:r w:rsidRPr="009E15D6">
            <w:rPr>
              <w:rStyle w:val="PageNumber"/>
            </w:rPr>
            <w:fldChar w:fldCharType="end"/>
          </w:r>
        </w:p>
      </w:tc>
    </w:tr>
  </w:tbl>
  <w:p w14:paraId="76C812FB" w14:textId="3C7B93C5" w:rsidR="003A30F3" w:rsidRPr="002C2ADF" w:rsidRDefault="003A30F3" w:rsidP="00A236AB">
    <w:pPr>
      <w:pStyle w:val="Footer"/>
      <w:ind w:right="283"/>
      <w:rPr>
        <w:b/>
      </w:rPr>
    </w:pPr>
    <w:r>
      <w:t xml:space="preserve">Essential Services Commission </w:t>
    </w:r>
    <w:sdt>
      <w:sdtPr>
        <w:rPr>
          <w:b/>
        </w:rPr>
        <w:alias w:val="Title"/>
        <w:tag w:val=""/>
        <w:id w:val="233746944"/>
        <w:placeholder>
          <w:docPart w:val="F92DE4CB5F3D4409942609ECF7F112C8"/>
        </w:placeholder>
        <w:dataBinding w:prefixMappings="xmlns:ns0='http://purl.org/dc/elements/1.1/' xmlns:ns1='http://schemas.openxmlformats.org/package/2006/metadata/core-properties' " w:xpath="/ns1:coreProperties[1]/ns0:title[1]" w:storeItemID="{6C3C8BC8-F283-45AE-878A-BAB7291924A1}"/>
        <w:text/>
      </w:sdtPr>
      <w:sdtContent>
        <w:r w:rsidR="004346EB">
          <w:rPr>
            <w:b/>
          </w:rPr>
          <w:t>Goulburn-Murray Water draft decision</w:t>
        </w:r>
      </w:sdtContent>
    </w:sdt>
    <w:r w:rsidR="00392C6B">
      <w:rPr>
        <w: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DC05" w14:textId="77777777" w:rsidR="003A30F3" w:rsidRDefault="003A30F3" w:rsidP="00A236AB">
    <w:pPr>
      <w:pStyle w:val="FooterSpace"/>
      <w:ind w:right="707"/>
    </w:pPr>
    <w:r>
      <w:t>Summary</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7F2013B1"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5CCEA86C" w14:textId="77777777" w:rsidR="003A30F3" w:rsidRPr="009E15D6" w:rsidRDefault="003A30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936B74">
            <w:rPr>
              <w:rStyle w:val="PageNumber"/>
              <w:noProof/>
            </w:rPr>
            <w:t>iv</w:t>
          </w:r>
          <w:r w:rsidRPr="009E15D6">
            <w:rPr>
              <w:rStyle w:val="PageNumber"/>
            </w:rPr>
            <w:fldChar w:fldCharType="end"/>
          </w:r>
        </w:p>
      </w:tc>
    </w:tr>
  </w:tbl>
  <w:p w14:paraId="0CA0730D" w14:textId="259BFE52" w:rsidR="003A30F3" w:rsidRPr="002C2ADF" w:rsidRDefault="003A30F3" w:rsidP="00A236AB">
    <w:pPr>
      <w:pStyle w:val="Footer"/>
      <w:ind w:right="707"/>
      <w:rPr>
        <w:b/>
      </w:rPr>
    </w:pPr>
    <w:r>
      <w:t xml:space="preserve">Essential Services Commission </w:t>
    </w:r>
    <w:sdt>
      <w:sdtPr>
        <w:rPr>
          <w:b/>
        </w:rPr>
        <w:alias w:val="Title"/>
        <w:tag w:val=""/>
        <w:id w:val="215248778"/>
        <w:placeholder>
          <w:docPart w:val="CBB558AD63A54A23BA83322EC5CE4376"/>
        </w:placeholder>
        <w:dataBinding w:prefixMappings="xmlns:ns0='http://purl.org/dc/elements/1.1/' xmlns:ns1='http://schemas.openxmlformats.org/package/2006/metadata/core-properties' " w:xpath="/ns1:coreProperties[1]/ns0:title[1]" w:storeItemID="{6C3C8BC8-F283-45AE-878A-BAB7291924A1}"/>
        <w:text/>
      </w:sdtPr>
      <w:sdtContent>
        <w:r w:rsidR="004346EB">
          <w:rPr>
            <w:b/>
          </w:rPr>
          <w:t>Goulburn-Murray Water draft decision</w:t>
        </w:r>
      </w:sdtContent>
    </w:sdt>
    <w:r>
      <w:rPr>
        <w:b/>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0E88C" w14:textId="77777777" w:rsidR="00E25F73" w:rsidRDefault="00E25F73" w:rsidP="00A236AB">
    <w:pPr>
      <w:pStyle w:val="FooterSpace"/>
      <w:ind w:right="707"/>
    </w:pPr>
    <w:r>
      <w:t>Summary</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E25F73" w14:paraId="62008B44"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0C061FD9" w14:textId="77777777" w:rsidR="00E25F73" w:rsidRPr="009E15D6" w:rsidRDefault="00E25F7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49EB9BD3" w14:textId="621D1B4C" w:rsidR="00E25F73" w:rsidRPr="002C2ADF" w:rsidRDefault="00E25F73" w:rsidP="00A236AB">
    <w:pPr>
      <w:pStyle w:val="Footer"/>
      <w:ind w:right="707"/>
      <w:rPr>
        <w:b/>
      </w:rPr>
    </w:pPr>
    <w:r>
      <w:t xml:space="preserve">Essential Services Commission </w:t>
    </w:r>
    <w:sdt>
      <w:sdtPr>
        <w:rPr>
          <w:b/>
        </w:rPr>
        <w:alias w:val="Title"/>
        <w:tag w:val=""/>
        <w:id w:val="-549460968"/>
        <w:placeholder>
          <w:docPart w:val="CBB558AD63A54A23BA83322EC5CE4376"/>
        </w:placeholder>
        <w:dataBinding w:prefixMappings="xmlns:ns0='http://purl.org/dc/elements/1.1/' xmlns:ns1='http://schemas.openxmlformats.org/package/2006/metadata/core-properties' " w:xpath="/ns1:coreProperties[1]/ns0:title[1]" w:storeItemID="{6C3C8BC8-F283-45AE-878A-BAB7291924A1}"/>
        <w:text/>
      </w:sdtPr>
      <w:sdtContent>
        <w:r w:rsidR="004346EB">
          <w:rPr>
            <w:b/>
          </w:rPr>
          <w:t>Goulburn-Murray Water draft decision</w:t>
        </w:r>
      </w:sdtContent>
    </w:sdt>
    <w:r>
      <w:rPr>
        <w:b/>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FAA7" w14:textId="787FE9FD" w:rsidR="003A30F3" w:rsidRDefault="00A97818" w:rsidP="00A236AB">
    <w:pPr>
      <w:pStyle w:val="FooterSpace"/>
      <w:ind w:right="707"/>
    </w:pPr>
    <w:r w:rsidRPr="00A97818">
      <w:t>Our role and approach to water pricing</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114647B7"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3BBA8C4" w14:textId="77777777" w:rsidR="003A30F3" w:rsidRPr="009E15D6" w:rsidRDefault="003A30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936B74">
            <w:rPr>
              <w:rStyle w:val="PageNumber"/>
              <w:noProof/>
            </w:rPr>
            <w:t>11</w:t>
          </w:r>
          <w:r w:rsidRPr="009E15D6">
            <w:rPr>
              <w:rStyle w:val="PageNumber"/>
            </w:rPr>
            <w:fldChar w:fldCharType="end"/>
          </w:r>
        </w:p>
      </w:tc>
    </w:tr>
  </w:tbl>
  <w:p w14:paraId="5039E928" w14:textId="393BCD00" w:rsidR="003A30F3" w:rsidRPr="00CF2B15" w:rsidRDefault="003A30F3" w:rsidP="00A236AB">
    <w:pPr>
      <w:pStyle w:val="Footer"/>
      <w:ind w:right="707"/>
      <w:rPr>
        <w:b/>
      </w:rPr>
    </w:pPr>
    <w:r>
      <w:t xml:space="preserve">Essential Services Commission </w:t>
    </w:r>
    <w:sdt>
      <w:sdtPr>
        <w:rPr>
          <w:b/>
        </w:rPr>
        <w:alias w:val="Title"/>
        <w:tag w:val=""/>
        <w:id w:val="-1241334570"/>
        <w:placeholder>
          <w:docPart w:val="214E0707627E471AB3EC0B79B6D2F405"/>
        </w:placeholder>
        <w:dataBinding w:prefixMappings="xmlns:ns0='http://purl.org/dc/elements/1.1/' xmlns:ns1='http://schemas.openxmlformats.org/package/2006/metadata/core-properties' " w:xpath="/ns1:coreProperties[1]/ns0:title[1]" w:storeItemID="{6C3C8BC8-F283-45AE-878A-BAB7291924A1}"/>
        <w:text/>
      </w:sdtPr>
      <w:sdtContent>
        <w:r w:rsidR="004346EB">
          <w:rPr>
            <w:b/>
          </w:rPr>
          <w:t>Goulburn-Murray Water draft decision</w:t>
        </w:r>
      </w:sdtContent>
    </w:sdt>
    <w:r>
      <w:rPr>
        <w:b/>
      </w:rPr>
      <w:t xml:space="preserve">   </w:t>
    </w:r>
    <w:r w:rsidRPr="00CF2B15">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12C4E" w14:textId="2ED74F1A" w:rsidR="00E02D43" w:rsidRPr="00D16684" w:rsidRDefault="00E02D43" w:rsidP="00D16684">
    <w:pPr>
      <w:pStyle w:val="Footer"/>
    </w:pPr>
    <w:r w:rsidRPr="00D1668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A96B4" w14:textId="77777777" w:rsidR="00DB48F2" w:rsidRPr="00CF33F6" w:rsidRDefault="00DB48F2" w:rsidP="00AE03FA">
      <w:pPr>
        <w:spacing w:after="0"/>
        <w:rPr>
          <w:color w:val="75787B" w:themeColor="background2"/>
        </w:rPr>
      </w:pPr>
      <w:bookmarkStart w:id="0" w:name="_Hlk480978878"/>
      <w:bookmarkEnd w:id="0"/>
      <w:r w:rsidRPr="00CF33F6">
        <w:rPr>
          <w:color w:val="75787B" w:themeColor="background2"/>
        </w:rPr>
        <w:separator/>
      </w:r>
    </w:p>
  </w:footnote>
  <w:footnote w:type="continuationSeparator" w:id="0">
    <w:p w14:paraId="4CFFF5FA" w14:textId="77777777" w:rsidR="00DB48F2" w:rsidRDefault="00DB48F2" w:rsidP="00AE03FA">
      <w:pPr>
        <w:spacing w:after="0"/>
      </w:pPr>
      <w:r>
        <w:continuationSeparator/>
      </w:r>
    </w:p>
    <w:p w14:paraId="128C4D18" w14:textId="77777777" w:rsidR="00DB48F2" w:rsidRDefault="00DB48F2"/>
  </w:footnote>
  <w:footnote w:type="continuationNotice" w:id="1">
    <w:p w14:paraId="719A343B" w14:textId="77777777" w:rsidR="00DB48F2" w:rsidRDefault="00DB48F2">
      <w:pPr>
        <w:spacing w:before="0" w:after="0" w:line="240" w:lineRule="auto"/>
      </w:pPr>
    </w:p>
  </w:footnote>
  <w:footnote w:id="2">
    <w:p w14:paraId="277B7D7D" w14:textId="551CDAD8" w:rsidR="00D6527C" w:rsidRPr="00D6527C" w:rsidRDefault="00D6527C" w:rsidP="00CA358B">
      <w:pPr>
        <w:pStyle w:val="FootnoteText"/>
        <w:rPr>
          <w:lang w:val="en-US"/>
        </w:rPr>
      </w:pPr>
      <w:r>
        <w:rPr>
          <w:rStyle w:val="FootnoteReference"/>
        </w:rPr>
        <w:footnoteRef/>
      </w:r>
      <w:r>
        <w:t xml:space="preserve"> </w:t>
      </w:r>
      <w:r w:rsidR="00CA358B">
        <w:tab/>
      </w:r>
      <w:r w:rsidR="00CA358B" w:rsidRPr="00CA358B">
        <w:t xml:space="preserve">Clause 16 of the Water Industry Regulatory Order 2014 requires </w:t>
      </w:r>
      <w:r w:rsidR="003663A9">
        <w:t>the Essential Services Commission</w:t>
      </w:r>
      <w:r w:rsidR="00CA358B" w:rsidRPr="00CA358B">
        <w:t xml:space="preserve"> to issue a draft decision; </w:t>
      </w:r>
      <w:r w:rsidR="00A16B80">
        <w:t>Goulburn-Murray Water</w:t>
      </w:r>
      <w:r w:rsidR="00CA358B" w:rsidRPr="00CA358B">
        <w:t>’s price submission is available on our website at www.esc.vic.gov.au.</w:t>
      </w:r>
    </w:p>
  </w:footnote>
  <w:footnote w:id="3">
    <w:p w14:paraId="1EB5A565" w14:textId="052714A2" w:rsidR="001F59D5" w:rsidRDefault="001F59D5" w:rsidP="001F59D5">
      <w:pPr>
        <w:pStyle w:val="FootnoteText"/>
      </w:pPr>
      <w:r w:rsidRPr="00AA1DF8">
        <w:rPr>
          <w:rStyle w:val="FootnoteReference"/>
        </w:rPr>
        <w:footnoteRef/>
      </w:r>
      <w:r w:rsidR="00190B8E" w:rsidRPr="00AA1DF8">
        <w:t xml:space="preserve"> </w:t>
      </w:r>
      <w:r w:rsidR="00190B8E" w:rsidRPr="00AA1DF8">
        <w:tab/>
      </w:r>
      <w:r w:rsidRPr="00AA1DF8">
        <w:t xml:space="preserve">Goulburn-Murray Water, </w:t>
      </w:r>
      <w:r w:rsidRPr="00AA1DF8">
        <w:rPr>
          <w:i/>
        </w:rPr>
        <w:t>GMW Price Submission 2024</w:t>
      </w:r>
      <w:r w:rsidRPr="00AA1DF8">
        <w:t>, September 2023, p. 40.</w:t>
      </w:r>
    </w:p>
  </w:footnote>
  <w:footnote w:id="4">
    <w:p w14:paraId="56DE3A6B" w14:textId="0588265A" w:rsidR="005A2979" w:rsidRPr="00701908" w:rsidRDefault="005A2979" w:rsidP="005A2979">
      <w:pPr>
        <w:pStyle w:val="FootnoteText"/>
        <w:rPr>
          <w:lang w:val="en-US"/>
        </w:rPr>
      </w:pPr>
      <w:r>
        <w:rPr>
          <w:rStyle w:val="FootnoteReference"/>
        </w:rPr>
        <w:footnoteRef/>
      </w:r>
      <w:r>
        <w:t xml:space="preserve"> </w:t>
      </w:r>
      <w:r>
        <w:tab/>
      </w:r>
      <w:r w:rsidRPr="00701908">
        <w:t>The revenue requirement is the forecast amount a water corporation needs to deliver on customer outcomes, government policy, and obligations monitored by technical regulators including the Environment Protection Authority Victoria and the Department of Health. Along with forecast demand, it is an input to calculating the prices to be charged by a water corporation</w:t>
      </w:r>
      <w:r w:rsidR="00386AA9">
        <w:t>.</w:t>
      </w:r>
    </w:p>
  </w:footnote>
  <w:footnote w:id="5">
    <w:p w14:paraId="5FB9D503" w14:textId="4030EE02" w:rsidR="00177D73" w:rsidRDefault="00177D73">
      <w:pPr>
        <w:pStyle w:val="FootnoteText"/>
      </w:pPr>
      <w:r>
        <w:rPr>
          <w:rStyle w:val="FootnoteReference"/>
        </w:rPr>
        <w:footnoteRef/>
      </w:r>
      <w:r>
        <w:t xml:space="preserve"> </w:t>
      </w:r>
      <w:r w:rsidR="000411A0">
        <w:t xml:space="preserve">  </w:t>
      </w:r>
      <w:r>
        <w:t xml:space="preserve"> </w:t>
      </w:r>
      <w:r w:rsidR="005600A9">
        <w:t>O</w:t>
      </w:r>
      <w:r w:rsidR="00833AA6">
        <w:t>nce the March quarter CPI has been released</w:t>
      </w:r>
      <w:r w:rsidR="00497723">
        <w:t>,</w:t>
      </w:r>
      <w:r w:rsidR="00833AA6">
        <w:t xml:space="preserve"> </w:t>
      </w:r>
      <w:r w:rsidR="00502246">
        <w:t>t</w:t>
      </w:r>
      <w:r w:rsidR="009525D9">
        <w:t>he commission will re</w:t>
      </w:r>
      <w:r w:rsidR="00026688">
        <w:t>-estimate the long-term inflation forecast prior to final decision</w:t>
      </w:r>
      <w:r w:rsidR="008271A8">
        <w:t>,</w:t>
      </w:r>
      <w:r w:rsidR="005600A9">
        <w:t xml:space="preserve"> as stated in our guidance p40</w:t>
      </w:r>
      <w:r w:rsidR="003D0830">
        <w:t>. This may change the long-term inflation forecast from 3 per cent.</w:t>
      </w:r>
      <w:r w:rsidR="00026688">
        <w:t xml:space="preserve"> </w:t>
      </w:r>
    </w:p>
  </w:footnote>
  <w:footnote w:id="6">
    <w:p w14:paraId="30511F15" w14:textId="73DB975F" w:rsidR="001C7BA6" w:rsidRPr="00686184" w:rsidRDefault="001C7BA6" w:rsidP="001C7BA6">
      <w:pPr>
        <w:pStyle w:val="FootnoteText"/>
        <w:rPr>
          <w:highlight w:val="cyan"/>
        </w:rPr>
      </w:pPr>
      <w:r w:rsidRPr="00091805">
        <w:rPr>
          <w:rStyle w:val="FootnoteReference"/>
        </w:rPr>
        <w:footnoteRef/>
      </w:r>
      <w:r w:rsidRPr="00091805">
        <w:t xml:space="preserve"> </w:t>
      </w:r>
      <w:r w:rsidR="00AB4C51" w:rsidRPr="00091805">
        <w:tab/>
      </w:r>
      <w:r w:rsidRPr="00091805">
        <w:t xml:space="preserve">Essential Services Commission, 2024 </w:t>
      </w:r>
      <w:r w:rsidRPr="00091805">
        <w:rPr>
          <w:i/>
        </w:rPr>
        <w:t>Goulburn-Murray Water price review: Guidance</w:t>
      </w:r>
      <w:r w:rsidRPr="00091805">
        <w:t xml:space="preserve"> </w:t>
      </w:r>
      <w:r w:rsidRPr="00091805">
        <w:rPr>
          <w:i/>
        </w:rPr>
        <w:t>paper</w:t>
      </w:r>
      <w:r w:rsidRPr="00091805">
        <w:t>, September 2022, p. 51–56.</w:t>
      </w:r>
    </w:p>
  </w:footnote>
  <w:footnote w:id="7">
    <w:p w14:paraId="1CF622CE" w14:textId="71A3E3D5" w:rsidR="009E7315" w:rsidRPr="006668A9" w:rsidRDefault="009E7315" w:rsidP="006668A9">
      <w:pPr>
        <w:pStyle w:val="FootnoteText"/>
        <w:rPr>
          <w:lang w:val="en-US"/>
        </w:rPr>
      </w:pPr>
      <w:r>
        <w:rPr>
          <w:rStyle w:val="FootnoteReference"/>
        </w:rPr>
        <w:footnoteRef/>
      </w:r>
      <w:r>
        <w:t xml:space="preserve">  </w:t>
      </w:r>
      <w:r w:rsidR="006668A9" w:rsidRPr="006668A9">
        <w:t>The</w:t>
      </w:r>
      <w:r w:rsidR="006B55C1">
        <w:t xml:space="preserve"> </w:t>
      </w:r>
      <w:r w:rsidR="00A0736D">
        <w:t xml:space="preserve">full list of </w:t>
      </w:r>
      <w:r w:rsidR="00A0736D" w:rsidRPr="006668A9">
        <w:t>prescribed servic</w:t>
      </w:r>
      <w:r w:rsidR="00A0736D">
        <w:t xml:space="preserve">es that are subject to price regulation under WIRO </w:t>
      </w:r>
      <w:r w:rsidR="00A0736D" w:rsidRPr="006668A9">
        <w:t>are listed at clause 7(b) of the WIRO</w:t>
      </w:r>
      <w:r w:rsidR="00A0736D">
        <w:t>.</w:t>
      </w:r>
      <w:r w:rsidR="001E1E96">
        <w:t xml:space="preserve"> </w:t>
      </w:r>
      <w:r w:rsidR="009F7D49">
        <w:t>Some</w:t>
      </w:r>
      <w:r w:rsidR="00B13107">
        <w:t xml:space="preserve"> of these </w:t>
      </w:r>
      <w:r w:rsidR="009B3C92">
        <w:t xml:space="preserve">services </w:t>
      </w:r>
      <w:r w:rsidR="00B13107">
        <w:t xml:space="preserve">are </w:t>
      </w:r>
      <w:r w:rsidR="009F7D49">
        <w:t xml:space="preserve">not </w:t>
      </w:r>
      <w:r w:rsidR="00B13107">
        <w:t xml:space="preserve">relevant for Goulburn-Murray Water’s </w:t>
      </w:r>
      <w:r w:rsidR="002F7003">
        <w:t xml:space="preserve">regulated water </w:t>
      </w:r>
      <w:r w:rsidR="00B13107">
        <w:t>business.</w:t>
      </w:r>
      <w:r w:rsidR="006B55C1">
        <w:t xml:space="preserve"> </w:t>
      </w:r>
    </w:p>
  </w:footnote>
  <w:footnote w:id="8">
    <w:p w14:paraId="0F5478D6" w14:textId="56E43C34" w:rsidR="00703624" w:rsidRDefault="00703624">
      <w:pPr>
        <w:pStyle w:val="FootnoteText"/>
      </w:pPr>
      <w:r w:rsidRPr="006850AA">
        <w:rPr>
          <w:rStyle w:val="FootnoteReference"/>
        </w:rPr>
        <w:footnoteRef/>
      </w:r>
      <w:r w:rsidRPr="006850AA">
        <w:t xml:space="preserve">  </w:t>
      </w:r>
      <w:r w:rsidR="0077635A" w:rsidRPr="006850AA">
        <w:t>Prior to 1 July 2024</w:t>
      </w:r>
      <w:r w:rsidRPr="006850AA">
        <w:t xml:space="preserve">, </w:t>
      </w:r>
      <w:r w:rsidR="00D92FC9" w:rsidRPr="006850AA">
        <w:t>Goulburn</w:t>
      </w:r>
      <w:r w:rsidR="00D71AFD" w:rsidRPr="006850AA">
        <w:t>-</w:t>
      </w:r>
      <w:r w:rsidR="00D92FC9" w:rsidRPr="006850AA">
        <w:t>Murra</w:t>
      </w:r>
      <w:r w:rsidR="00D71AFD" w:rsidRPr="006850AA">
        <w:t>y Water’s</w:t>
      </w:r>
      <w:r w:rsidRPr="006850AA">
        <w:t xml:space="preserve"> infrastructure-related services </w:t>
      </w:r>
      <w:r w:rsidR="00DD1B7B">
        <w:t>were</w:t>
      </w:r>
      <w:r w:rsidRPr="006850AA">
        <w:t xml:space="preserve"> regulated under the Water Charge (Infrastructure) Rules 2010.</w:t>
      </w:r>
    </w:p>
  </w:footnote>
  <w:footnote w:id="9">
    <w:p w14:paraId="22B59992" w14:textId="65E2C8E4" w:rsidR="00543557" w:rsidRPr="00543557" w:rsidRDefault="00543557" w:rsidP="00543557">
      <w:pPr>
        <w:pStyle w:val="FootnoteText"/>
        <w:rPr>
          <w:lang w:val="en-US"/>
        </w:rPr>
      </w:pPr>
      <w:r>
        <w:rPr>
          <w:rStyle w:val="FootnoteReference"/>
        </w:rPr>
        <w:footnoteRef/>
      </w:r>
      <w:r>
        <w:t xml:space="preserve">  </w:t>
      </w:r>
      <w:r w:rsidR="00D501F5" w:rsidRPr="00543557">
        <w:t>Essential Services Commission</w:t>
      </w:r>
      <w:r w:rsidR="00D501F5">
        <w:t xml:space="preserve"> 2022</w:t>
      </w:r>
      <w:r w:rsidR="00D501F5" w:rsidRPr="00543557">
        <w:t>,</w:t>
      </w:r>
      <w:r w:rsidR="00D501F5">
        <w:rPr>
          <w:i/>
          <w:iCs/>
        </w:rPr>
        <w:t xml:space="preserve"> </w:t>
      </w:r>
      <w:r w:rsidR="00620BC6" w:rsidRPr="00665793">
        <w:rPr>
          <w:i/>
          <w:iCs/>
        </w:rPr>
        <w:t>2024 G</w:t>
      </w:r>
      <w:r w:rsidR="00D501F5" w:rsidRPr="00665793">
        <w:rPr>
          <w:i/>
          <w:iCs/>
        </w:rPr>
        <w:t>oulburn-Murray Water price review: Guidance paper</w:t>
      </w:r>
      <w:r w:rsidR="00D501F5" w:rsidRPr="00665793">
        <w:t>, 13</w:t>
      </w:r>
      <w:r w:rsidR="00D501F5">
        <w:t xml:space="preserve"> September 2022</w:t>
      </w:r>
      <w:r w:rsidRPr="00543557">
        <w:t>.</w:t>
      </w:r>
    </w:p>
  </w:footnote>
  <w:footnote w:id="10">
    <w:p w14:paraId="32B00172" w14:textId="4841D20E" w:rsidR="006A4483" w:rsidRDefault="006A4483">
      <w:pPr>
        <w:pStyle w:val="FootnoteText"/>
      </w:pPr>
      <w:r>
        <w:rPr>
          <w:rStyle w:val="FootnoteReference"/>
        </w:rPr>
        <w:footnoteRef/>
      </w:r>
      <w:r w:rsidR="006A2A80">
        <w:t xml:space="preserve">  </w:t>
      </w:r>
      <w:r w:rsidR="006A2A80" w:rsidRPr="00543557">
        <w:t>Essential Services Commission</w:t>
      </w:r>
      <w:r w:rsidR="006A2A80">
        <w:t xml:space="preserve"> 2022</w:t>
      </w:r>
      <w:r w:rsidR="006A2A80" w:rsidRPr="00543557">
        <w:t>,</w:t>
      </w:r>
      <w:r w:rsidR="006A2A80">
        <w:rPr>
          <w:i/>
          <w:iCs/>
        </w:rPr>
        <w:t xml:space="preserve"> </w:t>
      </w:r>
      <w:r w:rsidR="006A2A80" w:rsidRPr="00665793">
        <w:rPr>
          <w:i/>
          <w:iCs/>
        </w:rPr>
        <w:t>2024 Goulburn-Murray Water price review: Guidance paper</w:t>
      </w:r>
      <w:r w:rsidR="006A2A80" w:rsidRPr="00665793">
        <w:t>, 13</w:t>
      </w:r>
      <w:r w:rsidR="006A2A80">
        <w:t xml:space="preserve"> September 2022</w:t>
      </w:r>
      <w:r w:rsidR="006A2A80" w:rsidRPr="00543557">
        <w:t>.</w:t>
      </w:r>
    </w:p>
  </w:footnote>
  <w:footnote w:id="11">
    <w:p w14:paraId="1C4B81C6" w14:textId="7025C95D" w:rsidR="00B72880" w:rsidRDefault="00B72880">
      <w:pPr>
        <w:pStyle w:val="FootnoteText"/>
      </w:pPr>
      <w:r>
        <w:rPr>
          <w:rStyle w:val="FootnoteReference"/>
        </w:rPr>
        <w:footnoteRef/>
      </w:r>
      <w:r>
        <w:t xml:space="preserve">  WIRO, clause </w:t>
      </w:r>
      <w:r w:rsidR="005F77C1">
        <w:t>13(a)</w:t>
      </w:r>
      <w:r w:rsidR="002806F0">
        <w:t>(i) to (viii).</w:t>
      </w:r>
    </w:p>
  </w:footnote>
  <w:footnote w:id="12">
    <w:p w14:paraId="3936E67B" w14:textId="20244D43" w:rsidR="00262546" w:rsidRPr="00262546" w:rsidRDefault="00262546" w:rsidP="00262546">
      <w:pPr>
        <w:pStyle w:val="FootnoteText"/>
        <w:rPr>
          <w:lang w:val="en-US"/>
        </w:rPr>
      </w:pPr>
      <w:r>
        <w:rPr>
          <w:rStyle w:val="FootnoteReference"/>
        </w:rPr>
        <w:footnoteRef/>
      </w:r>
      <w:r>
        <w:t xml:space="preserve">  </w:t>
      </w:r>
      <w:r w:rsidRPr="00262546">
        <w:t>This is a requirement of the WIRO, clause 14(b).</w:t>
      </w:r>
    </w:p>
  </w:footnote>
  <w:footnote w:id="13">
    <w:p w14:paraId="4DF52368" w14:textId="2BB4C594" w:rsidR="003A3C18" w:rsidRPr="003A3C18" w:rsidRDefault="003A3C18" w:rsidP="003A3C18">
      <w:pPr>
        <w:pStyle w:val="FootnoteText"/>
        <w:rPr>
          <w:lang w:val="en-US"/>
        </w:rPr>
      </w:pPr>
      <w:r>
        <w:rPr>
          <w:rStyle w:val="FootnoteReference"/>
        </w:rPr>
        <w:footnoteRef/>
      </w:r>
      <w:r>
        <w:t xml:space="preserve">  </w:t>
      </w:r>
      <w:r w:rsidRPr="003A3C18">
        <w:t>This is provided for under the WIRO, clause 14(b)(i).</w:t>
      </w:r>
    </w:p>
  </w:footnote>
  <w:footnote w:id="14">
    <w:p w14:paraId="7C30A049" w14:textId="7ECC4DFD" w:rsidR="001D134B" w:rsidRPr="00D21F81" w:rsidRDefault="001D134B">
      <w:pPr>
        <w:pStyle w:val="FootnoteText"/>
      </w:pPr>
      <w:r w:rsidRPr="00D21F81">
        <w:rPr>
          <w:rStyle w:val="FootnoteReference"/>
        </w:rPr>
        <w:footnoteRef/>
      </w:r>
      <w:r w:rsidRPr="00D21F81">
        <w:t xml:space="preserve"> Goulburn-Murray Water was regulated under the Water Charg</w:t>
      </w:r>
      <w:r w:rsidR="001743E8" w:rsidRPr="00D21F81">
        <w:t>e</w:t>
      </w:r>
      <w:r w:rsidRPr="00D21F81">
        <w:t xml:space="preserve"> Rules</w:t>
      </w:r>
      <w:r w:rsidR="001743E8" w:rsidRPr="00D21F81">
        <w:t xml:space="preserve"> (2010)</w:t>
      </w:r>
      <w:r w:rsidRPr="00D21F81">
        <w:t xml:space="preserve"> until </w:t>
      </w:r>
      <w:r w:rsidR="009D1867" w:rsidRPr="00D21F81">
        <w:t>June 30 2024</w:t>
      </w:r>
      <w:r w:rsidR="0035559B" w:rsidRPr="00D21F81">
        <w:t xml:space="preserve"> - </w:t>
      </w:r>
      <w:hyperlink r:id="rId1" w:history="1">
        <w:r w:rsidR="00722C8B" w:rsidRPr="00D21F81">
          <w:rPr>
            <w:rStyle w:val="Hyperlink"/>
          </w:rPr>
          <w:t>https://www.accc.gov.au/by-industry/water/water-charge-rules/goulburn-murray-water-decisions-under-part-6-of-the-water-charge-rules-2010/goulburn-murray-water-part-6-ceasing-decision</w:t>
        </w:r>
      </w:hyperlink>
      <w:r w:rsidR="00722C8B" w:rsidRPr="00D21F81">
        <w:t xml:space="preserve">. </w:t>
      </w:r>
      <w:r w:rsidR="00C776D9" w:rsidRPr="00D21F81">
        <w:t xml:space="preserve">These rules </w:t>
      </w:r>
      <w:r w:rsidR="007E1C9A" w:rsidRPr="00D21F81">
        <w:t>did not</w:t>
      </w:r>
      <w:r w:rsidR="00C84FC7" w:rsidRPr="00D21F81">
        <w:t xml:space="preserve"> accommodate</w:t>
      </w:r>
      <w:r w:rsidR="00E27885" w:rsidRPr="00D21F81">
        <w:t xml:space="preserve"> our</w:t>
      </w:r>
      <w:r w:rsidR="00E27885">
        <w:t xml:space="preserve"> </w:t>
      </w:r>
      <w:r w:rsidR="00E27885" w:rsidRPr="00D21F81">
        <w:t>PREMO framework</w:t>
      </w:r>
      <w:r w:rsidR="00466E67" w:rsidRPr="00D21F81">
        <w:t xml:space="preserve">, hence we could not </w:t>
      </w:r>
      <w:r w:rsidR="00956ED2" w:rsidRPr="00D21F81">
        <w:t xml:space="preserve">assess Goulburn-Murray Water </w:t>
      </w:r>
      <w:r w:rsidR="008A109C" w:rsidRPr="00D21F81">
        <w:t>against</w:t>
      </w:r>
      <w:r w:rsidR="008C34E7" w:rsidRPr="00D21F81">
        <w:t xml:space="preserve"> the PREMO elements</w:t>
      </w:r>
      <w:r w:rsidR="007F1973" w:rsidRPr="00D21F81">
        <w:t xml:space="preserve"> in the 2020 water price review</w:t>
      </w:r>
      <w:r w:rsidR="008C34E7" w:rsidRPr="00D21F81">
        <w:t xml:space="preserve">. </w:t>
      </w:r>
      <w:r w:rsidR="00E27885" w:rsidRPr="00D21F81">
        <w:t xml:space="preserve"> </w:t>
      </w:r>
    </w:p>
  </w:footnote>
  <w:footnote w:id="15">
    <w:p w14:paraId="74F3BECF" w14:textId="12CA0E55" w:rsidR="009E4A99" w:rsidRPr="009E4A99" w:rsidRDefault="009E4A99" w:rsidP="00165841">
      <w:pPr>
        <w:pStyle w:val="FootnoteText"/>
        <w:rPr>
          <w:lang w:val="en-US"/>
        </w:rPr>
      </w:pPr>
      <w:r w:rsidRPr="00D21F81">
        <w:rPr>
          <w:rStyle w:val="FootnoteReference"/>
        </w:rPr>
        <w:footnoteRef/>
      </w:r>
      <w:r w:rsidRPr="00D21F81">
        <w:t xml:space="preserve"> </w:t>
      </w:r>
      <w:r w:rsidRPr="00D21F81">
        <w:tab/>
      </w:r>
      <w:r w:rsidR="004E059E" w:rsidRPr="00D21F81">
        <w:t xml:space="preserve">Essential Services Commission 2022, </w:t>
      </w:r>
      <w:r w:rsidR="00620BC6" w:rsidRPr="00D21F81">
        <w:rPr>
          <w:i/>
          <w:iCs/>
        </w:rPr>
        <w:t>2024 G</w:t>
      </w:r>
      <w:r w:rsidR="004E059E" w:rsidRPr="00D21F81">
        <w:rPr>
          <w:i/>
          <w:iCs/>
        </w:rPr>
        <w:t>oulburn-Murray Water price review: Guidance paper</w:t>
      </w:r>
      <w:r w:rsidR="004E059E" w:rsidRPr="00D21F81">
        <w:t>, 13</w:t>
      </w:r>
      <w:r w:rsidR="008C7F4E" w:rsidRPr="00D21F81">
        <w:t xml:space="preserve"> </w:t>
      </w:r>
      <w:r w:rsidR="004E059E" w:rsidRPr="00D21F81">
        <w:t>September 2022</w:t>
      </w:r>
      <w:r w:rsidRPr="00D21F81">
        <w:t>, pp. 41–46.</w:t>
      </w:r>
      <w:r w:rsidR="00421F2A" w:rsidRPr="00D21F81">
        <w:t xml:space="preserve"> We do not rate a business higher than </w:t>
      </w:r>
      <w:r w:rsidR="00EF4D0E" w:rsidRPr="00D21F81">
        <w:t xml:space="preserve">its self-rating, as the PREMO incentive framework </w:t>
      </w:r>
      <w:r w:rsidR="00863C29" w:rsidRPr="00D21F81">
        <w:t xml:space="preserve">is about </w:t>
      </w:r>
      <w:r w:rsidR="00516899" w:rsidRPr="00D21F81">
        <w:t xml:space="preserve">the </w:t>
      </w:r>
      <w:r w:rsidR="00863C29" w:rsidRPr="00D21F81">
        <w:t>business putting forward its best offer</w:t>
      </w:r>
      <w:r w:rsidR="001E707D" w:rsidRPr="00D21F81">
        <w:t xml:space="preserve"> and giving an honest assessment of</w:t>
      </w:r>
      <w:r w:rsidR="00516899" w:rsidRPr="00D21F81">
        <w:t xml:space="preserve"> its price submission.</w:t>
      </w:r>
      <w:r w:rsidR="00516899">
        <w:t xml:space="preserve"> </w:t>
      </w:r>
    </w:p>
  </w:footnote>
  <w:footnote w:id="16">
    <w:p w14:paraId="7AEA872B" w14:textId="77777777" w:rsidR="00F82F14" w:rsidRPr="00BD0B44" w:rsidRDefault="00F82F14" w:rsidP="00F82F14">
      <w:pPr>
        <w:pStyle w:val="FootnoteText"/>
        <w:rPr>
          <w:lang w:val="en-US"/>
        </w:rPr>
      </w:pPr>
      <w:r>
        <w:rPr>
          <w:rStyle w:val="FootnoteReference"/>
        </w:rPr>
        <w:footnoteRef/>
      </w:r>
      <w:r>
        <w:t xml:space="preserve"> </w:t>
      </w:r>
      <w:r>
        <w:tab/>
      </w:r>
      <w:r w:rsidRPr="00BD0B44">
        <w:t>This is a requirement of the WIRO, clause 9</w:t>
      </w:r>
      <w:r>
        <w:t>.</w:t>
      </w:r>
    </w:p>
  </w:footnote>
  <w:footnote w:id="17">
    <w:p w14:paraId="12506F90" w14:textId="77777777" w:rsidR="00F82F14" w:rsidRPr="000242A8" w:rsidRDefault="00F82F14" w:rsidP="00F82F14">
      <w:pPr>
        <w:pStyle w:val="FootnoteText"/>
        <w:rPr>
          <w:lang w:val="en-US"/>
        </w:rPr>
      </w:pPr>
      <w:r>
        <w:rPr>
          <w:rStyle w:val="FootnoteReference"/>
        </w:rPr>
        <w:footnoteRef/>
      </w:r>
      <w:r>
        <w:t xml:space="preserve"> </w:t>
      </w:r>
      <w:r>
        <w:tab/>
      </w:r>
      <w:r w:rsidRPr="007061AD">
        <w:t xml:space="preserve">For detail on the reasons for using four years as the default regulatory period, see: Essential Services Commission 2022, </w:t>
      </w:r>
      <w:r w:rsidRPr="007061AD">
        <w:rPr>
          <w:i/>
        </w:rPr>
        <w:t>2024 Goulburn-Murray Water price review: Guidance paper</w:t>
      </w:r>
      <w:r w:rsidRPr="007061AD">
        <w:t>, 13 September 2022, p. 18.</w:t>
      </w:r>
    </w:p>
  </w:footnote>
  <w:footnote w:id="18">
    <w:p w14:paraId="7DF66ECA" w14:textId="6EB01B32" w:rsidR="007327FA" w:rsidRDefault="007327FA">
      <w:pPr>
        <w:pStyle w:val="FootnoteText"/>
      </w:pPr>
      <w:r>
        <w:rPr>
          <w:rStyle w:val="FootnoteReference"/>
        </w:rPr>
        <w:footnoteRef/>
      </w:r>
      <w:r>
        <w:t xml:space="preserve"> </w:t>
      </w:r>
      <w:r>
        <w:tab/>
      </w:r>
      <w:r w:rsidRPr="00543557">
        <w:t>Essential Services Commission</w:t>
      </w:r>
      <w:r>
        <w:t xml:space="preserve"> 2022</w:t>
      </w:r>
      <w:r w:rsidRPr="00543557">
        <w:t xml:space="preserve">, </w:t>
      </w:r>
      <w:r w:rsidRPr="00543557">
        <w:rPr>
          <w:i/>
          <w:iCs/>
        </w:rPr>
        <w:t>202</w:t>
      </w:r>
      <w:r>
        <w:rPr>
          <w:i/>
          <w:iCs/>
        </w:rPr>
        <w:t xml:space="preserve">4 </w:t>
      </w:r>
      <w:r w:rsidRPr="002C145F">
        <w:rPr>
          <w:i/>
          <w:iCs/>
        </w:rPr>
        <w:t>Goulburn-Murray Water price review: Guidance paper</w:t>
      </w:r>
      <w:r w:rsidRPr="002C145F">
        <w:t>, 13</w:t>
      </w:r>
      <w:r>
        <w:t xml:space="preserve"> September 2022</w:t>
      </w:r>
      <w:r w:rsidRPr="006C6CA9">
        <w:t>, p. 20.</w:t>
      </w:r>
    </w:p>
  </w:footnote>
  <w:footnote w:id="19">
    <w:p w14:paraId="62B23302" w14:textId="05D8B2E7" w:rsidR="002A5D6D" w:rsidRPr="00C40C54" w:rsidRDefault="002A5D6D">
      <w:pPr>
        <w:pStyle w:val="FootnoteText"/>
      </w:pPr>
      <w:r>
        <w:rPr>
          <w:rStyle w:val="FootnoteReference"/>
        </w:rPr>
        <w:footnoteRef/>
      </w:r>
      <w:r>
        <w:t xml:space="preserve"> </w:t>
      </w:r>
      <w:r w:rsidR="00A47E92">
        <w:tab/>
        <w:t>Goulburn-Murray Water</w:t>
      </w:r>
      <w:r w:rsidR="00A47E92" w:rsidRPr="006C59D4">
        <w:t xml:space="preserve">’s price submission is available on our website at </w:t>
      </w:r>
      <w:hyperlink r:id="rId2" w:history="1">
        <w:r w:rsidR="00A47E92" w:rsidRPr="006C59D4">
          <w:rPr>
            <w:rStyle w:val="Hyperlink"/>
          </w:rPr>
          <w:t>www.esc.vic.gov.au</w:t>
        </w:r>
      </w:hyperlink>
      <w:r w:rsidR="00A47E92" w:rsidRPr="006C59D4">
        <w:t>.</w:t>
      </w:r>
    </w:p>
  </w:footnote>
  <w:footnote w:id="20">
    <w:p w14:paraId="75512054" w14:textId="12DAD059" w:rsidR="00581D8D" w:rsidRPr="00C40C54" w:rsidRDefault="00581D8D">
      <w:pPr>
        <w:pStyle w:val="FootnoteText"/>
      </w:pPr>
      <w:r w:rsidRPr="00C40C54">
        <w:rPr>
          <w:rStyle w:val="FootnoteReference"/>
        </w:rPr>
        <w:footnoteRef/>
      </w:r>
      <w:r w:rsidRPr="00C40C54">
        <w:t xml:space="preserve"> </w:t>
      </w:r>
      <w:r w:rsidR="00575F58" w:rsidRPr="00C40C54">
        <w:tab/>
        <w:t xml:space="preserve">Goulburn-Murray Water, </w:t>
      </w:r>
      <w:r w:rsidR="00575F58" w:rsidRPr="00C40C54">
        <w:rPr>
          <w:rStyle w:val="ui-provider"/>
          <w:i/>
        </w:rPr>
        <w:t>GMW Price Submission 2024</w:t>
      </w:r>
      <w:r w:rsidR="00575F58" w:rsidRPr="00C40C54">
        <w:rPr>
          <w:rStyle w:val="ui-provider"/>
        </w:rPr>
        <w:t>,</w:t>
      </w:r>
      <w:r w:rsidR="00575F58" w:rsidRPr="00C40C54">
        <w:t xml:space="preserve"> September 2023, p. 39</w:t>
      </w:r>
    </w:p>
  </w:footnote>
  <w:footnote w:id="21">
    <w:p w14:paraId="10C320F6" w14:textId="2688A916" w:rsidR="00AD2E57" w:rsidRPr="00C40C54" w:rsidRDefault="00AD2E57">
      <w:pPr>
        <w:pStyle w:val="FootnoteText"/>
      </w:pPr>
      <w:r w:rsidRPr="00C40C54">
        <w:rPr>
          <w:rStyle w:val="FootnoteReference"/>
        </w:rPr>
        <w:footnoteRef/>
      </w:r>
      <w:r w:rsidRPr="00C40C54">
        <w:t xml:space="preserve"> </w:t>
      </w:r>
      <w:r w:rsidR="008B3212" w:rsidRPr="00C40C54">
        <w:tab/>
        <w:t xml:space="preserve">Goulburn-Murray Water, </w:t>
      </w:r>
      <w:r w:rsidR="008B3212" w:rsidRPr="00C40C54">
        <w:rPr>
          <w:rStyle w:val="ui-provider"/>
          <w:i/>
        </w:rPr>
        <w:t>GMW Price Submission 2024</w:t>
      </w:r>
      <w:r w:rsidR="008B3212" w:rsidRPr="00C40C54">
        <w:t>, September 2023, p. 79</w:t>
      </w:r>
    </w:p>
  </w:footnote>
  <w:footnote w:id="22">
    <w:p w14:paraId="201E21F8" w14:textId="63AEC510" w:rsidR="00BC78FF" w:rsidRPr="00C40C54" w:rsidRDefault="00BC78FF">
      <w:pPr>
        <w:pStyle w:val="FootnoteText"/>
      </w:pPr>
      <w:r w:rsidRPr="00C40C54">
        <w:rPr>
          <w:rStyle w:val="FootnoteReference"/>
        </w:rPr>
        <w:footnoteRef/>
      </w:r>
      <w:r w:rsidRPr="00C40C54">
        <w:t xml:space="preserve"> </w:t>
      </w:r>
      <w:r w:rsidRPr="00C40C54">
        <w:tab/>
      </w:r>
      <w:r w:rsidR="00F35B01" w:rsidRPr="00C40C54">
        <w:t xml:space="preserve">Goulburn-Murray Water, </w:t>
      </w:r>
      <w:r w:rsidR="00F35B01" w:rsidRPr="00C40C54">
        <w:rPr>
          <w:i/>
        </w:rPr>
        <w:t>GMW Price Submission 2024</w:t>
      </w:r>
      <w:r w:rsidR="00F35B01" w:rsidRPr="00C40C54">
        <w:t>, September 2023, p. 45</w:t>
      </w:r>
    </w:p>
  </w:footnote>
  <w:footnote w:id="23">
    <w:p w14:paraId="5AC264F9" w14:textId="0444D83E" w:rsidR="00EB5DDA" w:rsidRPr="00C40C54" w:rsidRDefault="00EB5DDA">
      <w:pPr>
        <w:pStyle w:val="FootnoteText"/>
      </w:pPr>
      <w:r w:rsidRPr="00C40C54">
        <w:rPr>
          <w:rStyle w:val="FootnoteReference"/>
        </w:rPr>
        <w:footnoteRef/>
      </w:r>
      <w:r w:rsidRPr="00C40C54">
        <w:t xml:space="preserve"> </w:t>
      </w:r>
      <w:r w:rsidR="00156856" w:rsidRPr="00C40C54">
        <w:tab/>
        <w:t xml:space="preserve">Goulburn-Murray Water, </w:t>
      </w:r>
      <w:r w:rsidR="00156856" w:rsidRPr="00C40C54">
        <w:rPr>
          <w:i/>
        </w:rPr>
        <w:t>GMW Price Submission 2024</w:t>
      </w:r>
      <w:r w:rsidR="00156856" w:rsidRPr="00C40C54">
        <w:t>, September 2023, p. 27.</w:t>
      </w:r>
    </w:p>
  </w:footnote>
  <w:footnote w:id="24">
    <w:p w14:paraId="2F4D5390" w14:textId="1DB54C13" w:rsidR="001C17E7" w:rsidRDefault="001C17E7" w:rsidP="00E36864">
      <w:pPr>
        <w:pStyle w:val="FootnoteText"/>
      </w:pPr>
      <w:r>
        <w:rPr>
          <w:rStyle w:val="FootnoteReference"/>
        </w:rPr>
        <w:footnoteRef/>
      </w:r>
      <w:r>
        <w:t xml:space="preserve"> </w:t>
      </w:r>
      <w:r w:rsidR="00E36864">
        <w:t xml:space="preserve"> </w:t>
      </w:r>
      <w:r w:rsidR="00E36864" w:rsidRPr="00B87795">
        <w:t>Eleven water services committees with its membership representing the vast region took part in the engagement activities including the committee from diversions customers who source water from regulated and unregulated rivers and streams, groundwater bores and registered and licensed private dams within the catchments of the Ovens, King and Mid-Murray.</w:t>
      </w:r>
    </w:p>
  </w:footnote>
  <w:footnote w:id="25">
    <w:p w14:paraId="255DC965" w14:textId="27D884A7" w:rsidR="00D17628" w:rsidRDefault="00D17628">
      <w:pPr>
        <w:pStyle w:val="FootnoteText"/>
      </w:pPr>
      <w:r w:rsidRPr="00B87795">
        <w:rPr>
          <w:rStyle w:val="FootnoteReference"/>
        </w:rPr>
        <w:footnoteRef/>
      </w:r>
      <w:r w:rsidRPr="00B87795">
        <w:t xml:space="preserve"> </w:t>
      </w:r>
      <w:r w:rsidR="009F498F" w:rsidRPr="00B87795">
        <w:tab/>
        <w:t>Submissions to the 2024 Goulburn-Murray Water price review in relation to engagement matters were received from Ian Roy, Nick Legge, Cameron and Jan Reid, Paula D Hall, Samuel McIntosh, Christopher Maud, Rod Hall and five anonymous submission</w:t>
      </w:r>
      <w:r w:rsidR="008F291F">
        <w:t>s</w:t>
      </w:r>
      <w:r w:rsidR="009F498F" w:rsidRPr="00B87795">
        <w:t xml:space="preserve"> between 14 November 2023 and 15 Dec 2023.</w:t>
      </w:r>
    </w:p>
  </w:footnote>
  <w:footnote w:id="26">
    <w:p w14:paraId="7D39A8B7" w14:textId="0532AFA6" w:rsidR="00BE6741" w:rsidRDefault="00BE6741">
      <w:pPr>
        <w:pStyle w:val="FootnoteText"/>
      </w:pPr>
      <w:r>
        <w:rPr>
          <w:rStyle w:val="FootnoteReference"/>
        </w:rPr>
        <w:footnoteRef/>
      </w:r>
      <w:r>
        <w:t xml:space="preserve"> </w:t>
      </w:r>
      <w:r w:rsidR="00343CE6">
        <w:tab/>
      </w:r>
      <w:r w:rsidR="00343CE6" w:rsidRPr="00B87795">
        <w:t xml:space="preserve">Goulburn-Murray Water, </w:t>
      </w:r>
      <w:r w:rsidR="00343CE6" w:rsidRPr="00B87795">
        <w:rPr>
          <w:i/>
        </w:rPr>
        <w:t>GWM Price Submission 2024</w:t>
      </w:r>
      <w:r w:rsidR="00343CE6" w:rsidRPr="00B87795">
        <w:t>, September 2023, p. 26.</w:t>
      </w:r>
    </w:p>
  </w:footnote>
  <w:footnote w:id="27">
    <w:p w14:paraId="54F2B9B9" w14:textId="31F37EC6" w:rsidR="002B3244" w:rsidRDefault="002B3244">
      <w:pPr>
        <w:pStyle w:val="FootnoteText"/>
      </w:pPr>
      <w:r>
        <w:rPr>
          <w:rStyle w:val="FootnoteReference"/>
        </w:rPr>
        <w:footnoteRef/>
      </w:r>
      <w:r>
        <w:t xml:space="preserve">  Information included </w:t>
      </w:r>
      <w:r w:rsidR="00100E9F">
        <w:t>number of meetings</w:t>
      </w:r>
      <w:r w:rsidR="00613BC0">
        <w:t xml:space="preserve"> delivered</w:t>
      </w:r>
      <w:r w:rsidR="00D151AB">
        <w:t>, information presented</w:t>
      </w:r>
      <w:r w:rsidR="008B5CBF">
        <w:t xml:space="preserve">, </w:t>
      </w:r>
      <w:r w:rsidR="00251C4E">
        <w:t xml:space="preserve">date and </w:t>
      </w:r>
      <w:r w:rsidR="008B5CBF">
        <w:t>location of meetings</w:t>
      </w:r>
      <w:r w:rsidR="00251C4E">
        <w:t>, number of attendees</w:t>
      </w:r>
      <w:r w:rsidR="00D151AB">
        <w:t xml:space="preserve"> and minutes of the engagement activities</w:t>
      </w:r>
      <w:r w:rsidR="002E020D">
        <w:t xml:space="preserve"> specific to diverters on unregulated waterways including domestic and stock customers from Upper Ovens.</w:t>
      </w:r>
      <w:r w:rsidR="00FF35E7">
        <w:t xml:space="preserve"> </w:t>
      </w:r>
    </w:p>
  </w:footnote>
  <w:footnote w:id="28">
    <w:p w14:paraId="2E8B6035" w14:textId="77777777" w:rsidR="0091266F" w:rsidRDefault="0091266F" w:rsidP="0091266F">
      <w:pPr>
        <w:pStyle w:val="FootnoteText"/>
      </w:pPr>
      <w:r w:rsidRPr="00833C9D">
        <w:rPr>
          <w:rStyle w:val="FootnoteReference"/>
        </w:rPr>
        <w:footnoteRef/>
      </w:r>
      <w:r w:rsidRPr="00833C9D">
        <w:t xml:space="preserve">   Goulburn-Murray Water, 2024 water price submission, September 2023, p. 40.</w:t>
      </w:r>
    </w:p>
  </w:footnote>
  <w:footnote w:id="29">
    <w:p w14:paraId="33F6AC25" w14:textId="77777777" w:rsidR="00D4099D" w:rsidRPr="00AC1623" w:rsidRDefault="00D4099D" w:rsidP="00D4099D">
      <w:pPr>
        <w:pStyle w:val="FootnoteText"/>
      </w:pPr>
      <w:r>
        <w:rPr>
          <w:rStyle w:val="FootnoteReference"/>
        </w:rPr>
        <w:footnoteRef/>
      </w:r>
      <w:r>
        <w:t xml:space="preserve"> </w:t>
      </w:r>
      <w:r>
        <w:tab/>
      </w:r>
      <w:r w:rsidRPr="00AC1623">
        <w:t>Goulburn-Murray Water, 2024 water price submission, September 2023, p. 25.</w:t>
      </w:r>
    </w:p>
  </w:footnote>
  <w:footnote w:id="30">
    <w:p w14:paraId="1936C795" w14:textId="77777777" w:rsidR="0091266F" w:rsidRPr="00AC1623" w:rsidRDefault="0091266F" w:rsidP="0091266F">
      <w:pPr>
        <w:pStyle w:val="FootnoteText"/>
      </w:pPr>
      <w:r w:rsidRPr="00AC1623">
        <w:rPr>
          <w:rStyle w:val="FootnoteReference"/>
        </w:rPr>
        <w:footnoteRef/>
      </w:r>
      <w:r w:rsidRPr="00AC1623">
        <w:t xml:space="preserve"> </w:t>
      </w:r>
      <w:r w:rsidRPr="00AC1623">
        <w:tab/>
        <w:t>Goulburn-Murray Water, 2024 water price submission, September 2023, p. 44.</w:t>
      </w:r>
    </w:p>
  </w:footnote>
  <w:footnote w:id="31">
    <w:p w14:paraId="6593652F" w14:textId="77777777" w:rsidR="00EE4C3A" w:rsidRPr="004B6347" w:rsidRDefault="00EE4C3A" w:rsidP="00EE4C3A">
      <w:pPr>
        <w:pStyle w:val="FootnoteText"/>
        <w:rPr>
          <w:lang w:val="en-US"/>
        </w:rPr>
      </w:pPr>
      <w:r w:rsidRPr="004B6347">
        <w:rPr>
          <w:rStyle w:val="FootnoteReference"/>
        </w:rPr>
        <w:footnoteRef/>
      </w:r>
      <w:r w:rsidRPr="004B6347">
        <w:t xml:space="preserve"> </w:t>
      </w:r>
      <w:r w:rsidRPr="004B6347">
        <w:tab/>
      </w:r>
      <w:r w:rsidRPr="00543557">
        <w:t>Essential Services Commission</w:t>
      </w:r>
      <w:r>
        <w:t xml:space="preserve"> 2022</w:t>
      </w:r>
      <w:r w:rsidRPr="00543557">
        <w:t xml:space="preserve">, </w:t>
      </w:r>
      <w:r w:rsidRPr="00543557">
        <w:rPr>
          <w:i/>
        </w:rPr>
        <w:t>202</w:t>
      </w:r>
      <w:r>
        <w:rPr>
          <w:i/>
        </w:rPr>
        <w:t xml:space="preserve">4 </w:t>
      </w:r>
      <w:r w:rsidRPr="00AC1623">
        <w:rPr>
          <w:i/>
        </w:rPr>
        <w:t>Goulburn-Murray Water</w:t>
      </w:r>
      <w:r w:rsidRPr="00543557">
        <w:rPr>
          <w:i/>
        </w:rPr>
        <w:t xml:space="preserve"> price review: Guidance paper</w:t>
      </w:r>
      <w:r w:rsidRPr="00543557">
        <w:t xml:space="preserve">, </w:t>
      </w:r>
      <w:r w:rsidRPr="00AC1623">
        <w:t>13</w:t>
      </w:r>
      <w:r>
        <w:t xml:space="preserve"> September 2022</w:t>
      </w:r>
      <w:r w:rsidRPr="004B6347">
        <w:t xml:space="preserve">, </w:t>
      </w:r>
      <w:r w:rsidRPr="00AC1623">
        <w:t>p. 23.</w:t>
      </w:r>
    </w:p>
  </w:footnote>
  <w:footnote w:id="32">
    <w:p w14:paraId="629DB5E8" w14:textId="77777777" w:rsidR="00EE4C3A" w:rsidRPr="00AC1623" w:rsidRDefault="00EE4C3A" w:rsidP="00EE4C3A">
      <w:pPr>
        <w:pStyle w:val="FootnoteText"/>
      </w:pPr>
      <w:r w:rsidRPr="00AC1623">
        <w:rPr>
          <w:rStyle w:val="FootnoteReference"/>
        </w:rPr>
        <w:footnoteRef/>
      </w:r>
      <w:r w:rsidRPr="00AC1623">
        <w:t xml:space="preserve"> </w:t>
      </w:r>
      <w:r w:rsidRPr="00AC1623">
        <w:tab/>
        <w:t>Samuel McIntosh’s submission to the Essential Services Commission on Goulburn-Murray Water’s 2023 price submission, 8 December 2023.</w:t>
      </w:r>
    </w:p>
  </w:footnote>
  <w:footnote w:id="33">
    <w:p w14:paraId="57586C75" w14:textId="77777777" w:rsidR="00D4099D" w:rsidRPr="00615898" w:rsidRDefault="00D4099D" w:rsidP="00D4099D">
      <w:pPr>
        <w:pStyle w:val="FootnoteText"/>
      </w:pPr>
      <w:r w:rsidRPr="00AC1623">
        <w:rPr>
          <w:rStyle w:val="FootnoteReference"/>
        </w:rPr>
        <w:footnoteRef/>
      </w:r>
      <w:r w:rsidRPr="00AC1623">
        <w:t xml:space="preserve"> </w:t>
      </w:r>
      <w:r w:rsidRPr="00AC1623">
        <w:tab/>
        <w:t xml:space="preserve">Anonymous submission to the Essential Services Commission on Goulburn-Murray Water’s 2023 price submission, 30 November 2023; Ian Roy’s submission to the Essential Services Commission on Goulburn-Murray Water’s 2023 </w:t>
      </w:r>
      <w:r w:rsidRPr="00615898">
        <w:t>price</w:t>
      </w:r>
      <w:r w:rsidRPr="00FA29A4">
        <w:t xml:space="preserve"> </w:t>
      </w:r>
      <w:r w:rsidRPr="00615898">
        <w:t>submission, 1 December 2023; Anonymous submission to the Essential Services Commission on Goulburn-Murray Water’s 2023 price submission, 3 December 2023; Cameron and Jan Reid’s submission to the Essential Services Commission on Goulburn-Murray Water’s 2023 price submission, 04 December 2023; Paula D Hall’s submission to the Essential Services Commission on Goulburn-Murray Water’s 2023 price submission, 06 December 2023; Rod Hall’s submission to the Essential Services Commission on Goulburn-Murray Water’s 2023 price submission, 14 December 2023.</w:t>
      </w:r>
    </w:p>
  </w:footnote>
  <w:footnote w:id="34">
    <w:p w14:paraId="7645A2E9" w14:textId="77777777" w:rsidR="008E1E08" w:rsidRPr="000232FE" w:rsidRDefault="008E1E08" w:rsidP="008E1E08">
      <w:pPr>
        <w:pStyle w:val="FootnoteText"/>
        <w:rPr>
          <w:lang w:val="en-US"/>
        </w:rPr>
      </w:pPr>
      <w:r w:rsidRPr="00615898">
        <w:rPr>
          <w:rStyle w:val="FootnoteReference"/>
        </w:rPr>
        <w:footnoteRef/>
      </w:r>
      <w:r w:rsidRPr="00615898">
        <w:t xml:space="preserve"> </w:t>
      </w:r>
      <w:r w:rsidRPr="00615898">
        <w:tab/>
      </w:r>
      <w:r w:rsidRPr="00615898">
        <w:rPr>
          <w:lang w:val="en-US"/>
        </w:rPr>
        <w:t>Goulburn-Murray Water, 2024 water price submission, September 2023, p. 40.</w:t>
      </w:r>
    </w:p>
  </w:footnote>
  <w:footnote w:id="35">
    <w:p w14:paraId="439853B8" w14:textId="4018BDA6" w:rsidR="003F3DF5" w:rsidRDefault="003F3DF5" w:rsidP="003F3DF5">
      <w:pPr>
        <w:pStyle w:val="FootnoteText"/>
      </w:pPr>
      <w:r>
        <w:rPr>
          <w:rStyle w:val="FootnoteReference"/>
        </w:rPr>
        <w:footnoteRef/>
      </w:r>
      <w:r>
        <w:t xml:space="preserve">  </w:t>
      </w:r>
      <w:r w:rsidRPr="00615898">
        <w:rPr>
          <w:lang w:val="en-US"/>
        </w:rPr>
        <w:t>Goulburn-Murray Water, 2024 water price submission, September 2023, p. 4</w:t>
      </w:r>
      <w:r>
        <w:rPr>
          <w:lang w:val="en-US"/>
        </w:rPr>
        <w:t>6</w:t>
      </w:r>
      <w:r w:rsidR="00FD6FF2">
        <w:rPr>
          <w:lang w:val="en-US"/>
        </w:rPr>
        <w:t>.</w:t>
      </w:r>
    </w:p>
  </w:footnote>
  <w:footnote w:id="36">
    <w:p w14:paraId="45378D10" w14:textId="21266558" w:rsidR="000D573A" w:rsidRDefault="000D573A">
      <w:pPr>
        <w:pStyle w:val="FootnoteText"/>
      </w:pPr>
      <w:r>
        <w:rPr>
          <w:rStyle w:val="FootnoteReference"/>
        </w:rPr>
        <w:footnoteRef/>
      </w:r>
      <w:r>
        <w:t xml:space="preserve">  </w:t>
      </w:r>
      <w:r w:rsidRPr="000D573A">
        <w:t>https://data.water.vic.gov.au</w:t>
      </w:r>
    </w:p>
  </w:footnote>
  <w:footnote w:id="37">
    <w:p w14:paraId="29D997B5" w14:textId="5C690400" w:rsidR="00FD6FF2" w:rsidRDefault="00FD6FF2">
      <w:pPr>
        <w:pStyle w:val="FootnoteText"/>
      </w:pPr>
      <w:r>
        <w:rPr>
          <w:rStyle w:val="FootnoteReference"/>
        </w:rPr>
        <w:footnoteRef/>
      </w:r>
      <w:r>
        <w:t xml:space="preserve">  </w:t>
      </w:r>
      <w:r w:rsidRPr="00615898">
        <w:rPr>
          <w:lang w:val="en-US"/>
        </w:rPr>
        <w:t>Goulburn-Murray Water, 2024 water price submission, September 2023, p. 4</w:t>
      </w:r>
      <w:r>
        <w:rPr>
          <w:lang w:val="en-US"/>
        </w:rPr>
        <w:t>2.</w:t>
      </w:r>
    </w:p>
  </w:footnote>
  <w:footnote w:id="38">
    <w:p w14:paraId="6F793E1F" w14:textId="2347181F" w:rsidR="005277AA" w:rsidRPr="007C506E" w:rsidRDefault="005277AA" w:rsidP="007C506E">
      <w:pPr>
        <w:pStyle w:val="FootnoteText"/>
        <w:rPr>
          <w:lang w:val="en-US"/>
        </w:rPr>
      </w:pPr>
      <w:r>
        <w:rPr>
          <w:rStyle w:val="FootnoteReference"/>
        </w:rPr>
        <w:footnoteRef/>
      </w:r>
      <w:r>
        <w:t xml:space="preserve"> </w:t>
      </w:r>
      <w:r w:rsidR="00AD6C48">
        <w:tab/>
      </w:r>
      <w:r w:rsidR="00AD6C48" w:rsidRPr="00123BEA">
        <w:t xml:space="preserve">Essential Services Commission 2022, </w:t>
      </w:r>
      <w:r w:rsidR="00AD6C48" w:rsidRPr="00123BEA">
        <w:rPr>
          <w:i/>
        </w:rPr>
        <w:t>2024 Goulburn-Murray Water price review: Guidance paper</w:t>
      </w:r>
      <w:r w:rsidR="00AD6C48" w:rsidRPr="00123BEA">
        <w:t>, 13 September 2022, p. 2</w:t>
      </w:r>
      <w:r w:rsidR="002F1AE7" w:rsidRPr="00123BEA">
        <w:t>5</w:t>
      </w:r>
      <w:r w:rsidR="00AD6C48" w:rsidRPr="00123BEA">
        <w:t>.</w:t>
      </w:r>
    </w:p>
  </w:footnote>
  <w:footnote w:id="39">
    <w:p w14:paraId="2C3EC9D3" w14:textId="43180D70" w:rsidR="00FB0732" w:rsidRDefault="00FB0732">
      <w:pPr>
        <w:pStyle w:val="FootnoteText"/>
      </w:pPr>
      <w:r>
        <w:rPr>
          <w:rStyle w:val="FootnoteReference"/>
        </w:rPr>
        <w:footnoteRef/>
      </w:r>
      <w:r>
        <w:t xml:space="preserve"> </w:t>
      </w:r>
      <w:r w:rsidR="00DC02FE">
        <w:t>Essential Services Commission</w:t>
      </w:r>
      <w:r w:rsidR="008925FE">
        <w:t xml:space="preserve"> 2023, </w:t>
      </w:r>
      <w:r w:rsidR="000748EA" w:rsidRPr="00606396">
        <w:rPr>
          <w:i/>
        </w:rPr>
        <w:t>Southern Rural Water</w:t>
      </w:r>
      <w:r w:rsidR="001E51D8" w:rsidRPr="00606396">
        <w:rPr>
          <w:i/>
        </w:rPr>
        <w:t xml:space="preserve"> final decision</w:t>
      </w:r>
      <w:r w:rsidR="00BA3DFE" w:rsidRPr="00606396">
        <w:rPr>
          <w:i/>
        </w:rPr>
        <w:t>,</w:t>
      </w:r>
      <w:r w:rsidR="00BA3DFE">
        <w:t xml:space="preserve"> 23 June 2023</w:t>
      </w:r>
      <w:r w:rsidR="00606396">
        <w:t xml:space="preserve">. </w:t>
      </w:r>
    </w:p>
  </w:footnote>
  <w:footnote w:id="40">
    <w:p w14:paraId="2DAB489D" w14:textId="6C9498B6" w:rsidR="00A9068B" w:rsidRPr="00A9068B" w:rsidRDefault="00A9068B" w:rsidP="00A9068B">
      <w:pPr>
        <w:pStyle w:val="FootnoteText"/>
        <w:rPr>
          <w:lang w:val="en-US"/>
        </w:rPr>
      </w:pPr>
      <w:r>
        <w:rPr>
          <w:rStyle w:val="FootnoteReference"/>
        </w:rPr>
        <w:footnoteRef/>
      </w:r>
      <w:r w:rsidR="009823DD">
        <w:t xml:space="preserve"> </w:t>
      </w:r>
      <w:r w:rsidR="009823DD">
        <w:tab/>
      </w:r>
      <w:r w:rsidR="009823DD" w:rsidRPr="006B06C3">
        <w:t xml:space="preserve">We met with officers of the Department of </w:t>
      </w:r>
      <w:r w:rsidR="004D6211">
        <w:t xml:space="preserve">Energy, </w:t>
      </w:r>
      <w:r w:rsidR="009823DD" w:rsidRPr="006B06C3">
        <w:t>Environment</w:t>
      </w:r>
      <w:r w:rsidR="004D6211">
        <w:t xml:space="preserve"> and Climate Action</w:t>
      </w:r>
      <w:r w:rsidR="009823DD" w:rsidRPr="006B06C3">
        <w:t>, the Department of Health, and the Environment Protection Authority Victoria, to discuss their expectations of Goulburn-Murray Water in the regulatory period from 1 July 2024. We had regard to their views in arriving at our draft decision.</w:t>
      </w:r>
    </w:p>
  </w:footnote>
  <w:footnote w:id="41">
    <w:p w14:paraId="502A17E7" w14:textId="1C0C9D96" w:rsidR="00073D01" w:rsidRPr="00073D01" w:rsidRDefault="00073D01" w:rsidP="00073D01">
      <w:pPr>
        <w:pStyle w:val="FootnoteText"/>
        <w:rPr>
          <w:lang w:val="en-US"/>
        </w:rPr>
      </w:pPr>
      <w:r>
        <w:rPr>
          <w:rStyle w:val="FootnoteReference"/>
        </w:rPr>
        <w:footnoteRef/>
      </w:r>
      <w:r w:rsidR="00C53271" w:rsidRPr="00605BBC">
        <w:t xml:space="preserve"> </w:t>
      </w:r>
      <w:r w:rsidR="00C53271" w:rsidRPr="00605BBC">
        <w:tab/>
        <w:t>FTI Consulting,</w:t>
      </w:r>
      <w:r w:rsidR="00C53271" w:rsidRPr="00605BBC">
        <w:rPr>
          <w:i/>
        </w:rPr>
        <w:t xml:space="preserve"> Goulburn-Murray Water: Review of Expenditure Forecasts - 2024 Water Price Review</w:t>
      </w:r>
      <w:r w:rsidR="00C53271" w:rsidRPr="00605BBC">
        <w:t>, February 2024.</w:t>
      </w:r>
    </w:p>
  </w:footnote>
  <w:footnote w:id="42">
    <w:p w14:paraId="79E3E303" w14:textId="60361B11" w:rsidR="00C53271" w:rsidRPr="009E5148" w:rsidRDefault="00C53271" w:rsidP="00C53271">
      <w:pPr>
        <w:pStyle w:val="FootnoteText"/>
      </w:pPr>
      <w:r w:rsidRPr="009E5148">
        <w:rPr>
          <w:rStyle w:val="FootnoteReference"/>
        </w:rPr>
        <w:footnoteRef/>
      </w:r>
      <w:r w:rsidRPr="009E5148">
        <w:t xml:space="preserve"> </w:t>
      </w:r>
      <w:r w:rsidRPr="009E5148">
        <w:tab/>
        <w:t>FTI Consulting,</w:t>
      </w:r>
      <w:r w:rsidRPr="009E5148">
        <w:rPr>
          <w:i/>
        </w:rPr>
        <w:t xml:space="preserve"> Goulburn-Murray Water: Review of Expenditure Forecasts - 2024 Water Price Review</w:t>
      </w:r>
      <w:r w:rsidRPr="009E5148">
        <w:t>, February 2024, pp. 18</w:t>
      </w:r>
      <w:r w:rsidR="00B31342" w:rsidRPr="009E5148">
        <w:t>–</w:t>
      </w:r>
      <w:r w:rsidRPr="009E5148">
        <w:t>19.</w:t>
      </w:r>
    </w:p>
  </w:footnote>
  <w:footnote w:id="43">
    <w:p w14:paraId="3688F216" w14:textId="77777777" w:rsidR="00C53271" w:rsidRDefault="00C53271" w:rsidP="00C53271">
      <w:pPr>
        <w:pStyle w:val="FootnoteText"/>
      </w:pPr>
      <w:r w:rsidRPr="009E5148">
        <w:rPr>
          <w:rStyle w:val="FootnoteReference"/>
        </w:rPr>
        <w:footnoteRef/>
      </w:r>
      <w:r w:rsidRPr="009E5148">
        <w:t xml:space="preserve"> </w:t>
      </w:r>
      <w:r w:rsidRPr="009E5148">
        <w:rPr>
          <w:lang w:val="en-US"/>
        </w:rPr>
        <w:t>Goulburn-Murray Water, 2024 water price submission, September 2023, p. 5.</w:t>
      </w:r>
    </w:p>
  </w:footnote>
  <w:footnote w:id="44">
    <w:p w14:paraId="3EBC038B" w14:textId="2D9BCF73" w:rsidR="00C53271" w:rsidRPr="00A976EE" w:rsidRDefault="00C53271" w:rsidP="00C53271">
      <w:pPr>
        <w:pStyle w:val="FootnoteText"/>
      </w:pPr>
      <w:r>
        <w:rPr>
          <w:rStyle w:val="FootnoteReference"/>
        </w:rPr>
        <w:footnoteRef/>
      </w:r>
      <w:r>
        <w:t xml:space="preserve"> </w:t>
      </w:r>
      <w:r w:rsidRPr="00A976EE">
        <w:t>FTI Consulting,</w:t>
      </w:r>
      <w:r w:rsidRPr="00A976EE">
        <w:rPr>
          <w:i/>
        </w:rPr>
        <w:t xml:space="preserve"> Goulburn-Murray Water: Review of Expenditure Forecasts - 2024 Water Price Review</w:t>
      </w:r>
      <w:r w:rsidRPr="00A976EE">
        <w:t>, February 2024, pp. 21</w:t>
      </w:r>
      <w:r w:rsidR="006276EE" w:rsidRPr="00A976EE">
        <w:t>–26</w:t>
      </w:r>
      <w:r w:rsidRPr="00A976EE">
        <w:t>.</w:t>
      </w:r>
    </w:p>
  </w:footnote>
  <w:footnote w:id="45">
    <w:p w14:paraId="4DE0C542" w14:textId="3A3FAC78" w:rsidR="00C53271" w:rsidRDefault="00C53271" w:rsidP="00C53271">
      <w:pPr>
        <w:pStyle w:val="FootnoteText"/>
      </w:pPr>
      <w:r w:rsidRPr="00A976EE">
        <w:rPr>
          <w:rStyle w:val="FootnoteReference"/>
        </w:rPr>
        <w:footnoteRef/>
      </w:r>
      <w:r w:rsidRPr="00A976EE">
        <w:t xml:space="preserve"> FTI Consulting,</w:t>
      </w:r>
      <w:r w:rsidRPr="00A976EE">
        <w:rPr>
          <w:i/>
        </w:rPr>
        <w:t xml:space="preserve"> Goulburn-Murray Water: Review of Expenditure Forecasts - 2024 Water Price Review</w:t>
      </w:r>
      <w:r w:rsidRPr="00A976EE">
        <w:t>, February 2024, pp. 26</w:t>
      </w:r>
      <w:r w:rsidR="006276EE" w:rsidRPr="00A976EE">
        <w:t>–</w:t>
      </w:r>
      <w:r w:rsidRPr="00A976EE">
        <w:t>27.</w:t>
      </w:r>
    </w:p>
  </w:footnote>
  <w:footnote w:id="46">
    <w:p w14:paraId="6C83A022" w14:textId="608D4628" w:rsidR="00846AFB" w:rsidRDefault="00846AFB">
      <w:pPr>
        <w:pStyle w:val="FootnoteText"/>
      </w:pPr>
      <w:r w:rsidRPr="002B15F5">
        <w:rPr>
          <w:rStyle w:val="FootnoteReference"/>
        </w:rPr>
        <w:footnoteRef/>
      </w:r>
      <w:r w:rsidRPr="002B15F5">
        <w:t xml:space="preserve"> The environmental contribution is set as a flat nominal value in four-year tranches. The nominal value must be deflated by our forecast inflation to produce a real value, which is then subject to the annual inflation adjustments. A lower long-term inflation forecast reduces this deflation amount, producing a higher real value.</w:t>
      </w:r>
    </w:p>
  </w:footnote>
  <w:footnote w:id="47">
    <w:p w14:paraId="67E39181" w14:textId="47D7828E" w:rsidR="00C53271" w:rsidRDefault="00C53271" w:rsidP="00C53271">
      <w:pPr>
        <w:pStyle w:val="FootnoteText"/>
      </w:pPr>
      <w:r w:rsidRPr="00380968">
        <w:rPr>
          <w:rStyle w:val="FootnoteReference"/>
        </w:rPr>
        <w:footnoteRef/>
      </w:r>
      <w:r w:rsidRPr="00380968">
        <w:t xml:space="preserve"> </w:t>
      </w:r>
      <w:r w:rsidRPr="00380968">
        <w:rPr>
          <w:lang w:val="en-US"/>
        </w:rPr>
        <w:t>Goulburn-Murray Water, 2024 water price submission, September 2023, p. 56.</w:t>
      </w:r>
    </w:p>
  </w:footnote>
  <w:footnote w:id="48">
    <w:p w14:paraId="2B582960" w14:textId="4602FA60" w:rsidR="00AA42EC" w:rsidRDefault="00AA42EC">
      <w:pPr>
        <w:pStyle w:val="FootnoteText"/>
      </w:pPr>
      <w:r w:rsidRPr="008B127E">
        <w:rPr>
          <w:rStyle w:val="FootnoteReference"/>
        </w:rPr>
        <w:footnoteRef/>
      </w:r>
      <w:r w:rsidRPr="008B127E">
        <w:t xml:space="preserve"> </w:t>
      </w:r>
      <w:r w:rsidR="00DB0104" w:rsidRPr="008B127E">
        <w:t>We anticipate the Department of Energy, Environment and Climate Action will publish the environmental contribution values to apply to each water business from 1 July 2024 during May 2024. Our final decision will include the latest values for Goulburn-Murray Water.</w:t>
      </w:r>
    </w:p>
  </w:footnote>
  <w:footnote w:id="49">
    <w:p w14:paraId="05904589" w14:textId="77777777" w:rsidR="00471548" w:rsidRPr="00F729F6" w:rsidRDefault="00471548" w:rsidP="00471548">
      <w:pPr>
        <w:pStyle w:val="FootnoteText"/>
        <w:rPr>
          <w:lang w:val="en-US"/>
        </w:rPr>
      </w:pPr>
      <w:r w:rsidRPr="00CD3FB2">
        <w:rPr>
          <w:rStyle w:val="FootnoteReference"/>
        </w:rPr>
        <w:footnoteRef/>
      </w:r>
      <w:r w:rsidR="00D54A68" w:rsidRPr="00CD3FB2">
        <w:t xml:space="preserve"> </w:t>
      </w:r>
      <w:r w:rsidR="00D54A68" w:rsidRPr="00CD3FB2">
        <w:tab/>
        <w:t>FTI Consulting,</w:t>
      </w:r>
      <w:r w:rsidR="00D54A68" w:rsidRPr="00CD3FB2">
        <w:rPr>
          <w:i/>
        </w:rPr>
        <w:t xml:space="preserve"> Goulburn-Murray Water: Review of Expenditure Forecasts - 2024 Water Price Review</w:t>
      </w:r>
      <w:r w:rsidR="00D54A68" w:rsidRPr="00CD3FB2">
        <w:t>, February 2024.</w:t>
      </w:r>
    </w:p>
  </w:footnote>
  <w:footnote w:id="50">
    <w:p w14:paraId="2308E203" w14:textId="77777777" w:rsidR="0023329D" w:rsidRPr="00CD2BD9" w:rsidRDefault="0023329D" w:rsidP="0023329D">
      <w:pPr>
        <w:pStyle w:val="FootnoteText"/>
        <w:rPr>
          <w:highlight w:val="green"/>
        </w:rPr>
      </w:pPr>
      <w:r w:rsidRPr="00CD3FB2">
        <w:rPr>
          <w:rStyle w:val="FootnoteReference"/>
        </w:rPr>
        <w:footnoteRef/>
      </w:r>
      <w:r w:rsidRPr="00CD3FB2">
        <w:t xml:space="preserve"> </w:t>
      </w:r>
      <w:r w:rsidRPr="00CD3FB2">
        <w:tab/>
        <w:t>FTI Consulting,</w:t>
      </w:r>
      <w:r w:rsidRPr="00CD3FB2">
        <w:rPr>
          <w:i/>
        </w:rPr>
        <w:t xml:space="preserve"> Goulburn-Murray Water: Review of Expenditure Forecasts - 2024 Water Price Review</w:t>
      </w:r>
      <w:r w:rsidRPr="00CD3FB2">
        <w:t>,  February 2024, pp. 32–37, 42.</w:t>
      </w:r>
    </w:p>
  </w:footnote>
  <w:footnote w:id="51">
    <w:p w14:paraId="134834C5" w14:textId="77777777" w:rsidR="000B195E" w:rsidRPr="008902DE" w:rsidRDefault="000B195E" w:rsidP="000B195E">
      <w:pPr>
        <w:pStyle w:val="FootnoteText"/>
        <w:rPr>
          <w:highlight w:val="green"/>
        </w:rPr>
      </w:pPr>
      <w:r w:rsidRPr="00211E4E">
        <w:rPr>
          <w:rStyle w:val="FootnoteReference"/>
        </w:rPr>
        <w:footnoteRef/>
      </w:r>
      <w:r w:rsidRPr="00211E4E">
        <w:t xml:space="preserve"> </w:t>
      </w:r>
      <w:r w:rsidRPr="00211E4E">
        <w:tab/>
        <w:t>FTI Consulting,</w:t>
      </w:r>
      <w:r w:rsidRPr="00211E4E">
        <w:rPr>
          <w:i/>
        </w:rPr>
        <w:t xml:space="preserve"> Goulburn-Murray Water: Review of Expenditure Forecasts - 2024 Water Price Review</w:t>
      </w:r>
      <w:r w:rsidRPr="00211E4E">
        <w:t>, February 2024, pp. 37–41.</w:t>
      </w:r>
    </w:p>
  </w:footnote>
  <w:footnote w:id="52">
    <w:p w14:paraId="31B4E363" w14:textId="77777777" w:rsidR="000B195E" w:rsidRDefault="000B195E" w:rsidP="000B195E">
      <w:pPr>
        <w:pStyle w:val="FootnoteText"/>
      </w:pPr>
      <w:r w:rsidRPr="00B1590B">
        <w:rPr>
          <w:rStyle w:val="FootnoteReference"/>
        </w:rPr>
        <w:footnoteRef/>
      </w:r>
      <w:r w:rsidRPr="00B1590B">
        <w:t xml:space="preserve">  Goulburn-Murray Water deferred its Buffalo outlet and trash racks project, Laanecoorie spillway and outlets project and dam safety projects. It instead constructed fishways at Taylors and Teagarden Creek.</w:t>
      </w:r>
      <w:r>
        <w:t xml:space="preserve"> </w:t>
      </w:r>
    </w:p>
  </w:footnote>
  <w:footnote w:id="53">
    <w:p w14:paraId="63BDED8D" w14:textId="6AA813FE" w:rsidR="007A565A" w:rsidRPr="00C11E3C" w:rsidRDefault="007A565A" w:rsidP="007A565A">
      <w:pPr>
        <w:pStyle w:val="FootnoteText"/>
        <w:rPr>
          <w:lang w:val="en-US"/>
        </w:rPr>
      </w:pPr>
      <w:r>
        <w:rPr>
          <w:rStyle w:val="FootnoteReference"/>
        </w:rPr>
        <w:footnoteRef/>
      </w:r>
      <w:r>
        <w:t xml:space="preserve"> </w:t>
      </w:r>
      <w:r>
        <w:tab/>
      </w:r>
      <w:r w:rsidRPr="007F686A">
        <w:t>Essential Services Commission</w:t>
      </w:r>
      <w:r w:rsidR="00CC0F63" w:rsidRPr="007F686A">
        <w:t xml:space="preserve"> 2022</w:t>
      </w:r>
      <w:r w:rsidRPr="007F686A">
        <w:t xml:space="preserve">, </w:t>
      </w:r>
      <w:r w:rsidRPr="007F686A">
        <w:rPr>
          <w:i/>
        </w:rPr>
        <w:t>2024 Goulburn-Murray Water price review: Guidance paper</w:t>
      </w:r>
      <w:r w:rsidRPr="007F686A">
        <w:t xml:space="preserve">, 13 September 2022, pp. </w:t>
      </w:r>
      <w:r w:rsidR="005D6092" w:rsidRPr="007F686A">
        <w:t>32-37</w:t>
      </w:r>
      <w:r w:rsidRPr="007F686A">
        <w:t>.</w:t>
      </w:r>
    </w:p>
  </w:footnote>
  <w:footnote w:id="54">
    <w:p w14:paraId="243F6D02" w14:textId="2C2CFF83" w:rsidR="00276BDB" w:rsidRDefault="00276BDB">
      <w:pPr>
        <w:pStyle w:val="FootnoteText"/>
      </w:pPr>
      <w:r>
        <w:rPr>
          <w:rStyle w:val="FootnoteReference"/>
        </w:rPr>
        <w:footnoteRef/>
      </w:r>
      <w:r>
        <w:t xml:space="preserve"> </w:t>
      </w:r>
      <w:r>
        <w:tab/>
      </w:r>
      <w:r w:rsidRPr="00276BDB">
        <w:t>These values were set initially for the water corporations by the Minister for Water and are adjusted on an ongoing basis to account for new investments, asset disposals, depreciation and inflation.</w:t>
      </w:r>
    </w:p>
  </w:footnote>
  <w:footnote w:id="55">
    <w:p w14:paraId="24C1F9E0" w14:textId="73849178" w:rsidR="00992E12" w:rsidRDefault="00992E12">
      <w:pPr>
        <w:pStyle w:val="FootnoteText"/>
      </w:pPr>
      <w:r>
        <w:rPr>
          <w:rStyle w:val="FootnoteReference"/>
        </w:rPr>
        <w:footnoteRef/>
      </w:r>
      <w:r>
        <w:t xml:space="preserve"> </w:t>
      </w:r>
      <w:r w:rsidR="00E33CF2">
        <w:tab/>
      </w:r>
      <w:r w:rsidR="00E33CF2" w:rsidRPr="00E33CF2">
        <w:t>See Section 4.2 for a discussion of Goulburn-Murray Water’s capital expenditure.</w:t>
      </w:r>
    </w:p>
  </w:footnote>
  <w:footnote w:id="56">
    <w:p w14:paraId="657516CA" w14:textId="397E849E" w:rsidR="00E33CF2" w:rsidRDefault="00E33CF2">
      <w:pPr>
        <w:pStyle w:val="FootnoteText"/>
      </w:pPr>
      <w:r>
        <w:rPr>
          <w:rStyle w:val="FootnoteReference"/>
        </w:rPr>
        <w:footnoteRef/>
      </w:r>
      <w:r>
        <w:t xml:space="preserve"> </w:t>
      </w:r>
      <w:r w:rsidR="0099677C">
        <w:tab/>
      </w:r>
      <w:r w:rsidR="0054778E" w:rsidRPr="0054778E">
        <w:t>Net capital expenditure is calculated by deducting government and customer contributions from gross capital expenditure. Customer contributions reflect revenue earned from new connections made to the water corporation’s water, sewerage or recycled water networks.</w:t>
      </w:r>
    </w:p>
  </w:footnote>
  <w:footnote w:id="57">
    <w:p w14:paraId="4057F462" w14:textId="18B6CC39" w:rsidR="0006205B" w:rsidRDefault="0006205B">
      <w:pPr>
        <w:pStyle w:val="FootnoteText"/>
      </w:pPr>
      <w:r>
        <w:rPr>
          <w:rStyle w:val="FootnoteReference"/>
        </w:rPr>
        <w:footnoteRef/>
      </w:r>
      <w:r>
        <w:t xml:space="preserve"> </w:t>
      </w:r>
      <w:r>
        <w:tab/>
      </w:r>
      <w:r w:rsidRPr="0006205B">
        <w:t xml:space="preserve">Available at </w:t>
      </w:r>
      <w:r w:rsidRPr="00730F28">
        <w:t>www.esc.vic.gov.au</w:t>
      </w:r>
      <w:r w:rsidRPr="0006205B">
        <w:t>.</w:t>
      </w:r>
    </w:p>
  </w:footnote>
  <w:footnote w:id="58">
    <w:p w14:paraId="29A6895E" w14:textId="35DDAEBA" w:rsidR="009903A2" w:rsidRPr="00244841" w:rsidRDefault="009903A2">
      <w:pPr>
        <w:pStyle w:val="FootnoteText"/>
      </w:pPr>
      <w:r w:rsidRPr="00244841">
        <w:rPr>
          <w:rStyle w:val="FootnoteReference"/>
        </w:rPr>
        <w:footnoteRef/>
      </w:r>
      <w:r w:rsidRPr="00244841">
        <w:t xml:space="preserve"> Government contributions</w:t>
      </w:r>
      <w:r w:rsidR="007E54E2" w:rsidRPr="00244841">
        <w:t xml:space="preserve"> are not</w:t>
      </w:r>
      <w:r w:rsidR="00CF58E2" w:rsidRPr="00244841">
        <w:t xml:space="preserve"> included in </w:t>
      </w:r>
      <w:r w:rsidR="007E54E2" w:rsidRPr="00244841">
        <w:t>net capital expenditure</w:t>
      </w:r>
      <w:r w:rsidR="00F11DED" w:rsidRPr="00244841">
        <w:t>.</w:t>
      </w:r>
    </w:p>
  </w:footnote>
  <w:footnote w:id="59">
    <w:p w14:paraId="262C716D" w14:textId="71503DCB" w:rsidR="0012708D" w:rsidRDefault="0012708D" w:rsidP="007C4A64">
      <w:pPr>
        <w:pStyle w:val="FootnoteText"/>
      </w:pPr>
      <w:r w:rsidRPr="00244841">
        <w:rPr>
          <w:rStyle w:val="FootnoteReference"/>
        </w:rPr>
        <w:footnoteRef/>
      </w:r>
      <w:r w:rsidRPr="00244841">
        <w:t xml:space="preserve"> </w:t>
      </w:r>
      <w:r w:rsidR="007C4A64" w:rsidRPr="00244841">
        <w:t>Goulburn-Murray Water, email response to request for information, 19 January 2024.</w:t>
      </w:r>
    </w:p>
  </w:footnote>
  <w:footnote w:id="60">
    <w:p w14:paraId="46FD0D2D" w14:textId="6CEAB80A" w:rsidR="00FF78F4" w:rsidRDefault="00FF78F4">
      <w:pPr>
        <w:pStyle w:val="FootnoteText"/>
      </w:pPr>
      <w:r>
        <w:rPr>
          <w:rStyle w:val="FootnoteReference"/>
        </w:rPr>
        <w:footnoteRef/>
      </w:r>
      <w:r>
        <w:t xml:space="preserve"> </w:t>
      </w:r>
      <w:r w:rsidR="002B5DA5">
        <w:tab/>
      </w:r>
      <w:r w:rsidR="002B5DA5" w:rsidRPr="002B5DA5">
        <w:t>Our guidance required Goulburn-Murray Water to provide an estimate of the components of its regulatory asset base for 2023–24. This was so we could assess the opening asset base for 1 July 2024. Our guidance noted that where the 2023–24 forecast for net capital expenditure (gross capital expenditure less government and customer contributions) is lower than the forecast benchmark for that year in its 2020 price determination, the lower amount must be used. The estimates for 2023–24 will be confirmed at the price review following the 2023 water price review. Essential Services Commission 2022, 2024 Goulburn-Murray Water price review: Guidance paper, 13 September 2022, p. 38.</w:t>
      </w:r>
    </w:p>
  </w:footnote>
  <w:footnote w:id="61">
    <w:p w14:paraId="53AA0646" w14:textId="22ECC94B" w:rsidR="009C696F" w:rsidRDefault="009C696F">
      <w:pPr>
        <w:pStyle w:val="FootnoteText"/>
      </w:pPr>
      <w:r>
        <w:rPr>
          <w:rStyle w:val="FootnoteReference"/>
        </w:rPr>
        <w:footnoteRef/>
      </w:r>
      <w:r>
        <w:t xml:space="preserve"> </w:t>
      </w:r>
      <w:r w:rsidR="004C4FF1">
        <w:tab/>
      </w:r>
      <w:r w:rsidR="004C4FF1" w:rsidRPr="004C4FF1">
        <w:t>See Chapter 7 for an explanation of PREMO and our assessment of Goulburn-Murray Water’s PREMO rating.</w:t>
      </w:r>
    </w:p>
  </w:footnote>
  <w:footnote w:id="62">
    <w:p w14:paraId="3A8302B7" w14:textId="31E5D50D" w:rsidR="002D01FA" w:rsidRDefault="002D01FA">
      <w:pPr>
        <w:pStyle w:val="FootnoteText"/>
      </w:pPr>
      <w:r>
        <w:rPr>
          <w:rStyle w:val="FootnoteReference"/>
        </w:rPr>
        <w:footnoteRef/>
      </w:r>
      <w:r>
        <w:t xml:space="preserve"> </w:t>
      </w:r>
      <w:r>
        <w:tab/>
      </w:r>
      <w:r w:rsidRPr="002D01FA">
        <w:t>Essential Services Commission 2024 Goulburn-Murray Water price review: Guidance paper, 13 September 2022, pp. 41–42.</w:t>
      </w:r>
    </w:p>
  </w:footnote>
  <w:footnote w:id="63">
    <w:p w14:paraId="4D98D3DB" w14:textId="7F736F76" w:rsidR="008932DA" w:rsidRPr="005242F7" w:rsidRDefault="008932DA" w:rsidP="008932DA">
      <w:pPr>
        <w:pStyle w:val="FootnoteText"/>
        <w:rPr>
          <w:lang w:val="en-US"/>
        </w:rPr>
      </w:pPr>
      <w:r>
        <w:rPr>
          <w:rStyle w:val="FootnoteReference"/>
        </w:rPr>
        <w:footnoteRef/>
      </w:r>
      <w:r>
        <w:t xml:space="preserve"> </w:t>
      </w:r>
      <w:r>
        <w:tab/>
      </w:r>
      <w:r w:rsidRPr="005242F7">
        <w:t xml:space="preserve">We will continue to monitor market conditions and may amend the return on equity matrix values to reflect any changes to the medium-term outlook prior to releasing our final decision. </w:t>
      </w:r>
      <w:r>
        <w:t xml:space="preserve">We have had regard to the return on equity adopted by interstate regulators in the following publications: </w:t>
      </w:r>
      <w:r w:rsidRPr="00D630E6">
        <w:t xml:space="preserve">Independent Pricing and Regulatory Tribunal NSW, </w:t>
      </w:r>
      <w:r w:rsidRPr="007676F3">
        <w:rPr>
          <w:i/>
          <w:iCs/>
        </w:rPr>
        <w:t>Final Report - Review of WaterNSW's rural bulk water prices</w:t>
      </w:r>
      <w:r w:rsidRPr="00D630E6">
        <w:t xml:space="preserve">, 9 September 2021; Independent Pricing and Regulatory Tribunal NSW, </w:t>
      </w:r>
      <w:r w:rsidRPr="007676F3">
        <w:rPr>
          <w:i/>
          <w:iCs/>
        </w:rPr>
        <w:t>Final Report - Review of prices for Sydney Water</w:t>
      </w:r>
      <w:r w:rsidRPr="00D630E6">
        <w:t xml:space="preserve">, June 2020; Essential Services Commission of South Australia, </w:t>
      </w:r>
      <w:r w:rsidRPr="00AA242B">
        <w:rPr>
          <w:i/>
          <w:iCs/>
        </w:rPr>
        <w:t>SA Water's water and sewerage retail services: 1 July 2020 - 30 June 2024</w:t>
      </w:r>
      <w:r w:rsidRPr="00D630E6">
        <w:t xml:space="preserve">, Price Determination, 1 July 2020; </w:t>
      </w:r>
      <w:r w:rsidR="00EF21DD" w:rsidRPr="005C306D">
        <w:t>ESCOSA SA Water Regulatory Determination January 2024, Draft Decision: Statement of reasons</w:t>
      </w:r>
      <w:r w:rsidR="00EF21DD">
        <w:t>;</w:t>
      </w:r>
      <w:r w:rsidR="00EF21DD" w:rsidRPr="00D630E6">
        <w:t xml:space="preserve"> </w:t>
      </w:r>
      <w:r w:rsidRPr="00D630E6">
        <w:t xml:space="preserve">Queensland Competition Authority, Final report - Seqwater bulk water price review 2022–26, March 2022; Queensland Competition Authority (QCA), </w:t>
      </w:r>
      <w:r w:rsidRPr="00AA242B">
        <w:rPr>
          <w:i/>
          <w:iCs/>
        </w:rPr>
        <w:t>Final report - Rural irrigation price review 2020–24, Part A: Overview</w:t>
      </w:r>
      <w:r w:rsidRPr="00D630E6">
        <w:t xml:space="preserve">, January 2020; </w:t>
      </w:r>
      <w:r w:rsidR="00D56589" w:rsidRPr="005C306D">
        <w:t>Queensland Competition Authority (QCA),</w:t>
      </w:r>
      <w:r w:rsidR="00752A20" w:rsidRPr="005C306D">
        <w:t>Final Report</w:t>
      </w:r>
      <w:r w:rsidR="00D56589" w:rsidRPr="005C306D">
        <w:t xml:space="preserve"> </w:t>
      </w:r>
      <w:r w:rsidR="007A57D7" w:rsidRPr="005C306D">
        <w:t>- Gladstone Area Water Board price monitoring 2020–25</w:t>
      </w:r>
      <w:r w:rsidR="006E6C27" w:rsidRPr="005C306D">
        <w:t>, June 2020</w:t>
      </w:r>
      <w:r w:rsidR="0005022E" w:rsidRPr="005C306D">
        <w:t>;</w:t>
      </w:r>
      <w:r w:rsidR="00D56589" w:rsidRPr="00D630E6">
        <w:t xml:space="preserve"> </w:t>
      </w:r>
      <w:r w:rsidRPr="00D630E6">
        <w:t xml:space="preserve">Office of the Tasmanian Economic Regulator, </w:t>
      </w:r>
      <w:r w:rsidRPr="00A77AC3">
        <w:rPr>
          <w:i/>
          <w:iCs/>
        </w:rPr>
        <w:t>Final report - Investigation into TasWater's prices and services for the period 1 July 2022 to 30 June 2026</w:t>
      </w:r>
      <w:r w:rsidRPr="00D630E6">
        <w:t>, May 2022</w:t>
      </w:r>
    </w:p>
  </w:footnote>
  <w:footnote w:id="64">
    <w:p w14:paraId="7B045217" w14:textId="7317A44F" w:rsidR="008932DA" w:rsidRPr="006F2763" w:rsidRDefault="008932DA" w:rsidP="008932DA">
      <w:pPr>
        <w:pStyle w:val="FootnoteText"/>
        <w:rPr>
          <w:lang w:val="en-US"/>
        </w:rPr>
      </w:pPr>
      <w:r>
        <w:rPr>
          <w:rStyle w:val="FootnoteReference"/>
        </w:rPr>
        <w:footnoteRef/>
      </w:r>
      <w:r>
        <w:t xml:space="preserve"> </w:t>
      </w:r>
      <w:r>
        <w:tab/>
      </w:r>
      <w:r w:rsidRPr="00543557">
        <w:t>Essential Services Commission</w:t>
      </w:r>
      <w:r>
        <w:t xml:space="preserve"> 2022</w:t>
      </w:r>
      <w:r w:rsidRPr="00543557">
        <w:t xml:space="preserve">, </w:t>
      </w:r>
      <w:r w:rsidRPr="00543557">
        <w:rPr>
          <w:i/>
          <w:iCs/>
        </w:rPr>
        <w:t>202</w:t>
      </w:r>
      <w:r>
        <w:rPr>
          <w:i/>
          <w:iCs/>
        </w:rPr>
        <w:t xml:space="preserve">4 </w:t>
      </w:r>
      <w:r w:rsidRPr="00347985">
        <w:rPr>
          <w:i/>
        </w:rPr>
        <w:t>Goulburn-Murray Water</w:t>
      </w:r>
      <w:r w:rsidRPr="00543557">
        <w:rPr>
          <w:i/>
          <w:iCs/>
        </w:rPr>
        <w:t xml:space="preserve"> price review: Guidance paper</w:t>
      </w:r>
      <w:r w:rsidRPr="00543557">
        <w:t xml:space="preserve">, </w:t>
      </w:r>
      <w:r w:rsidRPr="00347985">
        <w:t>13</w:t>
      </w:r>
      <w:r>
        <w:t xml:space="preserve"> September 2022</w:t>
      </w:r>
      <w:r w:rsidRPr="006F2763">
        <w:t xml:space="preserve">, p. </w:t>
      </w:r>
      <w:r w:rsidRPr="00347985">
        <w:t>42</w:t>
      </w:r>
      <w:r w:rsidRPr="006F2763">
        <w:t>.</w:t>
      </w:r>
    </w:p>
  </w:footnote>
  <w:footnote w:id="65">
    <w:p w14:paraId="68C7E747" w14:textId="5BED2252" w:rsidR="00286974" w:rsidRPr="00130680" w:rsidRDefault="00286974" w:rsidP="00286974">
      <w:pPr>
        <w:pStyle w:val="FootnoteText"/>
        <w:rPr>
          <w:lang w:val="en-US"/>
        </w:rPr>
      </w:pPr>
      <w:r>
        <w:rPr>
          <w:rStyle w:val="FootnoteReference"/>
        </w:rPr>
        <w:footnoteRef/>
      </w:r>
      <w:r>
        <w:t xml:space="preserve"> </w:t>
      </w:r>
      <w:r>
        <w:tab/>
      </w:r>
      <w:r w:rsidRPr="00130680">
        <w:t xml:space="preserve">For the period </w:t>
      </w:r>
      <w:r w:rsidRPr="00064E14">
        <w:t>from 2024-25 to 2027-28, Goulburn-Murray Water proposed a regulatory depreciation of $54.1 million.</w:t>
      </w:r>
    </w:p>
  </w:footnote>
  <w:footnote w:id="66">
    <w:p w14:paraId="39007E07" w14:textId="62599409" w:rsidR="00286974" w:rsidRPr="008B6581" w:rsidRDefault="00286974" w:rsidP="00817ADF">
      <w:pPr>
        <w:pStyle w:val="FootnoteText"/>
        <w:rPr>
          <w:lang w:val="en-US"/>
        </w:rPr>
      </w:pPr>
      <w:r>
        <w:rPr>
          <w:rStyle w:val="FootnoteReference"/>
        </w:rPr>
        <w:footnoteRef/>
      </w:r>
      <w:r w:rsidR="00817ADF">
        <w:t xml:space="preserve">  </w:t>
      </w:r>
      <w:r w:rsidRPr="00543557">
        <w:t>Essential Services Commission</w:t>
      </w:r>
      <w:r>
        <w:t xml:space="preserve"> 2022</w:t>
      </w:r>
      <w:r w:rsidRPr="00543557">
        <w:t xml:space="preserve">, </w:t>
      </w:r>
      <w:r w:rsidRPr="00543557">
        <w:rPr>
          <w:i/>
          <w:iCs/>
        </w:rPr>
        <w:t>202</w:t>
      </w:r>
      <w:r>
        <w:rPr>
          <w:i/>
          <w:iCs/>
        </w:rPr>
        <w:t xml:space="preserve">4 </w:t>
      </w:r>
      <w:r w:rsidRPr="00064E14">
        <w:rPr>
          <w:i/>
        </w:rPr>
        <w:t>Goulburn-Murray Water price review: Guidance paper</w:t>
      </w:r>
      <w:r w:rsidRPr="00064E14">
        <w:t>, 13 September 2022, p. 39</w:t>
      </w:r>
    </w:p>
  </w:footnote>
  <w:footnote w:id="67">
    <w:p w14:paraId="39F01883" w14:textId="1BB3630C" w:rsidR="00883FA1" w:rsidRDefault="00883FA1">
      <w:pPr>
        <w:pStyle w:val="FootnoteText"/>
      </w:pPr>
      <w:r w:rsidRPr="00244841">
        <w:rPr>
          <w:rStyle w:val="FootnoteReference"/>
        </w:rPr>
        <w:footnoteRef/>
      </w:r>
      <w:r w:rsidRPr="00244841">
        <w:t xml:space="preserve"> </w:t>
      </w:r>
      <w:r w:rsidR="00ED78A7" w:rsidRPr="00244841">
        <w:t xml:space="preserve">Goulburn-Murray Water is forecasting a negative </w:t>
      </w:r>
      <w:r w:rsidR="00BE4956" w:rsidRPr="00244841">
        <w:t xml:space="preserve">pre-tax net income arising from </w:t>
      </w:r>
      <w:r w:rsidR="00D32686" w:rsidRPr="00244841">
        <w:t>significant tax losses brought forward</w:t>
      </w:r>
      <w:r w:rsidR="00C21E46" w:rsidRPr="00244841">
        <w:t xml:space="preserve"> from previous years</w:t>
      </w:r>
      <w:r w:rsidR="00D32686" w:rsidRPr="00244841">
        <w:t xml:space="preserve">, which results in a </w:t>
      </w:r>
      <w:r w:rsidR="00545749" w:rsidRPr="00244841">
        <w:t>zero-tax</w:t>
      </w:r>
      <w:r w:rsidR="00D32686" w:rsidRPr="00244841">
        <w:t xml:space="preserve"> liability.</w:t>
      </w:r>
      <w:r w:rsidR="00D32686">
        <w:t xml:space="preserve"> </w:t>
      </w:r>
    </w:p>
  </w:footnote>
  <w:footnote w:id="68">
    <w:p w14:paraId="505F6C9B" w14:textId="18DDC0F0" w:rsidR="000A39E3" w:rsidRPr="00B34BD2" w:rsidRDefault="000A39E3" w:rsidP="000A39E3">
      <w:pPr>
        <w:pStyle w:val="FootnoteText"/>
        <w:rPr>
          <w:lang w:val="en-US"/>
        </w:rPr>
      </w:pPr>
      <w:r>
        <w:rPr>
          <w:rStyle w:val="FootnoteReference"/>
        </w:rPr>
        <w:footnoteRef/>
      </w:r>
      <w:r>
        <w:t xml:space="preserve"> </w:t>
      </w:r>
      <w:r>
        <w:tab/>
      </w:r>
      <w:r w:rsidRPr="00543557">
        <w:t>Essential Services Commission</w:t>
      </w:r>
      <w:r>
        <w:t xml:space="preserve"> 2022</w:t>
      </w:r>
      <w:r w:rsidRPr="00543557">
        <w:t xml:space="preserve">, </w:t>
      </w:r>
      <w:r w:rsidRPr="00064E14">
        <w:rPr>
          <w:i/>
        </w:rPr>
        <w:t>2024 Goulburn-Murray Water price review: Guidance paper</w:t>
      </w:r>
      <w:r w:rsidRPr="00064E14">
        <w:t>, 13 September 2022, pp. 47–48.</w:t>
      </w:r>
    </w:p>
  </w:footnote>
  <w:footnote w:id="69">
    <w:p w14:paraId="53EC582C" w14:textId="2E78F093" w:rsidR="00877E63" w:rsidRDefault="00877E63">
      <w:pPr>
        <w:pStyle w:val="FootnoteText"/>
      </w:pPr>
      <w:r>
        <w:rPr>
          <w:rStyle w:val="FootnoteReference"/>
        </w:rPr>
        <w:footnoteRef/>
      </w:r>
      <w:r>
        <w:t xml:space="preserve"> </w:t>
      </w:r>
      <w:r w:rsidR="00D44958">
        <w:tab/>
      </w:r>
      <w:r w:rsidR="006D6DB2" w:rsidRPr="006D6DB2">
        <w:t xml:space="preserve">Goulburn-Murray Water, </w:t>
      </w:r>
      <w:r w:rsidR="006D6DB2" w:rsidRPr="00E66280">
        <w:rPr>
          <w:i/>
        </w:rPr>
        <w:t>GMW Price Submission 2024</w:t>
      </w:r>
      <w:r w:rsidR="006D6DB2" w:rsidRPr="006D6DB2">
        <w:t>, September 2023,</w:t>
      </w:r>
      <w:r w:rsidR="006D6DB2">
        <w:t xml:space="preserve"> pp. 68</w:t>
      </w:r>
      <w:r w:rsidR="00947E43">
        <w:t>–</w:t>
      </w:r>
      <w:r w:rsidR="006D6DB2">
        <w:t>77.</w:t>
      </w:r>
    </w:p>
  </w:footnote>
  <w:footnote w:id="70">
    <w:p w14:paraId="46DCD615" w14:textId="3BD9B197" w:rsidR="0040531C" w:rsidRDefault="0040531C" w:rsidP="0040531C">
      <w:pPr>
        <w:pStyle w:val="FootnoteText"/>
      </w:pPr>
      <w:r>
        <w:rPr>
          <w:rStyle w:val="FootnoteReference"/>
        </w:rPr>
        <w:footnoteRef/>
      </w:r>
      <w:r>
        <w:t xml:space="preserve"> </w:t>
      </w:r>
      <w:r w:rsidR="00B85D94">
        <w:t xml:space="preserve"> </w:t>
      </w:r>
      <w:r w:rsidR="004079C5">
        <w:tab/>
      </w:r>
      <w:r w:rsidRPr="00543557">
        <w:t>Essential Services Commission</w:t>
      </w:r>
      <w:r>
        <w:t xml:space="preserve"> 2022</w:t>
      </w:r>
      <w:r w:rsidRPr="00543557">
        <w:t xml:space="preserve">, </w:t>
      </w:r>
      <w:r w:rsidRPr="00543557">
        <w:rPr>
          <w:i/>
          <w:iCs/>
        </w:rPr>
        <w:t>202</w:t>
      </w:r>
      <w:r>
        <w:rPr>
          <w:i/>
          <w:iCs/>
        </w:rPr>
        <w:t xml:space="preserve">4 </w:t>
      </w:r>
      <w:r w:rsidRPr="00E66280">
        <w:rPr>
          <w:i/>
        </w:rPr>
        <w:t>Goulburn-Murray Water</w:t>
      </w:r>
      <w:r w:rsidRPr="00543557">
        <w:rPr>
          <w:i/>
          <w:iCs/>
        </w:rPr>
        <w:t xml:space="preserve"> price review: Guidance paper</w:t>
      </w:r>
      <w:r w:rsidRPr="00543557">
        <w:t xml:space="preserve">, </w:t>
      </w:r>
      <w:r w:rsidRPr="00E66280">
        <w:t>13</w:t>
      </w:r>
      <w:r>
        <w:t xml:space="preserve"> September 2022</w:t>
      </w:r>
      <w:r w:rsidRPr="00FD4B21">
        <w:t xml:space="preserve">, </w:t>
      </w:r>
      <w:r w:rsidRPr="00E66280">
        <w:t>pp.48</w:t>
      </w:r>
      <w:r w:rsidR="00833AB9" w:rsidRPr="00E66280">
        <w:t>–</w:t>
      </w:r>
      <w:r w:rsidRPr="00E66280">
        <w:t>49.</w:t>
      </w:r>
    </w:p>
  </w:footnote>
  <w:footnote w:id="71">
    <w:p w14:paraId="3B364002" w14:textId="6F565716" w:rsidR="00666A5A" w:rsidRPr="00FD4B21" w:rsidRDefault="00666A5A" w:rsidP="00590908">
      <w:pPr>
        <w:pStyle w:val="FootnoteText"/>
        <w:spacing w:afterLines="60" w:after="144"/>
        <w:rPr>
          <w:lang w:val="en-US"/>
        </w:rPr>
      </w:pPr>
      <w:r>
        <w:rPr>
          <w:rStyle w:val="FootnoteReference"/>
        </w:rPr>
        <w:footnoteRef/>
      </w:r>
      <w:r w:rsidR="00663967">
        <w:t xml:space="preserve"> </w:t>
      </w:r>
      <w:bookmarkStart w:id="135" w:name="_Hlk151372676"/>
      <w:r w:rsidR="00AB6EC4">
        <w:t xml:space="preserve"> </w:t>
      </w:r>
      <w:r w:rsidRPr="00543557">
        <w:t>Essential Services Commission</w:t>
      </w:r>
      <w:r>
        <w:t xml:space="preserve"> 2022</w:t>
      </w:r>
      <w:r w:rsidRPr="00543557">
        <w:t xml:space="preserve">, </w:t>
      </w:r>
      <w:r w:rsidRPr="00543557">
        <w:rPr>
          <w:i/>
          <w:iCs/>
        </w:rPr>
        <w:t>202</w:t>
      </w:r>
      <w:r>
        <w:rPr>
          <w:i/>
          <w:iCs/>
        </w:rPr>
        <w:t xml:space="preserve">4 </w:t>
      </w:r>
      <w:r w:rsidRPr="00663967">
        <w:rPr>
          <w:i/>
        </w:rPr>
        <w:t>Goulburn-Murray Water</w:t>
      </w:r>
      <w:r w:rsidRPr="00543557">
        <w:rPr>
          <w:i/>
          <w:iCs/>
        </w:rPr>
        <w:t xml:space="preserve"> price review: Guidance paper</w:t>
      </w:r>
      <w:r w:rsidRPr="00543557">
        <w:t xml:space="preserve">, </w:t>
      </w:r>
      <w:r w:rsidRPr="00663967">
        <w:t>13</w:t>
      </w:r>
      <w:r>
        <w:t xml:space="preserve"> September 2022</w:t>
      </w:r>
      <w:r w:rsidRPr="00FD4B21">
        <w:t xml:space="preserve">, p. </w:t>
      </w:r>
      <w:r w:rsidRPr="00663967">
        <w:t>49.</w:t>
      </w:r>
      <w:bookmarkEnd w:id="135"/>
    </w:p>
  </w:footnote>
  <w:footnote w:id="72">
    <w:p w14:paraId="0351BE29" w14:textId="3F3AED6C" w:rsidR="00EC1088" w:rsidRPr="008513AE" w:rsidRDefault="00EC1088" w:rsidP="00590908">
      <w:pPr>
        <w:spacing w:afterLines="60" w:after="144" w:line="240" w:lineRule="auto"/>
      </w:pPr>
      <w:r>
        <w:rPr>
          <w:rStyle w:val="FootnoteReference"/>
        </w:rPr>
        <w:footnoteRef/>
      </w:r>
      <w:r>
        <w:t xml:space="preserve"> </w:t>
      </w:r>
      <w:r w:rsidR="00AB6EC4">
        <w:t xml:space="preserve"> </w:t>
      </w:r>
      <w:r w:rsidRPr="001F3917">
        <w:rPr>
          <w:sz w:val="18"/>
          <w:szCs w:val="20"/>
        </w:rPr>
        <w:t>We note that rebalancing constraints apply</w:t>
      </w:r>
      <w:r>
        <w:rPr>
          <w:sz w:val="18"/>
          <w:szCs w:val="20"/>
        </w:rPr>
        <w:t xml:space="preserve"> </w:t>
      </w:r>
      <w:r w:rsidRPr="008513AE">
        <w:rPr>
          <w:sz w:val="18"/>
          <w:szCs w:val="20"/>
        </w:rPr>
        <w:t>on: the weighted average price movement</w:t>
      </w:r>
      <w:r>
        <w:rPr>
          <w:sz w:val="18"/>
          <w:szCs w:val="20"/>
        </w:rPr>
        <w:t xml:space="preserve">; </w:t>
      </w:r>
      <w:r w:rsidRPr="008513AE">
        <w:rPr>
          <w:sz w:val="18"/>
          <w:szCs w:val="20"/>
        </w:rPr>
        <w:t>tariffs and not on bills; on real price changes and not nominal price changes</w:t>
      </w:r>
      <w:r w:rsidR="00957399">
        <w:rPr>
          <w:sz w:val="18"/>
          <w:szCs w:val="20"/>
        </w:rPr>
        <w:t>. Source:</w:t>
      </w:r>
      <w:r w:rsidRPr="001F3917">
        <w:rPr>
          <w:sz w:val="18"/>
          <w:szCs w:val="20"/>
        </w:rPr>
        <w:t xml:space="preserve">  Essential Services Commission 2022, </w:t>
      </w:r>
      <w:r w:rsidRPr="00957399">
        <w:rPr>
          <w:i/>
          <w:sz w:val="18"/>
          <w:szCs w:val="20"/>
        </w:rPr>
        <w:t>2024 Goulburn-Murray Water price review: Guidance paper</w:t>
      </w:r>
      <w:r w:rsidRPr="001F3917">
        <w:rPr>
          <w:sz w:val="18"/>
          <w:szCs w:val="20"/>
        </w:rPr>
        <w:t>, 13 September 2022, p</w:t>
      </w:r>
      <w:r w:rsidR="003728D7">
        <w:rPr>
          <w:sz w:val="18"/>
          <w:szCs w:val="20"/>
        </w:rPr>
        <w:t>p</w:t>
      </w:r>
      <w:r w:rsidRPr="001F3917">
        <w:rPr>
          <w:sz w:val="18"/>
          <w:szCs w:val="20"/>
        </w:rPr>
        <w:t>. 49</w:t>
      </w:r>
      <w:r w:rsidR="00B57577">
        <w:rPr>
          <w:sz w:val="18"/>
          <w:szCs w:val="20"/>
        </w:rPr>
        <w:t>-50</w:t>
      </w:r>
      <w:r w:rsidRPr="001F3917">
        <w:rPr>
          <w:sz w:val="18"/>
          <w:szCs w:val="20"/>
        </w:rPr>
        <w:t>.</w:t>
      </w:r>
      <w:r w:rsidR="00663967">
        <w:rPr>
          <w:sz w:val="18"/>
          <w:szCs w:val="20"/>
        </w:rPr>
        <w:t xml:space="preserve"> </w:t>
      </w:r>
    </w:p>
  </w:footnote>
  <w:footnote w:id="73">
    <w:p w14:paraId="5F54C6F2" w14:textId="353C6D46" w:rsidR="0061367C" w:rsidRDefault="0061367C">
      <w:pPr>
        <w:pStyle w:val="FootnoteText"/>
      </w:pPr>
      <w:r>
        <w:rPr>
          <w:rStyle w:val="FootnoteReference"/>
        </w:rPr>
        <w:footnoteRef/>
      </w:r>
      <w:r>
        <w:t xml:space="preserve"> </w:t>
      </w:r>
      <w:r w:rsidR="00064DD2">
        <w:tab/>
      </w:r>
      <w:r w:rsidR="00064DD2" w:rsidRPr="00064DD2">
        <w:t xml:space="preserve">Drainage and irrigation tariffs account for about </w:t>
      </w:r>
      <w:r w:rsidR="00064DD2" w:rsidRPr="00801DDC">
        <w:t xml:space="preserve">60 </w:t>
      </w:r>
      <w:r w:rsidR="00064DD2" w:rsidRPr="0039681E">
        <w:t>per cent</w:t>
      </w:r>
      <w:r w:rsidR="00064DD2" w:rsidRPr="00064DD2">
        <w:t xml:space="preserve"> of Goulburn-Murray Water’s revenue.</w:t>
      </w:r>
    </w:p>
  </w:footnote>
  <w:footnote w:id="74">
    <w:p w14:paraId="7F19543A" w14:textId="523F78B2" w:rsidR="00145A4F" w:rsidRDefault="00145A4F">
      <w:pPr>
        <w:pStyle w:val="FootnoteText"/>
      </w:pPr>
      <w:r>
        <w:rPr>
          <w:rStyle w:val="FootnoteReference"/>
        </w:rPr>
        <w:footnoteRef/>
      </w:r>
      <w:r>
        <w:t xml:space="preserve"> </w:t>
      </w:r>
      <w:r>
        <w:tab/>
      </w:r>
      <w:r w:rsidR="00A07140" w:rsidRPr="00A07140">
        <w:t xml:space="preserve">Goulburn-Murray Water, </w:t>
      </w:r>
      <w:r w:rsidR="00A07140" w:rsidRPr="00A07140">
        <w:rPr>
          <w:i/>
          <w:iCs/>
        </w:rPr>
        <w:t>GMW Price Submission 2024</w:t>
      </w:r>
      <w:r w:rsidR="00A07140" w:rsidRPr="00A07140">
        <w:t>, September 2023, p. 25</w:t>
      </w:r>
      <w:r w:rsidR="00B22CBF">
        <w:t>.</w:t>
      </w:r>
    </w:p>
  </w:footnote>
  <w:footnote w:id="75">
    <w:p w14:paraId="0224FF21" w14:textId="5617217B" w:rsidR="00C41132" w:rsidRDefault="00C41132">
      <w:pPr>
        <w:pStyle w:val="FootnoteText"/>
      </w:pPr>
      <w:r>
        <w:rPr>
          <w:rStyle w:val="FootnoteReference"/>
        </w:rPr>
        <w:footnoteRef/>
      </w:r>
      <w:r>
        <w:t xml:space="preserve"> </w:t>
      </w:r>
      <w:r w:rsidR="004809FC">
        <w:tab/>
      </w:r>
      <w:r w:rsidR="004809FC" w:rsidRPr="004809FC">
        <w:t xml:space="preserve">Goulburn-Murray Water, </w:t>
      </w:r>
      <w:r w:rsidR="004809FC" w:rsidRPr="004809FC">
        <w:rPr>
          <w:i/>
          <w:iCs/>
        </w:rPr>
        <w:t>GMW Price Submission 2024</w:t>
      </w:r>
      <w:r w:rsidR="004809FC" w:rsidRPr="004809FC">
        <w:t>, September 2023, pp. 80</w:t>
      </w:r>
      <w:r w:rsidR="004809FC">
        <w:t>–</w:t>
      </w:r>
      <w:r w:rsidR="004809FC" w:rsidRPr="004809FC">
        <w:t>82.</w:t>
      </w:r>
    </w:p>
  </w:footnote>
  <w:footnote w:id="76">
    <w:p w14:paraId="2339A415" w14:textId="4BEB909C" w:rsidR="005E745A" w:rsidRDefault="005E745A" w:rsidP="005E745A">
      <w:pPr>
        <w:pStyle w:val="FootnoteText"/>
      </w:pPr>
      <w:r>
        <w:rPr>
          <w:rStyle w:val="FootnoteReference"/>
        </w:rPr>
        <w:footnoteRef/>
      </w:r>
      <w:r>
        <w:t xml:space="preserve">   Egis Oceania, </w:t>
      </w:r>
      <w:r w:rsidRPr="00AA1E16">
        <w:rPr>
          <w:i/>
        </w:rPr>
        <w:t>2024 Water price review assessment of Goulburn-Murray Water’s tariff reforms – draft report</w:t>
      </w:r>
      <w:r>
        <w:t xml:space="preserve">, </w:t>
      </w:r>
      <w:r w:rsidRPr="00AA1E16">
        <w:t>March 2024, pp. 1</w:t>
      </w:r>
      <w:r w:rsidR="006E389C" w:rsidRPr="00AA1E16">
        <w:t>0</w:t>
      </w:r>
      <w:r w:rsidR="00323ABB">
        <w:t>–</w:t>
      </w:r>
      <w:r w:rsidRPr="00AA1E16">
        <w:t>1</w:t>
      </w:r>
      <w:r w:rsidR="006E389C" w:rsidRPr="00AA1E16">
        <w:t>3</w:t>
      </w:r>
      <w:r w:rsidR="00AA1E16">
        <w:t>.</w:t>
      </w:r>
    </w:p>
  </w:footnote>
  <w:footnote w:id="77">
    <w:p w14:paraId="042E3D57" w14:textId="77777777" w:rsidR="00C4524B" w:rsidRDefault="00C4524B" w:rsidP="00C4524B">
      <w:pPr>
        <w:pStyle w:val="FootnoteText"/>
      </w:pPr>
      <w:r>
        <w:rPr>
          <w:rStyle w:val="FootnoteReference"/>
        </w:rPr>
        <w:footnoteRef/>
      </w:r>
      <w:r>
        <w:t xml:space="preserve"> </w:t>
      </w:r>
      <w:r>
        <w:tab/>
      </w:r>
      <w:r w:rsidRPr="005E78BD">
        <w:t xml:space="preserve">Note that the gravity irrigation and pumped irrigation bills discussed here include drainage fees where applicable. See Goulburn-Murray Water, </w:t>
      </w:r>
      <w:r w:rsidRPr="00A9024C">
        <w:rPr>
          <w:i/>
          <w:iCs/>
        </w:rPr>
        <w:t>GMW Price Submission 2024</w:t>
      </w:r>
      <w:r w:rsidRPr="005E78BD">
        <w:t>, September 2023, pp. 91</w:t>
      </w:r>
      <w:r>
        <w:t>–</w:t>
      </w:r>
      <w:r w:rsidRPr="005E78BD">
        <w:t>93 for the typical customer attributes for each of Goulburn-Murray Water’s typical bills.</w:t>
      </w:r>
    </w:p>
  </w:footnote>
  <w:footnote w:id="78">
    <w:p w14:paraId="7775B4F1" w14:textId="62086F5C" w:rsidR="00323BA9" w:rsidRPr="00673BBB" w:rsidRDefault="00323BA9">
      <w:pPr>
        <w:pStyle w:val="FootnoteText"/>
      </w:pPr>
      <w:r>
        <w:rPr>
          <w:rStyle w:val="FootnoteReference"/>
        </w:rPr>
        <w:footnoteRef/>
      </w:r>
      <w:r>
        <w:t xml:space="preserve"> </w:t>
      </w:r>
      <w:r w:rsidR="00142371">
        <w:tab/>
      </w:r>
      <w:r w:rsidR="00142371" w:rsidRPr="00673BBB">
        <w:t>Diversion services account for about five per cent of Goulburn-Murray Water’s revenue.</w:t>
      </w:r>
    </w:p>
  </w:footnote>
  <w:footnote w:id="79">
    <w:p w14:paraId="09251996" w14:textId="4B853CBA" w:rsidR="00E65099" w:rsidRPr="00F14ACC" w:rsidRDefault="00E65099">
      <w:pPr>
        <w:pStyle w:val="FootnoteText"/>
      </w:pPr>
      <w:r w:rsidRPr="00673BBB">
        <w:rPr>
          <w:rStyle w:val="FootnoteReference"/>
        </w:rPr>
        <w:footnoteRef/>
      </w:r>
      <w:r w:rsidRPr="00673BBB">
        <w:t xml:space="preserve"> </w:t>
      </w:r>
      <w:r w:rsidRPr="00673BBB">
        <w:tab/>
      </w:r>
      <w:r w:rsidR="001B1D33" w:rsidRPr="00673BBB">
        <w:t xml:space="preserve">Anonymous, submission to the commission’s Goulburn-Murray Water’s 2024 water price review, 14 November 2023; Anonymous, submission to the commission’s Goulburn-Murray Water’s 2024 water price review, 14 November 2023; Anonymous, submission to the commission’s Goulburn-Murray Water’s 2024 water price review, 30 November 2023; Anonymous, submission to the commission’s Goulburn-Murray Water’s 2024 water price review, 1 December 2023; Ian Roy, submission to the commission’s Goulburn-Murray Water’s 2024 water price review, 1 December 2023; Nick Legge, submission to the commission’s Goulburn-Murray Water’s 2024 water price review, December 2023; Anonymous, submission to the commission’s Goulburn-Murray Water’s 2024 water price review, 3 December 2023; Cameron and Jan Reid, submission to the commission’s Goulburn-Murray Water’s 2024 water price review, 4 December 2023; Anonymous, submission to the commission’s Goulburn-Murray Water’s 2024 water price review, 4 December 2023; </w:t>
      </w:r>
      <w:r w:rsidR="00AA1E16" w:rsidRPr="00673BBB">
        <w:t xml:space="preserve">Paula Hall, submission to the commission’s Goulburn-Murray Water’s 2024 water price review, </w:t>
      </w:r>
      <w:r w:rsidR="005446C5" w:rsidRPr="00673BBB">
        <w:t>6</w:t>
      </w:r>
      <w:r w:rsidR="00AA1E16" w:rsidRPr="00673BBB">
        <w:t xml:space="preserve"> December </w:t>
      </w:r>
      <w:r w:rsidR="005446C5" w:rsidRPr="00673BBB">
        <w:t>2023;</w:t>
      </w:r>
      <w:r w:rsidR="00AA1E16" w:rsidRPr="00673BBB">
        <w:t xml:space="preserve"> </w:t>
      </w:r>
      <w:r w:rsidR="001B1D33" w:rsidRPr="00673BBB">
        <w:t xml:space="preserve">Christopher Maud, submission to the commission’s Goulburn-Murray Water’s 2024 water price </w:t>
      </w:r>
      <w:r w:rsidR="001B1D33" w:rsidRPr="00F14ACC">
        <w:t>review, 13 December and 14 December 2023; Anonymous, submission to the commission’s Goulburn-Murray</w:t>
      </w:r>
      <w:r w:rsidR="001B1D33" w:rsidRPr="001B1D33">
        <w:t xml:space="preserve"> </w:t>
      </w:r>
      <w:r w:rsidR="001B1D33" w:rsidRPr="00F14ACC">
        <w:t>Water’s 2024 water price review, 13</w:t>
      </w:r>
      <w:r w:rsidR="003D73C0" w:rsidRPr="00F14ACC">
        <w:t xml:space="preserve"> December 2023; Rod Hall plus 19 other diverters from unregulated waterways, submission to the commission’s Goulburn-Murray Water’s 2024 water price review, 14 December 2023; Sarah Nicholas, submission to the commission’s Goulburn-Murray Water’s 2024 water price review, 15 December 2023</w:t>
      </w:r>
      <w:r w:rsidR="00C230AA" w:rsidRPr="00F14ACC">
        <w:t xml:space="preserve">; </w:t>
      </w:r>
      <w:bookmarkStart w:id="154" w:name="_Hlk159329156"/>
      <w:r w:rsidR="00C230AA" w:rsidRPr="00F14ACC">
        <w:t>Anonymous, submission to the commission’s Goulburn-Murray Water’s 2024 water price review, 15 December 2023.</w:t>
      </w:r>
      <w:bookmarkEnd w:id="154"/>
      <w:r w:rsidR="00C230AA" w:rsidRPr="00F14ACC">
        <w:t xml:space="preserve"> </w:t>
      </w:r>
    </w:p>
  </w:footnote>
  <w:footnote w:id="80">
    <w:p w14:paraId="5D79385E" w14:textId="7D4C4F4D" w:rsidR="00371512" w:rsidRPr="00F14ACC" w:rsidRDefault="00371512">
      <w:pPr>
        <w:pStyle w:val="FootnoteText"/>
      </w:pPr>
      <w:r w:rsidRPr="00F14ACC">
        <w:rPr>
          <w:rStyle w:val="FootnoteReference"/>
        </w:rPr>
        <w:footnoteRef/>
      </w:r>
      <w:r w:rsidRPr="00F14ACC">
        <w:t xml:space="preserve"> </w:t>
      </w:r>
      <w:r w:rsidR="00154C1F" w:rsidRPr="00F14ACC">
        <w:tab/>
      </w:r>
      <w:r w:rsidR="00A131A9" w:rsidRPr="00F14ACC">
        <w:t>Anonymous, submission to the commission’s Goulburn-Murray Water’s 2024 water price review, 1</w:t>
      </w:r>
      <w:r w:rsidR="00645A06" w:rsidRPr="00F14ACC">
        <w:t>4</w:t>
      </w:r>
      <w:r w:rsidR="00A131A9" w:rsidRPr="00F14ACC">
        <w:t xml:space="preserve"> </w:t>
      </w:r>
      <w:r w:rsidR="00645A06" w:rsidRPr="00F14ACC">
        <w:t>November</w:t>
      </w:r>
      <w:r w:rsidR="00A131A9" w:rsidRPr="00F14ACC">
        <w:t xml:space="preserve"> 2023; </w:t>
      </w:r>
      <w:r w:rsidR="00C50A55" w:rsidRPr="00F14ACC">
        <w:t xml:space="preserve">Anonymous, submission to the commission’s Goulburn-Murray Water’s 2024 water price review, 14 November 2023; </w:t>
      </w:r>
      <w:r w:rsidR="00154C1F" w:rsidRPr="00F14ACC">
        <w:t xml:space="preserve">Nick Legge, submission to the commission’s Goulburn-Murray Water’s 2024 water price review, </w:t>
      </w:r>
      <w:r w:rsidR="003402D8" w:rsidRPr="00F14ACC">
        <w:t xml:space="preserve">1 </w:t>
      </w:r>
      <w:r w:rsidR="00154C1F" w:rsidRPr="00F14ACC">
        <w:t>December 2023; Cameron and Jan Reid, submission to the commission’s Goulburn-Murray Water’s 2024 water price review, 4 December 2023; Anonymous, submission to the commission’s Goulburn-Murray Water’s 2024 water price review, 4 December 2023; Rod Hall and 19 other domestic and stock customers, submission to the commission’s Goulburn-Murray Water’s 2024 water price review, 14 December 2023; Christopher Maud, submission to the commission’s Goulburn-Murray Water’s 2024 water price review, 13 December and 14 December 2023.</w:t>
      </w:r>
    </w:p>
  </w:footnote>
  <w:footnote w:id="81">
    <w:p w14:paraId="5F9E4455" w14:textId="65532C26" w:rsidR="00A40CD7" w:rsidRDefault="00A40CD7">
      <w:pPr>
        <w:pStyle w:val="FootnoteText"/>
      </w:pPr>
      <w:r>
        <w:rPr>
          <w:rStyle w:val="FootnoteReference"/>
        </w:rPr>
        <w:footnoteRef/>
      </w:r>
      <w:r>
        <w:t xml:space="preserve"> </w:t>
      </w:r>
      <w:r w:rsidR="005D180D">
        <w:tab/>
      </w:r>
      <w:r w:rsidR="005D180D" w:rsidRPr="00C94ECC">
        <w:t xml:space="preserve">Egis, </w:t>
      </w:r>
      <w:r w:rsidR="005D180D" w:rsidRPr="00C94ECC">
        <w:rPr>
          <w:i/>
        </w:rPr>
        <w:t>2024 Water price review – Assessment of Goulburn-Murray Water’s tariff reforms – draft report</w:t>
      </w:r>
      <w:r w:rsidR="005D180D" w:rsidRPr="00C94ECC">
        <w:t xml:space="preserve">, March </w:t>
      </w:r>
      <w:r w:rsidR="005D180D" w:rsidRPr="00C91680">
        <w:t>20</w:t>
      </w:r>
      <w:r w:rsidR="00C91680" w:rsidRPr="00C91680">
        <w:t>24</w:t>
      </w:r>
      <w:r w:rsidR="005D180D" w:rsidRPr="00C94ECC">
        <w:t>, p.24.</w:t>
      </w:r>
    </w:p>
  </w:footnote>
  <w:footnote w:id="82">
    <w:p w14:paraId="3BB0579D" w14:textId="77777777" w:rsidR="004C7928" w:rsidRDefault="004C7928" w:rsidP="004C7928">
      <w:pPr>
        <w:pStyle w:val="FootnoteText"/>
      </w:pPr>
      <w:r>
        <w:rPr>
          <w:rStyle w:val="FootnoteReference"/>
        </w:rPr>
        <w:footnoteRef/>
      </w:r>
      <w:r>
        <w:t xml:space="preserve">  </w:t>
      </w:r>
      <w:r w:rsidRPr="005D4264">
        <w:t>Goulburn-Murray Water has also provided us with additional information supporting its engagement with diverters from unregulated waterways including domestic and stock customer from the Upper Ovens. Our draft decision accepts Goulburn-Murray Water’s self-rating of ‘Standard’ for the Engagement element of PREMO on the basis of the overall suitability of its engagement program and the level of influence afforded to customers particularly at the early planning stages through its engagement with its water services committees. We consider Goulburn-Murray Water’s PREMO assessments on Risk and Engagement in Section 16.1.2 and 16.1.3.</w:t>
      </w:r>
    </w:p>
  </w:footnote>
  <w:footnote w:id="83">
    <w:p w14:paraId="2DFC7715" w14:textId="3015E0B7" w:rsidR="00C62967" w:rsidRDefault="00C62967">
      <w:pPr>
        <w:pStyle w:val="FootnoteText"/>
      </w:pPr>
      <w:r>
        <w:rPr>
          <w:rStyle w:val="FootnoteReference"/>
        </w:rPr>
        <w:footnoteRef/>
      </w:r>
      <w:r>
        <w:t xml:space="preserve"> </w:t>
      </w:r>
      <w:r>
        <w:tab/>
      </w:r>
      <w:r w:rsidR="00420D3F" w:rsidRPr="00420D3F">
        <w:t>The annual total licence charges for Southern Rural Water are the sum of licence fixed charges and licence variable charges</w:t>
      </w:r>
      <w:r w:rsidR="00BC3FB6">
        <w:t xml:space="preserve"> and could range from</w:t>
      </w:r>
      <w:r w:rsidR="007309C1">
        <w:t xml:space="preserve"> $404 to $430 annually</w:t>
      </w:r>
      <w:r w:rsidR="002A15B9">
        <w:t xml:space="preserve">, assuming </w:t>
      </w:r>
      <w:r w:rsidR="005761AA">
        <w:t>a</w:t>
      </w:r>
      <w:r w:rsidR="00565A0A">
        <w:t xml:space="preserve"> surface licenced volume </w:t>
      </w:r>
      <w:r w:rsidR="00287807">
        <w:t>o</w:t>
      </w:r>
      <w:r w:rsidR="00565A0A">
        <w:t>f 2ML</w:t>
      </w:r>
      <w:r w:rsidR="00420D3F" w:rsidRPr="00420D3F">
        <w:t xml:space="preserve">. </w:t>
      </w:r>
      <w:r w:rsidR="00316F76">
        <w:t>Depending on the loca</w:t>
      </w:r>
      <w:r w:rsidR="00105750">
        <w:t xml:space="preserve">tion, </w:t>
      </w:r>
      <w:r w:rsidR="00D26BD7">
        <w:t xml:space="preserve">Southern Rural Water </w:t>
      </w:r>
      <w:r w:rsidR="00107D63">
        <w:t xml:space="preserve">said that a System Management Charge may </w:t>
      </w:r>
      <w:r w:rsidR="0045765B">
        <w:t xml:space="preserve">also </w:t>
      </w:r>
      <w:r w:rsidR="00107D63">
        <w:t xml:space="preserve">apply. </w:t>
      </w:r>
      <w:r w:rsidR="00420D3F" w:rsidRPr="00420D3F">
        <w:t xml:space="preserve">In New South Wales, </w:t>
      </w:r>
      <w:r w:rsidR="00C9740D">
        <w:t>i</w:t>
      </w:r>
      <w:r w:rsidR="0023246E">
        <w:t xml:space="preserve">f </w:t>
      </w:r>
      <w:r w:rsidR="00C9740D">
        <w:t>a diverter is</w:t>
      </w:r>
      <w:r w:rsidR="0023246E">
        <w:t xml:space="preserve"> looking</w:t>
      </w:r>
      <w:r w:rsidR="00420D3F" w:rsidRPr="00420D3F">
        <w:t xml:space="preserve"> to </w:t>
      </w:r>
      <w:r w:rsidR="0023246E">
        <w:t>put in a diversion channel</w:t>
      </w:r>
      <w:r w:rsidR="00F10AA0">
        <w:t xml:space="preserve">, </w:t>
      </w:r>
      <w:r w:rsidR="00917742">
        <w:t>the customer will</w:t>
      </w:r>
      <w:r w:rsidR="00420D3F" w:rsidRPr="00420D3F">
        <w:t xml:space="preserve"> need to apply for a water supply work </w:t>
      </w:r>
      <w:r w:rsidR="0023246E">
        <w:t xml:space="preserve">and/or use </w:t>
      </w:r>
      <w:r w:rsidR="00420D3F" w:rsidRPr="00420D3F">
        <w:t xml:space="preserve">approval </w:t>
      </w:r>
      <w:r w:rsidR="002A16D3">
        <w:t>which</w:t>
      </w:r>
      <w:r w:rsidR="0023246E">
        <w:t xml:space="preserve"> will</w:t>
      </w:r>
      <w:r w:rsidR="00420D3F" w:rsidRPr="00420D3F">
        <w:t xml:space="preserve"> cost </w:t>
      </w:r>
      <w:r w:rsidR="0023246E">
        <w:t>$5</w:t>
      </w:r>
      <w:r w:rsidR="002A16D3">
        <w:t>,</w:t>
      </w:r>
      <w:r w:rsidR="0023246E">
        <w:t>061.02.</w:t>
      </w:r>
      <w:r w:rsidR="002A16D3">
        <w:t xml:space="preserve"> </w:t>
      </w:r>
      <w:r w:rsidR="007F05A3">
        <w:t>For</w:t>
      </w:r>
      <w:r w:rsidR="0023246E">
        <w:t xml:space="preserve"> stock and domestic </w:t>
      </w:r>
      <w:r w:rsidR="00525374">
        <w:t>customers</w:t>
      </w:r>
      <w:r w:rsidR="0023246E">
        <w:t xml:space="preserve">, </w:t>
      </w:r>
      <w:r w:rsidR="00ED1D20">
        <w:t xml:space="preserve">if </w:t>
      </w:r>
      <w:r w:rsidR="00080E5F">
        <w:t>the property front</w:t>
      </w:r>
      <w:r w:rsidR="00BF2D5F">
        <w:t>s</w:t>
      </w:r>
      <w:r w:rsidR="00080E5F">
        <w:t xml:space="preserve"> the river, it will not re</w:t>
      </w:r>
      <w:r w:rsidR="008858F6">
        <w:t>quire an approval</w:t>
      </w:r>
      <w:r w:rsidR="00E210C0">
        <w:t xml:space="preserve"> to extract water</w:t>
      </w:r>
      <w:r w:rsidR="00F526CA">
        <w:t>. However, if the property does not front the property</w:t>
      </w:r>
      <w:r w:rsidR="001B415A">
        <w:t xml:space="preserve">, </w:t>
      </w:r>
      <w:r w:rsidR="002939C4">
        <w:t xml:space="preserve">the customer would need an </w:t>
      </w:r>
      <w:r w:rsidR="00654645">
        <w:t>approval</w:t>
      </w:r>
      <w:r w:rsidR="00F526CA">
        <w:t xml:space="preserve"> </w:t>
      </w:r>
      <w:r w:rsidR="008309ED">
        <w:t xml:space="preserve">which will cost $5,061.02. </w:t>
      </w:r>
      <w:r w:rsidR="00245DE9" w:rsidRPr="00245DE9">
        <w:t xml:space="preserve">In addition, to the cost of the installation of the water supply work, customers may be required to apply for a water access licence and go to market to purchase water within the water sharing plan/water source associated with the area of the approval. </w:t>
      </w:r>
      <w:r w:rsidR="00420D3F" w:rsidRPr="00420D3F">
        <w:t xml:space="preserve">See: WaterNSW, </w:t>
      </w:r>
      <w:hyperlink r:id="rId3" w:history="1">
        <w:r w:rsidR="00420D3F" w:rsidRPr="00F04C42">
          <w:rPr>
            <w:rStyle w:val="Hyperlink"/>
          </w:rPr>
          <w:t>Applications and fees</w:t>
        </w:r>
      </w:hyperlink>
      <w:r w:rsidR="00420D3F" w:rsidRPr="00420D3F">
        <w:t xml:space="preserve"> (accessed on 15 February 2024).      </w:t>
      </w:r>
    </w:p>
  </w:footnote>
  <w:footnote w:id="84">
    <w:p w14:paraId="34F75B43" w14:textId="569F08C9" w:rsidR="004523D9" w:rsidRDefault="004523D9" w:rsidP="00132A3A">
      <w:pPr>
        <w:pStyle w:val="FootnoteText"/>
      </w:pPr>
      <w:r>
        <w:rPr>
          <w:rStyle w:val="FootnoteReference"/>
        </w:rPr>
        <w:footnoteRef/>
      </w:r>
      <w:r>
        <w:t xml:space="preserve"> </w:t>
      </w:r>
      <w:r w:rsidR="00132A3A">
        <w:tab/>
      </w:r>
      <w:r w:rsidR="00CD33ED">
        <w:t>For more information</w:t>
      </w:r>
      <w:r w:rsidR="00A64B73">
        <w:t>,</w:t>
      </w:r>
      <w:r w:rsidR="00CD33ED">
        <w:t xml:space="preserve"> see</w:t>
      </w:r>
      <w:r w:rsidR="00F2258B">
        <w:t xml:space="preserve"> </w:t>
      </w:r>
      <w:r w:rsidR="00C05214">
        <w:t>Goulburn-Murray Water,</w:t>
      </w:r>
      <w:r w:rsidR="00F2258B">
        <w:t xml:space="preserve"> </w:t>
      </w:r>
      <w:hyperlink r:id="rId4" w:history="1">
        <w:r w:rsidR="003A5B06" w:rsidRPr="003A5B06">
          <w:rPr>
            <w:rStyle w:val="Hyperlink"/>
          </w:rPr>
          <w:t>GMW Overview</w:t>
        </w:r>
      </w:hyperlink>
      <w:r w:rsidR="003A5B06">
        <w:t xml:space="preserve"> </w:t>
      </w:r>
      <w:r w:rsidR="0082778B">
        <w:t xml:space="preserve">(accessed on </w:t>
      </w:r>
      <w:r w:rsidR="00AB4954">
        <w:t>16 February 2024).</w:t>
      </w:r>
    </w:p>
  </w:footnote>
  <w:footnote w:id="85">
    <w:p w14:paraId="67C215D9" w14:textId="0BC0D51A" w:rsidR="00EE21EF" w:rsidRPr="00355EDA" w:rsidRDefault="00EE21EF" w:rsidP="00730CED">
      <w:pPr>
        <w:rPr>
          <w:highlight w:val="darkGray"/>
        </w:rPr>
      </w:pPr>
      <w:r w:rsidRPr="00A842AA">
        <w:rPr>
          <w:rStyle w:val="FootnoteReference"/>
        </w:rPr>
        <w:footnoteRef/>
      </w:r>
      <w:r w:rsidRPr="00A842AA">
        <w:t xml:space="preserve"> </w:t>
      </w:r>
      <w:r w:rsidR="00195AAE">
        <w:t xml:space="preserve"> </w:t>
      </w:r>
      <w:r w:rsidR="00730CED" w:rsidRPr="00A842AA">
        <w:rPr>
          <w:sz w:val="18"/>
          <w:szCs w:val="20"/>
        </w:rPr>
        <w:t>Goulburn-Murray Water on behalf of its retailers pay bulk water charges on a basin pricing basis (as required under its bulk entitlement order).</w:t>
      </w:r>
      <w:r w:rsidR="00345456" w:rsidRPr="00A842AA">
        <w:rPr>
          <w:sz w:val="18"/>
          <w:szCs w:val="20"/>
        </w:rPr>
        <w:t xml:space="preserve"> </w:t>
      </w:r>
      <w:r w:rsidR="00730CED" w:rsidRPr="00A842AA">
        <w:rPr>
          <w:sz w:val="18"/>
          <w:szCs w:val="20"/>
        </w:rPr>
        <w:t>To calculate storage charges for water right holders, Goulburn-Murray Water aggregates and averages the basin costs it paid into the two historic system costs for the Murray and Goulburn systems. The commencement of open trade of water shares means that water rights held by its customers may be purchased by customers in other areas (Lower Murray Water or interstate), which is facilitated through a defined tariff structure.</w:t>
      </w:r>
    </w:p>
  </w:footnote>
  <w:footnote w:id="86">
    <w:p w14:paraId="5D245C36" w14:textId="77C83389" w:rsidR="00211638" w:rsidRPr="000B01AE" w:rsidRDefault="00211638">
      <w:pPr>
        <w:pStyle w:val="FootnoteText"/>
      </w:pPr>
      <w:r w:rsidRPr="000B01AE">
        <w:rPr>
          <w:rStyle w:val="FootnoteReference"/>
        </w:rPr>
        <w:footnoteRef/>
      </w:r>
      <w:r w:rsidRPr="000B01AE">
        <w:t xml:space="preserve"> </w:t>
      </w:r>
      <w:bookmarkStart w:id="161" w:name="_Hlk159145631"/>
      <w:r w:rsidR="00CC17C2" w:rsidRPr="000B01AE">
        <w:t xml:space="preserve">Essential Services Commission, </w:t>
      </w:r>
      <w:r w:rsidR="00CC17C2" w:rsidRPr="000B01AE">
        <w:rPr>
          <w:i/>
        </w:rPr>
        <w:t>2024 Goulburn-Murray Water price review: Guidance paper</w:t>
      </w:r>
      <w:r w:rsidR="00CC17C2" w:rsidRPr="000B01AE">
        <w:t>, September 2022</w:t>
      </w:r>
      <w:bookmarkEnd w:id="161"/>
      <w:r w:rsidR="00CC17C2" w:rsidRPr="000B01AE">
        <w:t>, p. 51.</w:t>
      </w:r>
    </w:p>
  </w:footnote>
  <w:footnote w:id="87">
    <w:p w14:paraId="5F2F9247" w14:textId="05F88165" w:rsidR="00166349" w:rsidRPr="000B01AE" w:rsidRDefault="00166349">
      <w:pPr>
        <w:pStyle w:val="FootnoteText"/>
      </w:pPr>
      <w:r w:rsidRPr="000B01AE">
        <w:rPr>
          <w:rStyle w:val="FootnoteReference"/>
        </w:rPr>
        <w:footnoteRef/>
      </w:r>
      <w:r w:rsidRPr="000B01AE">
        <w:t xml:space="preserve"> </w:t>
      </w:r>
      <w:r w:rsidR="009E2109" w:rsidRPr="000B01AE">
        <w:t xml:space="preserve">Essential Services Commission, </w:t>
      </w:r>
      <w:r w:rsidR="009E2109" w:rsidRPr="000B01AE">
        <w:rPr>
          <w:i/>
        </w:rPr>
        <w:t>Goulburn-Murray Water final decision</w:t>
      </w:r>
      <w:r w:rsidR="009E2109" w:rsidRPr="000B01AE">
        <w:t>, June 2020, p. 34.</w:t>
      </w:r>
    </w:p>
  </w:footnote>
  <w:footnote w:id="88">
    <w:p w14:paraId="15B53B32" w14:textId="788D26C9" w:rsidR="00887DC7" w:rsidRDefault="00887DC7">
      <w:pPr>
        <w:pStyle w:val="FootnoteText"/>
      </w:pPr>
      <w:r>
        <w:rPr>
          <w:rStyle w:val="FootnoteReference"/>
        </w:rPr>
        <w:footnoteRef/>
      </w:r>
      <w:r>
        <w:t xml:space="preserve"> </w:t>
      </w:r>
      <w:r w:rsidR="0042743C">
        <w:t xml:space="preserve"> </w:t>
      </w:r>
      <w:bookmarkStart w:id="162" w:name="_Hlk158992117"/>
      <w:r w:rsidR="00A231A7">
        <w:t xml:space="preserve">Egis Oceania, </w:t>
      </w:r>
      <w:r w:rsidR="006B0966" w:rsidRPr="004063AE">
        <w:rPr>
          <w:i/>
        </w:rPr>
        <w:t>2024 Water price review assessment of Goulburn-Murray Water</w:t>
      </w:r>
      <w:r w:rsidR="00F7433C" w:rsidRPr="004063AE">
        <w:rPr>
          <w:i/>
        </w:rPr>
        <w:t>’s tariff reforms</w:t>
      </w:r>
      <w:r w:rsidR="00E40259" w:rsidRPr="004063AE">
        <w:rPr>
          <w:i/>
        </w:rPr>
        <w:t xml:space="preserve"> – draft report</w:t>
      </w:r>
      <w:r w:rsidR="008F69E2">
        <w:t xml:space="preserve">, </w:t>
      </w:r>
      <w:r w:rsidR="008F69E2" w:rsidRPr="004063AE">
        <w:t xml:space="preserve">March 2024, </w:t>
      </w:r>
      <w:r w:rsidR="0042743C" w:rsidRPr="004063AE">
        <w:t>pp. 13-14</w:t>
      </w:r>
    </w:p>
    <w:bookmarkEnd w:id="162"/>
  </w:footnote>
  <w:footnote w:id="89">
    <w:p w14:paraId="4702F73A" w14:textId="6371DD46" w:rsidR="00713793" w:rsidRPr="00F26F4F" w:rsidRDefault="00713793">
      <w:pPr>
        <w:pStyle w:val="FootnoteText"/>
      </w:pPr>
      <w:r w:rsidRPr="00F26F4F">
        <w:rPr>
          <w:rStyle w:val="FootnoteReference"/>
        </w:rPr>
        <w:footnoteRef/>
      </w:r>
      <w:r w:rsidRPr="00F26F4F">
        <w:t xml:space="preserve"> </w:t>
      </w:r>
      <w:r w:rsidR="00672E5A" w:rsidRPr="00F26F4F">
        <w:tab/>
      </w:r>
      <w:r w:rsidR="006824E0" w:rsidRPr="00F26F4F">
        <w:t>Bulk water prices relate to very high reliability, high reliability, low reliability and water reliability</w:t>
      </w:r>
      <w:r w:rsidR="00D63750" w:rsidRPr="00F26F4F">
        <w:t xml:space="preserve"> bulk entitlements and environmental entitlements</w:t>
      </w:r>
      <w:r w:rsidR="006824E0" w:rsidRPr="00F26F4F">
        <w:t xml:space="preserve">. Entitlement storage fees relate to high reliability water share (HRWS), low reliability water share (LRWS), above entitlement storage fee and spill reliability </w:t>
      </w:r>
      <w:r w:rsidR="001707B3" w:rsidRPr="00F26F4F">
        <w:t>(</w:t>
      </w:r>
      <w:r w:rsidR="006824E0" w:rsidRPr="00F26F4F">
        <w:t>which applies to Ovens Basin only</w:t>
      </w:r>
      <w:r w:rsidR="001707B3" w:rsidRPr="00F26F4F">
        <w:t>)</w:t>
      </w:r>
      <w:r w:rsidR="006824E0" w:rsidRPr="00F26F4F">
        <w:t>.</w:t>
      </w:r>
    </w:p>
  </w:footnote>
  <w:footnote w:id="90">
    <w:p w14:paraId="22E39785" w14:textId="472150F3" w:rsidR="00E110CF" w:rsidRDefault="00E110CF">
      <w:pPr>
        <w:pStyle w:val="FootnoteText"/>
      </w:pPr>
      <w:r w:rsidRPr="00F26F4F">
        <w:rPr>
          <w:rStyle w:val="FootnoteReference"/>
        </w:rPr>
        <w:footnoteRef/>
      </w:r>
      <w:r w:rsidRPr="00F26F4F">
        <w:t xml:space="preserve"> </w:t>
      </w:r>
      <w:r w:rsidR="00CD38AF" w:rsidRPr="00F26F4F">
        <w:tab/>
      </w:r>
      <w:r w:rsidRPr="00F26F4F">
        <w:t>Bulk water prices in the Murray and Goulburn systems are proposed to decrease by 39 to 98 per cent depending on the basin and the tariff. Goulburn basin bulk water prices and fees are proposed to increase by 2 to 14 per cent (depending on the tariff). The entitlement storage fees in the Murray and the Goulburn systems are proposed to decrease by 14 to 34 per cent depending on the tariff and the system.</w:t>
      </w:r>
    </w:p>
  </w:footnote>
  <w:footnote w:id="91">
    <w:p w14:paraId="342BC0F2" w14:textId="70121066" w:rsidR="00174AF3" w:rsidRDefault="00174AF3">
      <w:pPr>
        <w:pStyle w:val="FootnoteText"/>
      </w:pPr>
      <w:r>
        <w:rPr>
          <w:rStyle w:val="FootnoteReference"/>
        </w:rPr>
        <w:footnoteRef/>
      </w:r>
      <w:r>
        <w:t xml:space="preserve"> </w:t>
      </w:r>
      <w:r w:rsidR="00371C15">
        <w:tab/>
      </w:r>
      <w:r w:rsidR="00371C15" w:rsidRPr="00371C15">
        <w:t xml:space="preserve">Service </w:t>
      </w:r>
      <w:r w:rsidR="00322E5E">
        <w:t>p</w:t>
      </w:r>
      <w:r w:rsidR="00371C15" w:rsidRPr="00371C15">
        <w:t xml:space="preserve">oint </w:t>
      </w:r>
      <w:r w:rsidR="00322E5E">
        <w:t>f</w:t>
      </w:r>
      <w:r w:rsidR="00371C15" w:rsidRPr="00371C15">
        <w:t>ees account for about 14 per cent of Goulburn-Murray Water’s revenue.</w:t>
      </w:r>
    </w:p>
  </w:footnote>
  <w:footnote w:id="92">
    <w:p w14:paraId="6668BCFC" w14:textId="6D5792F8" w:rsidR="00B857F4" w:rsidRDefault="00B857F4">
      <w:pPr>
        <w:pStyle w:val="FootnoteText"/>
      </w:pPr>
      <w:r>
        <w:rPr>
          <w:rStyle w:val="FootnoteReference"/>
        </w:rPr>
        <w:footnoteRef/>
      </w:r>
      <w:r>
        <w:t xml:space="preserve"> </w:t>
      </w:r>
      <w:r w:rsidR="00AE3DF7">
        <w:tab/>
      </w:r>
      <w:r w:rsidR="00AE3DF7" w:rsidRPr="00AE3DF7">
        <w:t xml:space="preserve">The service point fee – remote operate </w:t>
      </w:r>
      <w:r w:rsidR="00AE3DF7">
        <w:t xml:space="preserve">– </w:t>
      </w:r>
      <w:r w:rsidR="00AE3DF7" w:rsidRPr="00AE3DF7">
        <w:t>applies to both gravity and pumped irrigation customers. The average costs approach also applies in this case.</w:t>
      </w:r>
    </w:p>
  </w:footnote>
  <w:footnote w:id="93">
    <w:p w14:paraId="6301B316" w14:textId="5D7855E7" w:rsidR="0099607C" w:rsidRDefault="0099607C">
      <w:pPr>
        <w:pStyle w:val="FootnoteText"/>
      </w:pPr>
      <w:r>
        <w:rPr>
          <w:rStyle w:val="FootnoteReference"/>
        </w:rPr>
        <w:footnoteRef/>
      </w:r>
      <w:r>
        <w:t xml:space="preserve"> </w:t>
      </w:r>
      <w:r w:rsidR="008A4D44">
        <w:tab/>
      </w:r>
      <w:r w:rsidR="008A4D44" w:rsidRPr="008A4D44">
        <w:t xml:space="preserve">Goulburn-Murray Water, </w:t>
      </w:r>
      <w:r w:rsidR="00AD29E9" w:rsidRPr="003764FB">
        <w:rPr>
          <w:i/>
          <w:iCs/>
        </w:rPr>
        <w:t>GMW</w:t>
      </w:r>
      <w:r w:rsidR="008A4D44" w:rsidRPr="003764FB">
        <w:rPr>
          <w:i/>
          <w:iCs/>
        </w:rPr>
        <w:t xml:space="preserve"> </w:t>
      </w:r>
      <w:r w:rsidR="003764FB" w:rsidRPr="003764FB">
        <w:rPr>
          <w:i/>
          <w:iCs/>
        </w:rPr>
        <w:t>P</w:t>
      </w:r>
      <w:r w:rsidR="008A4D44" w:rsidRPr="003764FB">
        <w:rPr>
          <w:i/>
          <w:iCs/>
        </w:rPr>
        <w:t xml:space="preserve">rice </w:t>
      </w:r>
      <w:r w:rsidR="003764FB" w:rsidRPr="003764FB">
        <w:rPr>
          <w:i/>
          <w:iCs/>
        </w:rPr>
        <w:t>S</w:t>
      </w:r>
      <w:r w:rsidR="008A4D44" w:rsidRPr="003764FB">
        <w:rPr>
          <w:i/>
          <w:iCs/>
        </w:rPr>
        <w:t>ubmission</w:t>
      </w:r>
      <w:r w:rsidR="003764FB" w:rsidRPr="003764FB">
        <w:rPr>
          <w:i/>
          <w:iCs/>
        </w:rPr>
        <w:t xml:space="preserve"> 2024</w:t>
      </w:r>
      <w:r w:rsidR="008A4D44" w:rsidRPr="008A4D44">
        <w:t>, September 2023, p. 85.</w:t>
      </w:r>
    </w:p>
  </w:footnote>
  <w:footnote w:id="94">
    <w:p w14:paraId="327B545B" w14:textId="76C3085C" w:rsidR="00BF31B2" w:rsidRDefault="00BF31B2">
      <w:pPr>
        <w:pStyle w:val="FootnoteText"/>
      </w:pPr>
      <w:r>
        <w:rPr>
          <w:rStyle w:val="FootnoteReference"/>
        </w:rPr>
        <w:footnoteRef/>
      </w:r>
      <w:r>
        <w:t xml:space="preserve"> </w:t>
      </w:r>
      <w:r w:rsidR="004245AF">
        <w:tab/>
      </w:r>
      <w:r w:rsidR="00C82A0F" w:rsidRPr="00C82A0F">
        <w:t xml:space="preserve">Goulburn-Murray Water, </w:t>
      </w:r>
      <w:r w:rsidR="00C82A0F" w:rsidRPr="00C82A0F">
        <w:rPr>
          <w:i/>
          <w:iCs/>
        </w:rPr>
        <w:t>GMW Price Submission 2024</w:t>
      </w:r>
      <w:r w:rsidR="00C82A0F" w:rsidRPr="00C82A0F">
        <w:t>, September 2023, p. 85.</w:t>
      </w:r>
    </w:p>
  </w:footnote>
  <w:footnote w:id="95">
    <w:p w14:paraId="27202296" w14:textId="7E4A5358" w:rsidR="00312FF7" w:rsidRPr="00D33846" w:rsidRDefault="00312FF7" w:rsidP="00CE1866">
      <w:pPr>
        <w:pStyle w:val="FootnoteText"/>
        <w:rPr>
          <w:highlight w:val="darkGray"/>
        </w:rPr>
      </w:pPr>
      <w:r w:rsidRPr="00F52A81">
        <w:rPr>
          <w:rStyle w:val="FootnoteReference"/>
        </w:rPr>
        <w:footnoteRef/>
      </w:r>
      <w:r w:rsidRPr="00F52A81">
        <w:t xml:space="preserve"> </w:t>
      </w:r>
      <w:r w:rsidR="002705AE" w:rsidRPr="00F52A81">
        <w:tab/>
      </w:r>
      <w:r w:rsidR="00715739" w:rsidRPr="00F52A81">
        <w:t>Anonymous, submission to the commission’s Goulburn-Murray Water’s 2024 water price review, 14 November 2023;</w:t>
      </w:r>
      <w:r w:rsidR="00715739">
        <w:t xml:space="preserve"> </w:t>
      </w:r>
      <w:r w:rsidR="002705AE" w:rsidRPr="00F52A81">
        <w:t xml:space="preserve">Nick Legge, submission to the commission’s Goulburn-Murray Water’s 2024 water price review, </w:t>
      </w:r>
      <w:r w:rsidR="00B25745" w:rsidRPr="00F52A81">
        <w:t xml:space="preserve">1 </w:t>
      </w:r>
      <w:r w:rsidR="002705AE" w:rsidRPr="00F52A81">
        <w:t xml:space="preserve">December 2023; </w:t>
      </w:r>
      <w:r w:rsidR="00375999" w:rsidRPr="00F52A81">
        <w:t>Ian Roy, submission to the commission’s Goulburn-Murray Water’s 2024 water price review, 1 December 2023</w:t>
      </w:r>
      <w:r w:rsidR="002705AE" w:rsidRPr="00F52A81">
        <w:t xml:space="preserve">; </w:t>
      </w:r>
      <w:r w:rsidR="00D44BBD" w:rsidRPr="00F52A81">
        <w:t>Anonymous,  submission to the commission’s Goulburn-Murray Water’s 2024 water price review, 3 December 2023</w:t>
      </w:r>
      <w:r w:rsidR="002705AE" w:rsidRPr="00F52A81">
        <w:t>; Cameron and Jan Reid, submission to the commission’s Goulburn-Murray Water’s 2024 water price review, 4 December 2023; Anonymous, submission to the commission’s Goulburn-Murray Water’s 2024 water price review, 4 December 2023; Rod Hall and 19 other domestic and stock customers, submission to the commission’s Goulburn-Murray Water’s 2024 water price review, 14 December 2023; Christopher Maud, submission to the commission’s Goulburn-Murray Water’s 2024 water price review, 13 December and 14 December 2023</w:t>
      </w:r>
      <w:r w:rsidR="00D22949" w:rsidRPr="00F52A81">
        <w:t>; Anonymous, submission to the commission’s Goulburn-Murray Water’s 2024 water price review, 15 December 2023</w:t>
      </w:r>
      <w:r w:rsidR="0058003C" w:rsidRPr="00F52A81">
        <w:t>.</w:t>
      </w:r>
    </w:p>
  </w:footnote>
  <w:footnote w:id="96">
    <w:p w14:paraId="3C3E1692" w14:textId="50AE50BE" w:rsidR="001D4346" w:rsidRPr="00172336" w:rsidRDefault="001D4346">
      <w:pPr>
        <w:pStyle w:val="FootnoteText"/>
      </w:pPr>
      <w:r w:rsidRPr="00172336">
        <w:rPr>
          <w:rStyle w:val="FootnoteReference"/>
        </w:rPr>
        <w:footnoteRef/>
      </w:r>
      <w:r w:rsidRPr="00172336">
        <w:t xml:space="preserve"> </w:t>
      </w:r>
      <w:r w:rsidR="008E401C" w:rsidRPr="00172336">
        <w:t xml:space="preserve"> Essential Services Commission, </w:t>
      </w:r>
      <w:r w:rsidR="008E401C" w:rsidRPr="00172336">
        <w:rPr>
          <w:i/>
        </w:rPr>
        <w:t>2024 Goulburn-Murray Water price review: Guidance paper</w:t>
      </w:r>
      <w:r w:rsidR="008E401C" w:rsidRPr="00172336">
        <w:t>, September 2022, pp. 55-56.</w:t>
      </w:r>
    </w:p>
  </w:footnote>
  <w:footnote w:id="97">
    <w:p w14:paraId="164E81C7" w14:textId="1FD5CFCB" w:rsidR="00856A32" w:rsidRPr="00172336" w:rsidRDefault="00856A32">
      <w:pPr>
        <w:pStyle w:val="FootnoteText"/>
      </w:pPr>
      <w:r w:rsidRPr="00172336">
        <w:rPr>
          <w:rStyle w:val="FootnoteReference"/>
        </w:rPr>
        <w:footnoteRef/>
      </w:r>
      <w:r w:rsidRPr="00172336">
        <w:t xml:space="preserve"> </w:t>
      </w:r>
      <w:r w:rsidR="00453ECE" w:rsidRPr="00172336">
        <w:t xml:space="preserve"> </w:t>
      </w:r>
      <w:r w:rsidR="00220837" w:rsidRPr="00172336">
        <w:t xml:space="preserve">Egis Oceania, </w:t>
      </w:r>
      <w:r w:rsidR="00C61401" w:rsidRPr="00172336">
        <w:rPr>
          <w:i/>
        </w:rPr>
        <w:t>2024 Water price review – assessment of Goulburn-Murray Water’s tariff reforms – draft report</w:t>
      </w:r>
      <w:r w:rsidR="00C61401" w:rsidRPr="00172336">
        <w:t>, March 2024, p</w:t>
      </w:r>
      <w:r w:rsidR="008F6CF5" w:rsidRPr="00172336">
        <w:t xml:space="preserve">p. </w:t>
      </w:r>
      <w:r w:rsidR="00220837" w:rsidRPr="00172336">
        <w:t>18-21</w:t>
      </w:r>
      <w:r w:rsidR="00C61401" w:rsidRPr="00172336">
        <w:t>.</w:t>
      </w:r>
    </w:p>
  </w:footnote>
  <w:footnote w:id="98">
    <w:p w14:paraId="7379FD2E" w14:textId="77777777" w:rsidR="002C419F" w:rsidRDefault="002C419F">
      <w:pPr>
        <w:pStyle w:val="FootnoteText"/>
      </w:pPr>
      <w:r>
        <w:rPr>
          <w:rStyle w:val="FootnoteReference"/>
        </w:rPr>
        <w:footnoteRef/>
      </w:r>
      <w:r>
        <w:t xml:space="preserve"> </w:t>
      </w:r>
      <w:r w:rsidR="00F624CD">
        <w:tab/>
      </w:r>
      <w:r w:rsidR="00F624CD" w:rsidRPr="00F624CD">
        <w:t>Current revenue from unmetered diverters on unregulated waterways is about $0.45 million or about 0.39 per cent of Goulburn-Murray Water’s revenue for 2023</w:t>
      </w:r>
      <w:r w:rsidR="000A15A8">
        <w:t>–</w:t>
      </w:r>
      <w:r w:rsidR="00F624CD" w:rsidRPr="00F624CD">
        <w:t xml:space="preserve">24.  </w:t>
      </w:r>
    </w:p>
  </w:footnote>
  <w:footnote w:id="99">
    <w:p w14:paraId="6AA54061" w14:textId="735A7DDA" w:rsidR="0012468B" w:rsidRDefault="0012468B">
      <w:pPr>
        <w:pStyle w:val="FootnoteText"/>
      </w:pPr>
      <w:r>
        <w:rPr>
          <w:rStyle w:val="FootnoteReference"/>
        </w:rPr>
        <w:footnoteRef/>
      </w:r>
      <w:r>
        <w:t xml:space="preserve"> </w:t>
      </w:r>
      <w:r w:rsidR="000A15A8">
        <w:tab/>
      </w:r>
      <w:r w:rsidR="000A15A8" w:rsidRPr="000A15A8">
        <w:t xml:space="preserve">Goulburn-Murray Water said that it held 44 face-to-face and virtual drop-in sessions with customers, including one at Swan Hill to enable easy access for pumped irrigation customers. It received no feedback about the proposed increase in Woorinen prices and no customers attended the drop-in session in Swan Hill.  </w:t>
      </w:r>
    </w:p>
  </w:footnote>
  <w:footnote w:id="100">
    <w:p w14:paraId="39D65B25" w14:textId="55A7BBCB" w:rsidR="00FD5125" w:rsidRPr="002A2B0B" w:rsidRDefault="00FD5125">
      <w:pPr>
        <w:pStyle w:val="FootnoteText"/>
      </w:pPr>
      <w:r w:rsidRPr="002A2B0B">
        <w:rPr>
          <w:rStyle w:val="FootnoteReference"/>
        </w:rPr>
        <w:footnoteRef/>
      </w:r>
      <w:r w:rsidRPr="002A2B0B">
        <w:t xml:space="preserve"> </w:t>
      </w:r>
      <w:r w:rsidR="00BA740F" w:rsidRPr="002A2B0B">
        <w:tab/>
        <w:t xml:space="preserve">Goulburn-Murray Water, </w:t>
      </w:r>
      <w:r w:rsidR="00BA740F" w:rsidRPr="002A2B0B">
        <w:rPr>
          <w:i/>
        </w:rPr>
        <w:t>GM</w:t>
      </w:r>
      <w:r w:rsidR="005063A4" w:rsidRPr="002A2B0B">
        <w:rPr>
          <w:i/>
        </w:rPr>
        <w:t>W</w:t>
      </w:r>
      <w:r w:rsidR="00BA740F" w:rsidRPr="002A2B0B">
        <w:rPr>
          <w:i/>
        </w:rPr>
        <w:t xml:space="preserve"> Price Submission 2024</w:t>
      </w:r>
      <w:r w:rsidR="00BA740F" w:rsidRPr="002A2B0B">
        <w:t>, September 2023, p. 84.</w:t>
      </w:r>
    </w:p>
  </w:footnote>
  <w:footnote w:id="101">
    <w:p w14:paraId="12F25A25" w14:textId="589470A7" w:rsidR="003E2713" w:rsidRDefault="003E2713">
      <w:pPr>
        <w:pStyle w:val="FootnoteText"/>
      </w:pPr>
      <w:r>
        <w:rPr>
          <w:rStyle w:val="FootnoteReference"/>
        </w:rPr>
        <w:footnoteRef/>
      </w:r>
      <w:r>
        <w:t xml:space="preserve">   Egis Oceania, </w:t>
      </w:r>
      <w:r w:rsidRPr="00484220">
        <w:rPr>
          <w:i/>
        </w:rPr>
        <w:t>2024 Water price review assessment of Goulburn-Murray Water’s tariff reforms – draft report</w:t>
      </w:r>
      <w:r>
        <w:t xml:space="preserve">, </w:t>
      </w:r>
      <w:r w:rsidRPr="00484220">
        <w:t>March 2024, pp. 16-17</w:t>
      </w:r>
      <w:r>
        <w:t>.</w:t>
      </w:r>
    </w:p>
  </w:footnote>
  <w:footnote w:id="102">
    <w:p w14:paraId="613C4D09" w14:textId="1EDC4020" w:rsidR="00267A5C" w:rsidRDefault="00267A5C">
      <w:pPr>
        <w:pStyle w:val="FootnoteText"/>
      </w:pPr>
      <w:r w:rsidRPr="002A2B0B">
        <w:rPr>
          <w:rStyle w:val="FootnoteReference"/>
        </w:rPr>
        <w:footnoteRef/>
      </w:r>
      <w:r w:rsidRPr="002A2B0B">
        <w:t xml:space="preserve"> </w:t>
      </w:r>
      <w:r w:rsidRPr="002A2B0B">
        <w:tab/>
        <w:t xml:space="preserve">Goulburn-Murray Water, </w:t>
      </w:r>
      <w:r w:rsidRPr="002A2B0B">
        <w:rPr>
          <w:i/>
        </w:rPr>
        <w:t>GM</w:t>
      </w:r>
      <w:r w:rsidR="005063A4" w:rsidRPr="002A2B0B">
        <w:rPr>
          <w:i/>
        </w:rPr>
        <w:t>W</w:t>
      </w:r>
      <w:r w:rsidRPr="002A2B0B">
        <w:rPr>
          <w:i/>
        </w:rPr>
        <w:t xml:space="preserve"> Price Submission 2024</w:t>
      </w:r>
      <w:r w:rsidRPr="002A2B0B">
        <w:t>, September 2023, pp. 69–70.</w:t>
      </w:r>
    </w:p>
  </w:footnote>
  <w:footnote w:id="103">
    <w:p w14:paraId="5C5FC79A" w14:textId="4C6064FB" w:rsidR="003372D3" w:rsidRDefault="003372D3">
      <w:pPr>
        <w:pStyle w:val="FootnoteText"/>
      </w:pPr>
      <w:r w:rsidRPr="00B130BE">
        <w:rPr>
          <w:rStyle w:val="FootnoteReference"/>
        </w:rPr>
        <w:footnoteRef/>
      </w:r>
      <w:r w:rsidRPr="00B130BE">
        <w:t xml:space="preserve"> </w:t>
      </w:r>
      <w:r w:rsidRPr="00B130BE">
        <w:tab/>
      </w:r>
      <w:r w:rsidR="00A43B6B" w:rsidRPr="00B130BE">
        <w:t>Nick Legge, submission to the commission’s Goulburn-Murray Water’s 2024 water price review, 1 December 2023.</w:t>
      </w:r>
    </w:p>
  </w:footnote>
  <w:footnote w:id="104">
    <w:p w14:paraId="2C12C268" w14:textId="77777777" w:rsidR="004B2F98" w:rsidRDefault="004B2F98" w:rsidP="004B2F98">
      <w:pPr>
        <w:spacing w:after="0" w:line="240" w:lineRule="auto"/>
      </w:pPr>
      <w:r>
        <w:rPr>
          <w:rStyle w:val="FootnoteReference"/>
        </w:rPr>
        <w:footnoteRef/>
      </w:r>
      <w:r>
        <w:t xml:space="preserve"> </w:t>
      </w:r>
      <w:r w:rsidRPr="0033516A">
        <w:rPr>
          <w:sz w:val="18"/>
          <w:szCs w:val="20"/>
        </w:rPr>
        <w:t>Goulburn-Murray Water has increased some of these charges by 10 per cent each year over 2024–2028, and notes that most customers do not undertake these transactions or undertake them only rarely.</w:t>
      </w:r>
      <w:r w:rsidRPr="00F639C9">
        <w:rPr>
          <w:highlight w:val="green"/>
        </w:rPr>
        <w:t xml:space="preserve"> </w:t>
      </w:r>
    </w:p>
  </w:footnote>
  <w:footnote w:id="105">
    <w:p w14:paraId="66B8E1E7" w14:textId="77777777" w:rsidR="004B2F98" w:rsidRDefault="004B2F98" w:rsidP="004B2F98">
      <w:pPr>
        <w:pStyle w:val="FootnoteText"/>
      </w:pPr>
      <w:r>
        <w:rPr>
          <w:rStyle w:val="FootnoteReference"/>
        </w:rPr>
        <w:footnoteRef/>
      </w:r>
      <w:r>
        <w:t xml:space="preserve"> </w:t>
      </w:r>
      <w:r>
        <w:tab/>
        <w:t>Anonymous, submission to the commission’s Goulburn-Murray Water’s 2024 water price review, 14 November 2023; Ian Roy, submission to the commission’s Goulburn-Murray Water’s 2024 water price review, 1 December 2023; Nick Legge, submission to the commission’s Goulburn-Murray Water’s 2024 water price review, 1 December 2023; Anonymous, submission to the commission’s Goulburn-Murray Water’s 2024 water price review, 3 December 2023; Anonymous, submission to the commission’s Goulburn-Murray Water’s 2024 water price review, 4 December 2023; Paula D Hall, submission to the commission’s Goulburn-Murray Water’s 2024 water price review, 6 December 2023; Anonymous, submission to the commission’s Goulburn-Murray Water’s 2024 water price review, 13 December 2023.</w:t>
      </w:r>
    </w:p>
  </w:footnote>
  <w:footnote w:id="106">
    <w:p w14:paraId="3B7D61A2" w14:textId="77777777" w:rsidR="00BF6D2C" w:rsidRPr="00040B8E" w:rsidRDefault="00BF6D2C" w:rsidP="00BF6D2C">
      <w:pPr>
        <w:pStyle w:val="FootnoteText"/>
        <w:rPr>
          <w:lang w:val="en-US"/>
        </w:rPr>
      </w:pPr>
      <w:r>
        <w:rPr>
          <w:rStyle w:val="FootnoteReference"/>
        </w:rPr>
        <w:footnoteRef/>
      </w:r>
      <w:r>
        <w:t xml:space="preserve"> </w:t>
      </w:r>
      <w:r>
        <w:tab/>
      </w:r>
      <w:r w:rsidRPr="00197FB7">
        <w:t>W</w:t>
      </w:r>
      <w:r>
        <w:t xml:space="preserve">ater Industry Regulatory </w:t>
      </w:r>
      <w:r w:rsidRPr="00197FB7">
        <w:t>O</w:t>
      </w:r>
      <w:r>
        <w:t>rder</w:t>
      </w:r>
      <w:r w:rsidRPr="00197FB7">
        <w:t xml:space="preserve"> </w:t>
      </w:r>
      <w:r>
        <w:t xml:space="preserve">2014 </w:t>
      </w:r>
      <w:r w:rsidRPr="00197FB7">
        <w:t xml:space="preserve">clause </w:t>
      </w:r>
      <w:r>
        <w:t>11</w:t>
      </w:r>
      <w:r w:rsidRPr="00197FB7">
        <w:t>(</w:t>
      </w:r>
      <w:r>
        <w:t>d</w:t>
      </w:r>
      <w:r w:rsidRPr="00197FB7">
        <w:t>)(i</w:t>
      </w:r>
      <w:r>
        <w:t>i</w:t>
      </w:r>
      <w:r w:rsidRPr="00197FB7">
        <w:t>i)</w:t>
      </w:r>
      <w:r>
        <w:t>.</w:t>
      </w:r>
    </w:p>
  </w:footnote>
  <w:footnote w:id="107">
    <w:p w14:paraId="21310D71" w14:textId="77777777" w:rsidR="00F07A47" w:rsidRPr="00743A5F" w:rsidRDefault="00F07A47" w:rsidP="00F07A47">
      <w:pPr>
        <w:pStyle w:val="FootnoteText"/>
      </w:pPr>
      <w:r w:rsidRPr="00743A5F">
        <w:rPr>
          <w:rStyle w:val="FootnoteReference"/>
        </w:rPr>
        <w:footnoteRef/>
      </w:r>
      <w:r w:rsidRPr="00743A5F">
        <w:t xml:space="preserve"> Essential Services Commission 2022, 2024 Goulburn-Murray Water price review: Guidance paper, 13 September 2022, p. 56.</w:t>
      </w:r>
    </w:p>
  </w:footnote>
  <w:footnote w:id="108">
    <w:p w14:paraId="704CF075" w14:textId="4BDB4D02" w:rsidR="00680200" w:rsidRPr="00743A5F" w:rsidRDefault="00680200">
      <w:pPr>
        <w:pStyle w:val="FootnoteText"/>
      </w:pPr>
      <w:r w:rsidRPr="00743A5F">
        <w:rPr>
          <w:rStyle w:val="FootnoteReference"/>
        </w:rPr>
        <w:footnoteRef/>
      </w:r>
      <w:r w:rsidRPr="00743A5F">
        <w:t xml:space="preserve"> Goulburn-Murray Water proposed to reflect cost of debt movements in all its fees except for its: water register fee, drainage diversion site fee, infrastructure use fees in the pumped irrigation and water supply districts, excess fee in the water supply districts and application fees set by DEECA.</w:t>
      </w:r>
    </w:p>
  </w:footnote>
  <w:footnote w:id="109">
    <w:p w14:paraId="71DD71ED" w14:textId="77777777" w:rsidR="00F07A47" w:rsidRDefault="00F07A47" w:rsidP="00F07A47">
      <w:pPr>
        <w:pStyle w:val="FootnoteText"/>
      </w:pPr>
      <w:r w:rsidRPr="00743A5F">
        <w:rPr>
          <w:rStyle w:val="FootnoteReference"/>
        </w:rPr>
        <w:footnoteRef/>
      </w:r>
      <w:r w:rsidRPr="00743A5F">
        <w:t xml:space="preserve"> Essential Services Commission 2022, 2024 Goulburn-Murray Water price review: Guidance paper, 13 September 2022, p. 56-58.</w:t>
      </w:r>
    </w:p>
  </w:footnote>
  <w:footnote w:id="110">
    <w:p w14:paraId="47A44F97" w14:textId="1F09F69B" w:rsidR="00BC3B32" w:rsidRPr="008706A9" w:rsidRDefault="00BC3B32" w:rsidP="00BC3B32">
      <w:pPr>
        <w:pStyle w:val="FootnoteText"/>
        <w:rPr>
          <w:lang w:val="en-US"/>
        </w:rPr>
      </w:pPr>
      <w:r>
        <w:rPr>
          <w:rStyle w:val="FootnoteReference"/>
        </w:rPr>
        <w:footnoteRef/>
      </w:r>
      <w:r>
        <w:t xml:space="preserve"> </w:t>
      </w:r>
      <w:r>
        <w:tab/>
      </w:r>
      <w:r w:rsidRPr="008706A9">
        <w:t>WIRO clause 8(b)(ii) and ESC Act s.8A(1)(b)</w:t>
      </w:r>
      <w:r>
        <w:t>.</w:t>
      </w:r>
    </w:p>
  </w:footnote>
  <w:footnote w:id="111">
    <w:p w14:paraId="2A8BB5FD" w14:textId="2D9900E2" w:rsidR="001E7FBE" w:rsidRDefault="001E7FBE">
      <w:pPr>
        <w:pStyle w:val="FootnoteText"/>
      </w:pPr>
      <w:r>
        <w:rPr>
          <w:rStyle w:val="FootnoteReference"/>
        </w:rPr>
        <w:footnoteRef/>
      </w:r>
      <w:r>
        <w:t xml:space="preserve"> </w:t>
      </w:r>
      <w:r w:rsidR="009234F0">
        <w:tab/>
      </w:r>
      <w:r w:rsidR="009234F0" w:rsidRPr="009234F0">
        <w:t xml:space="preserve">Essential Services Commission 2016, </w:t>
      </w:r>
      <w:r w:rsidR="009234F0" w:rsidRPr="009234F0">
        <w:rPr>
          <w:i/>
          <w:iCs/>
        </w:rPr>
        <w:t>Water Pricing Framework and Approach: Implementing PREMO from 2018,</w:t>
      </w:r>
      <w:r w:rsidR="009234F0" w:rsidRPr="009234F0">
        <w:t xml:space="preserve"> October</w:t>
      </w:r>
      <w:r w:rsidR="009234F0">
        <w:t xml:space="preserve">, </w:t>
      </w:r>
      <w:r w:rsidR="009E6C22">
        <w:t xml:space="preserve">2016, </w:t>
      </w:r>
      <w:r w:rsidR="004B51F5">
        <w:t>p.</w:t>
      </w:r>
      <w:r w:rsidR="0000147A">
        <w:t xml:space="preserve"> </w:t>
      </w:r>
      <w:r w:rsidR="00883217">
        <w:t>5.</w:t>
      </w:r>
    </w:p>
  </w:footnote>
  <w:footnote w:id="112">
    <w:p w14:paraId="4AF436A0" w14:textId="5D6723E1" w:rsidR="00414537" w:rsidRPr="00763018" w:rsidRDefault="00414537" w:rsidP="00414537">
      <w:pPr>
        <w:pStyle w:val="FootnoteText"/>
        <w:rPr>
          <w:lang w:val="en-US"/>
        </w:rPr>
      </w:pPr>
      <w:r>
        <w:rPr>
          <w:rStyle w:val="FootnoteReference"/>
        </w:rPr>
        <w:footnoteRef/>
      </w:r>
      <w:r>
        <w:t xml:space="preserve"> </w:t>
      </w:r>
      <w:r>
        <w:tab/>
      </w:r>
      <w:r w:rsidR="00491C88" w:rsidRPr="00491C88">
        <w:t xml:space="preserve">We will not assess the </w:t>
      </w:r>
      <w:r w:rsidR="004E2BA0">
        <w:t>‘P’ (</w:t>
      </w:r>
      <w:r w:rsidR="00A87543">
        <w:t>P</w:t>
      </w:r>
      <w:r w:rsidR="00491C88" w:rsidRPr="00491C88">
        <w:t>erformance</w:t>
      </w:r>
      <w:r w:rsidR="004E2BA0">
        <w:t>)</w:t>
      </w:r>
      <w:r w:rsidR="00491C88" w:rsidRPr="00491C88">
        <w:t xml:space="preserve"> elemen</w:t>
      </w:r>
      <w:r w:rsidR="004E2BA0">
        <w:t>t</w:t>
      </w:r>
      <w:r w:rsidR="00491C88" w:rsidRPr="00491C88">
        <w:t xml:space="preserve"> in the 2024 price review because this is Goulburn-Murray Water’s </w:t>
      </w:r>
      <w:r w:rsidR="00CE64D0">
        <w:t>first review</w:t>
      </w:r>
      <w:r w:rsidR="00491C88" w:rsidRPr="00491C88">
        <w:t xml:space="preserve"> under </w:t>
      </w:r>
      <w:r w:rsidR="00A87543">
        <w:t xml:space="preserve">the </w:t>
      </w:r>
      <w:r w:rsidR="00491C88" w:rsidRPr="00491C88">
        <w:t xml:space="preserve">PREMO </w:t>
      </w:r>
      <w:r w:rsidR="00A87543">
        <w:t xml:space="preserve">framework </w:t>
      </w:r>
      <w:r w:rsidR="00491C88" w:rsidRPr="00491C88">
        <w:t xml:space="preserve">and it does not have an established set of outcomes </w:t>
      </w:r>
      <w:r w:rsidR="00CD75B7">
        <w:t xml:space="preserve">proposed in the previous review </w:t>
      </w:r>
      <w:r w:rsidR="00491C88" w:rsidRPr="00491C88">
        <w:t>to assess its performance against</w:t>
      </w:r>
      <w:r w:rsidR="00CD75B7">
        <w:t>.</w:t>
      </w:r>
    </w:p>
  </w:footnote>
  <w:footnote w:id="113">
    <w:p w14:paraId="144E7A52" w14:textId="54936602" w:rsidR="00555456" w:rsidRPr="00F224D7" w:rsidRDefault="00555456" w:rsidP="00555456">
      <w:pPr>
        <w:pStyle w:val="FootnoteText"/>
        <w:rPr>
          <w:lang w:val="en-US"/>
        </w:rPr>
      </w:pPr>
      <w:r>
        <w:rPr>
          <w:rStyle w:val="FootnoteReference"/>
        </w:rPr>
        <w:footnoteRef/>
      </w:r>
      <w:r>
        <w:t xml:space="preserve"> </w:t>
      </w:r>
      <w:r>
        <w:tab/>
      </w:r>
      <w:r w:rsidR="00DF7FDD" w:rsidRPr="00543557">
        <w:t>Essential Services Commission</w:t>
      </w:r>
      <w:r w:rsidR="00DF7FDD">
        <w:t xml:space="preserve"> 2022</w:t>
      </w:r>
      <w:r w:rsidR="00DF7FDD" w:rsidRPr="00543557">
        <w:t xml:space="preserve">, </w:t>
      </w:r>
      <w:r w:rsidR="00DF7FDD" w:rsidRPr="00543557">
        <w:rPr>
          <w:i/>
          <w:iCs/>
        </w:rPr>
        <w:t>202</w:t>
      </w:r>
      <w:r w:rsidR="00DF7FDD">
        <w:rPr>
          <w:i/>
          <w:iCs/>
        </w:rPr>
        <w:t xml:space="preserve">4 </w:t>
      </w:r>
      <w:r w:rsidR="00DF7FDD" w:rsidRPr="000A1A47">
        <w:rPr>
          <w:i/>
        </w:rPr>
        <w:t>Goulburn-Murray Water</w:t>
      </w:r>
      <w:r w:rsidR="00DF7FDD" w:rsidRPr="00543557">
        <w:rPr>
          <w:i/>
          <w:iCs/>
        </w:rPr>
        <w:t xml:space="preserve"> price review: Guidance paper</w:t>
      </w:r>
      <w:r w:rsidR="00DF7FDD" w:rsidRPr="00543557">
        <w:t xml:space="preserve">, </w:t>
      </w:r>
      <w:r w:rsidR="00DF7FDD" w:rsidRPr="000A1A47">
        <w:t>13</w:t>
      </w:r>
      <w:r w:rsidR="00DF7FDD">
        <w:t xml:space="preserve"> September 2022</w:t>
      </w:r>
      <w:r w:rsidRPr="00651A81">
        <w:rPr>
          <w:lang w:val="en-US"/>
        </w:rPr>
        <w:t>, p. 4</w:t>
      </w:r>
      <w:r w:rsidR="0018254E" w:rsidRPr="00651A81">
        <w:rPr>
          <w:lang w:val="en-US"/>
        </w:rPr>
        <w:t>4.</w:t>
      </w:r>
      <w:r w:rsidR="0018254E">
        <w:rPr>
          <w:lang w:val="en-US"/>
        </w:rPr>
        <w:t xml:space="preserve"> </w:t>
      </w:r>
    </w:p>
  </w:footnote>
  <w:footnote w:id="114">
    <w:p w14:paraId="26A3440D" w14:textId="1E702C1F" w:rsidR="00732099" w:rsidRPr="00F224D7" w:rsidRDefault="00732099" w:rsidP="00732099">
      <w:pPr>
        <w:pStyle w:val="FootnoteText"/>
        <w:rPr>
          <w:lang w:val="en-US"/>
        </w:rPr>
      </w:pPr>
      <w:r>
        <w:rPr>
          <w:rStyle w:val="FootnoteReference"/>
        </w:rPr>
        <w:footnoteRef/>
      </w:r>
      <w:r>
        <w:t xml:space="preserve"> </w:t>
      </w:r>
      <w:r>
        <w:tab/>
      </w:r>
      <w:r w:rsidR="005F3345" w:rsidRPr="00543557">
        <w:t>Essential Services Commission</w:t>
      </w:r>
      <w:r w:rsidR="005F3345">
        <w:t xml:space="preserve"> 2022</w:t>
      </w:r>
      <w:r w:rsidR="005F3345" w:rsidRPr="00543557">
        <w:t xml:space="preserve">, </w:t>
      </w:r>
      <w:r w:rsidR="005F3345" w:rsidRPr="00543557">
        <w:rPr>
          <w:i/>
          <w:iCs/>
        </w:rPr>
        <w:t>202</w:t>
      </w:r>
      <w:r w:rsidR="005F3345">
        <w:rPr>
          <w:i/>
          <w:iCs/>
        </w:rPr>
        <w:t xml:space="preserve">4 </w:t>
      </w:r>
      <w:r w:rsidR="005F3345" w:rsidRPr="000A1A47">
        <w:rPr>
          <w:i/>
        </w:rPr>
        <w:t>Goulburn-Murray Water</w:t>
      </w:r>
      <w:r w:rsidR="005F3345" w:rsidRPr="00543557">
        <w:rPr>
          <w:i/>
          <w:iCs/>
        </w:rPr>
        <w:t xml:space="preserve"> price review: Guidance paper</w:t>
      </w:r>
      <w:r w:rsidR="005F3345" w:rsidRPr="00543557">
        <w:t xml:space="preserve">, </w:t>
      </w:r>
      <w:r w:rsidR="005F3345" w:rsidRPr="000A1A47">
        <w:t>13</w:t>
      </w:r>
      <w:r w:rsidR="005F3345">
        <w:t xml:space="preserve"> September 2022</w:t>
      </w:r>
      <w:r w:rsidR="005F3345" w:rsidRPr="00E36EE1">
        <w:rPr>
          <w:lang w:val="en-US"/>
        </w:rPr>
        <w:t>, p. 44</w:t>
      </w:r>
    </w:p>
  </w:footnote>
  <w:footnote w:id="115">
    <w:p w14:paraId="6445E8F7" w14:textId="6114A91B" w:rsidR="00E54FAD" w:rsidRPr="00F224D7" w:rsidRDefault="00E54FAD" w:rsidP="00E54FAD">
      <w:pPr>
        <w:pStyle w:val="FootnoteText"/>
        <w:rPr>
          <w:lang w:val="en-US"/>
        </w:rPr>
      </w:pPr>
      <w:r>
        <w:rPr>
          <w:rStyle w:val="FootnoteReference"/>
        </w:rPr>
        <w:footnoteRef/>
      </w:r>
      <w:r>
        <w:t xml:space="preserve"> </w:t>
      </w:r>
      <w:r>
        <w:tab/>
      </w:r>
      <w:r w:rsidR="00730270" w:rsidRPr="00543557">
        <w:t>Essential Services Commission</w:t>
      </w:r>
      <w:r w:rsidR="00730270">
        <w:t xml:space="preserve"> 2022</w:t>
      </w:r>
      <w:r w:rsidR="00730270" w:rsidRPr="00543557">
        <w:t xml:space="preserve">, </w:t>
      </w:r>
      <w:r w:rsidR="00730270" w:rsidRPr="00543557">
        <w:rPr>
          <w:i/>
          <w:iCs/>
        </w:rPr>
        <w:t>202</w:t>
      </w:r>
      <w:r w:rsidR="00730270">
        <w:rPr>
          <w:i/>
          <w:iCs/>
        </w:rPr>
        <w:t xml:space="preserve">4 </w:t>
      </w:r>
      <w:r w:rsidR="00730270" w:rsidRPr="00E36EE1">
        <w:rPr>
          <w:i/>
        </w:rPr>
        <w:t>Goulburn-Murray Water</w:t>
      </w:r>
      <w:r w:rsidR="00730270" w:rsidRPr="00543557">
        <w:rPr>
          <w:i/>
          <w:iCs/>
        </w:rPr>
        <w:t xml:space="preserve"> price review: Guidance paper</w:t>
      </w:r>
      <w:r w:rsidR="00730270" w:rsidRPr="00543557">
        <w:t xml:space="preserve">, </w:t>
      </w:r>
      <w:r w:rsidR="00730270" w:rsidRPr="00E36EE1">
        <w:t>13</w:t>
      </w:r>
      <w:r w:rsidR="00730270">
        <w:t xml:space="preserve"> September 2022</w:t>
      </w:r>
      <w:r w:rsidR="00730270" w:rsidRPr="00E36EE1">
        <w:rPr>
          <w:lang w:val="en-US"/>
        </w:rPr>
        <w:t>, p. 44.</w:t>
      </w:r>
    </w:p>
  </w:footnote>
  <w:footnote w:id="116">
    <w:p w14:paraId="2F95DB1F" w14:textId="31E34932" w:rsidR="007743A5" w:rsidRPr="00F224D7" w:rsidRDefault="007743A5" w:rsidP="007743A5">
      <w:pPr>
        <w:pStyle w:val="FootnoteText"/>
        <w:rPr>
          <w:lang w:val="en-US"/>
        </w:rPr>
      </w:pPr>
      <w:r>
        <w:rPr>
          <w:rStyle w:val="FootnoteReference"/>
        </w:rPr>
        <w:footnoteRef/>
      </w:r>
      <w:r>
        <w:t xml:space="preserve"> </w:t>
      </w:r>
      <w:r>
        <w:tab/>
      </w:r>
      <w:r w:rsidR="00730270" w:rsidRPr="00543557">
        <w:t>Essential Services Commission</w:t>
      </w:r>
      <w:r w:rsidR="00730270">
        <w:t xml:space="preserve"> 2022</w:t>
      </w:r>
      <w:r w:rsidR="00730270" w:rsidRPr="00543557">
        <w:t xml:space="preserve">, </w:t>
      </w:r>
      <w:r w:rsidR="00730270" w:rsidRPr="00543557">
        <w:rPr>
          <w:i/>
          <w:iCs/>
        </w:rPr>
        <w:t>202</w:t>
      </w:r>
      <w:r w:rsidR="00730270">
        <w:rPr>
          <w:i/>
          <w:iCs/>
        </w:rPr>
        <w:t xml:space="preserve">4 </w:t>
      </w:r>
      <w:r w:rsidR="00730270" w:rsidRPr="00884B27">
        <w:rPr>
          <w:i/>
        </w:rPr>
        <w:t>Goulburn-Murray Water</w:t>
      </w:r>
      <w:r w:rsidR="00730270" w:rsidRPr="00543557">
        <w:rPr>
          <w:i/>
          <w:iCs/>
        </w:rPr>
        <w:t xml:space="preserve"> price review: Guidance paper</w:t>
      </w:r>
      <w:r w:rsidR="00730270" w:rsidRPr="00543557">
        <w:t xml:space="preserve">, </w:t>
      </w:r>
      <w:r w:rsidR="00730270" w:rsidRPr="00884B27">
        <w:t>13</w:t>
      </w:r>
      <w:r w:rsidR="00730270">
        <w:t xml:space="preserve"> September 2022</w:t>
      </w:r>
      <w:r w:rsidR="00730270" w:rsidRPr="00884B27">
        <w:rPr>
          <w:lang w:val="en-US"/>
        </w:rPr>
        <w:t>, p. 44.</w:t>
      </w:r>
    </w:p>
  </w:footnote>
  <w:footnote w:id="117">
    <w:p w14:paraId="4770B5C2" w14:textId="77777777" w:rsidR="00456FD5" w:rsidRPr="003D6992" w:rsidRDefault="00456FD5" w:rsidP="00456FD5">
      <w:pPr>
        <w:pStyle w:val="FootnoteText"/>
        <w:rPr>
          <w:lang w:val="en-US"/>
        </w:rPr>
      </w:pPr>
      <w:r>
        <w:rPr>
          <w:rStyle w:val="FootnoteReference"/>
        </w:rPr>
        <w:footnoteRef/>
      </w:r>
      <w:r>
        <w:t xml:space="preserve"> </w:t>
      </w:r>
      <w:r>
        <w:tab/>
      </w:r>
      <w:r w:rsidRPr="00DA6D61">
        <w:t xml:space="preserve">Essential Services Commission, </w:t>
      </w:r>
      <w:r w:rsidRPr="00DA6D61">
        <w:rPr>
          <w:i/>
          <w:iCs/>
        </w:rPr>
        <w:t>2023 water price review: Guidance paper,</w:t>
      </w:r>
      <w:r w:rsidRPr="00DA6D61">
        <w:t xml:space="preserve"> 26 October 2021.</w:t>
      </w:r>
    </w:p>
  </w:footnote>
  <w:footnote w:id="118">
    <w:p w14:paraId="49F9BB54" w14:textId="77777777" w:rsidR="00456FD5" w:rsidRPr="00252ADC" w:rsidRDefault="00456FD5" w:rsidP="00456FD5">
      <w:pPr>
        <w:pStyle w:val="FootnoteText"/>
        <w:rPr>
          <w:lang w:val="en-US"/>
        </w:rPr>
      </w:pPr>
      <w:r>
        <w:rPr>
          <w:rStyle w:val="FootnoteReference"/>
        </w:rPr>
        <w:footnoteRef/>
      </w:r>
      <w:r>
        <w:t xml:space="preserve"> </w:t>
      </w:r>
      <w:r>
        <w:tab/>
      </w:r>
      <w:r w:rsidRPr="00252ADC">
        <w:t>The regulatory rate of return is comprised of the cost of debt and the return on equity.</w:t>
      </w:r>
    </w:p>
  </w:footnote>
  <w:footnote w:id="119">
    <w:p w14:paraId="0C9455EB" w14:textId="379ECB34" w:rsidR="00456FD5" w:rsidRPr="00252ADC" w:rsidRDefault="00456FD5" w:rsidP="00456FD5">
      <w:pPr>
        <w:pStyle w:val="FootnoteText"/>
        <w:rPr>
          <w:lang w:val="en-US"/>
        </w:rPr>
      </w:pPr>
      <w:r>
        <w:rPr>
          <w:rStyle w:val="FootnoteReference"/>
        </w:rPr>
        <w:footnoteRef/>
      </w:r>
      <w:r>
        <w:t xml:space="preserve"> </w:t>
      </w:r>
      <w:r>
        <w:tab/>
      </w:r>
      <w:r w:rsidRPr="00576EDE">
        <w:t xml:space="preserve">Bureau of Meteorology, </w:t>
      </w:r>
      <w:r w:rsidRPr="00576EDE">
        <w:rPr>
          <w:i/>
          <w:iCs/>
        </w:rPr>
        <w:t>National performance report 2020-21; urban water utilities, part A,</w:t>
      </w:r>
      <w:r w:rsidRPr="00576EDE">
        <w:t xml:space="preserve"> February 2022</w:t>
      </w:r>
      <w:r w:rsidR="00EA7A40">
        <w:t>.</w:t>
      </w:r>
    </w:p>
  </w:footnote>
  <w:footnote w:id="120">
    <w:p w14:paraId="31B0C807" w14:textId="77777777" w:rsidR="00456FD5" w:rsidRPr="00252ADC" w:rsidRDefault="00456FD5" w:rsidP="00456FD5">
      <w:pPr>
        <w:pStyle w:val="FootnoteText"/>
        <w:rPr>
          <w:lang w:val="en-US"/>
        </w:rPr>
      </w:pPr>
      <w:r>
        <w:rPr>
          <w:rStyle w:val="FootnoteReference"/>
        </w:rPr>
        <w:footnoteRef/>
      </w:r>
      <w:r>
        <w:t xml:space="preserve"> </w:t>
      </w:r>
      <w:r>
        <w:tab/>
      </w:r>
      <w:r w:rsidRPr="00252ADC">
        <w:t>Bureau of Meteorology, National performance report 2020-21; urban water utilities, part A.</w:t>
      </w:r>
    </w:p>
  </w:footnote>
  <w:footnote w:id="121">
    <w:p w14:paraId="65F67C19" w14:textId="77777777" w:rsidR="00456FD5" w:rsidRPr="00252ADC" w:rsidRDefault="00456FD5" w:rsidP="00456FD5">
      <w:pPr>
        <w:pStyle w:val="FootnoteText"/>
        <w:rPr>
          <w:lang w:val="en-US"/>
        </w:rPr>
      </w:pPr>
      <w:r>
        <w:rPr>
          <w:rStyle w:val="FootnoteReference"/>
        </w:rPr>
        <w:footnoteRef/>
      </w:r>
      <w:r>
        <w:t xml:space="preserve"> </w:t>
      </w:r>
      <w:r>
        <w:tab/>
      </w:r>
      <w:r w:rsidRPr="00252ADC">
        <w:t>Includes Icon Water, Sydney Water, Hunter Water, Central Coast Council, Power and Water Corp, Urban Utilities, Unity Water, SA Water and TasWater.</w:t>
      </w:r>
    </w:p>
  </w:footnote>
  <w:footnote w:id="122">
    <w:p w14:paraId="3C03B6D4" w14:textId="4EB92349" w:rsidR="00456FD5" w:rsidRPr="00252ADC" w:rsidRDefault="00456FD5" w:rsidP="00456FD5">
      <w:pPr>
        <w:pStyle w:val="FootnoteText"/>
        <w:rPr>
          <w:lang w:val="en-US"/>
        </w:rPr>
      </w:pPr>
      <w:r>
        <w:rPr>
          <w:rStyle w:val="FootnoteReference"/>
        </w:rPr>
        <w:footnoteRef/>
      </w:r>
      <w:r>
        <w:t xml:space="preserve"> </w:t>
      </w:r>
      <w:r>
        <w:tab/>
      </w:r>
      <w:r w:rsidR="004C4C76" w:rsidRPr="00D630E6">
        <w:t xml:space="preserve">Independent Pricing and Regulatory Tribunal NSW, </w:t>
      </w:r>
      <w:r w:rsidR="004C4C76" w:rsidRPr="007676F3">
        <w:rPr>
          <w:i/>
          <w:iCs/>
        </w:rPr>
        <w:t>Final Report - Review of WaterNSW</w:t>
      </w:r>
      <w:r w:rsidR="00F90674">
        <w:rPr>
          <w:i/>
          <w:iCs/>
        </w:rPr>
        <w:t>’</w:t>
      </w:r>
      <w:r w:rsidR="004C4C76" w:rsidRPr="007676F3">
        <w:rPr>
          <w:i/>
          <w:iCs/>
        </w:rPr>
        <w:t>s rural bulk water prices</w:t>
      </w:r>
      <w:r w:rsidR="004C4C76" w:rsidRPr="00D630E6">
        <w:t xml:space="preserve">, 9 September 2021; Independent Pricing and Regulatory Tribunal NSW, </w:t>
      </w:r>
      <w:r w:rsidR="004C4C76" w:rsidRPr="007676F3">
        <w:rPr>
          <w:i/>
          <w:iCs/>
        </w:rPr>
        <w:t>Final Report - Review of prices for Sydney Water</w:t>
      </w:r>
      <w:r w:rsidR="004C4C76" w:rsidRPr="00D630E6">
        <w:t xml:space="preserve">, June 2020; Essential Services Commission of South Australia, </w:t>
      </w:r>
      <w:r w:rsidR="004C4C76" w:rsidRPr="00AA242B">
        <w:rPr>
          <w:i/>
          <w:iCs/>
        </w:rPr>
        <w:t>SA Water's water and sewerage retail services: 1 July 2020 - 30 June 2024</w:t>
      </w:r>
      <w:r w:rsidR="004C4C76" w:rsidRPr="00D630E6">
        <w:t xml:space="preserve">, Price Determination, 1 July 2020; Queensland Competition Authority, Final report - Seqwater bulk water price review 2022–26, March 2022; Queensland Competition Authority (QCA), </w:t>
      </w:r>
      <w:r w:rsidR="004C4C76" w:rsidRPr="00AA242B">
        <w:rPr>
          <w:i/>
          <w:iCs/>
        </w:rPr>
        <w:t>Final report - Rural irrigation price review 2020–24, Part A: Overview</w:t>
      </w:r>
      <w:r w:rsidR="004C4C76" w:rsidRPr="00D630E6">
        <w:t xml:space="preserve">, January 2020; Office of the Tasmanian Economic Regulator, </w:t>
      </w:r>
      <w:r w:rsidR="004C4C76" w:rsidRPr="00A77AC3">
        <w:rPr>
          <w:i/>
          <w:iCs/>
        </w:rPr>
        <w:t>Final report - Investigation into TasWater</w:t>
      </w:r>
      <w:r w:rsidR="00F64EDE">
        <w:rPr>
          <w:i/>
          <w:iCs/>
        </w:rPr>
        <w:t>’</w:t>
      </w:r>
      <w:r w:rsidR="004C4C76" w:rsidRPr="00A77AC3">
        <w:rPr>
          <w:i/>
          <w:iCs/>
        </w:rPr>
        <w:t>s prices and services for the period 1 July 2022 to 30 June 2026</w:t>
      </w:r>
      <w:r w:rsidR="004C4C76" w:rsidRPr="00D630E6">
        <w:t>, May 2022</w:t>
      </w:r>
      <w:r w:rsidR="004C4C76">
        <w:t>.</w:t>
      </w:r>
    </w:p>
  </w:footnote>
  <w:footnote w:id="123">
    <w:p w14:paraId="7589C47F" w14:textId="77777777" w:rsidR="00456FD5" w:rsidRPr="00252ADC" w:rsidRDefault="00456FD5" w:rsidP="00456FD5">
      <w:pPr>
        <w:pStyle w:val="FootnoteText"/>
        <w:rPr>
          <w:lang w:val="en-US"/>
        </w:rPr>
      </w:pPr>
      <w:r>
        <w:rPr>
          <w:rStyle w:val="FootnoteReference"/>
        </w:rPr>
        <w:footnoteRef/>
      </w:r>
      <w:r>
        <w:t xml:space="preserve"> </w:t>
      </w:r>
      <w:r>
        <w:tab/>
      </w:r>
      <w:r w:rsidRPr="00252ADC">
        <w:t>Essential Services Commission 2016, Water Pricing Framework and Approach, Implementing PREMO from 2018, October, pp. 11–13.</w:t>
      </w:r>
    </w:p>
  </w:footnote>
  <w:footnote w:id="124">
    <w:p w14:paraId="4144220A" w14:textId="77777777" w:rsidR="00456FD5" w:rsidRPr="00252ADC" w:rsidRDefault="00456FD5" w:rsidP="00456FD5">
      <w:pPr>
        <w:pStyle w:val="FootnoteText"/>
        <w:rPr>
          <w:lang w:val="en-US"/>
        </w:rPr>
      </w:pPr>
      <w:r>
        <w:rPr>
          <w:rStyle w:val="FootnoteReference"/>
        </w:rPr>
        <w:footnoteRef/>
      </w:r>
      <w:r>
        <w:t xml:space="preserve"> </w:t>
      </w:r>
      <w:r>
        <w:tab/>
      </w:r>
      <w:r w:rsidRPr="00252ADC">
        <w:t>Essential Services Commission, 2023 water price review: Guidance paper, p. 2.</w:t>
      </w:r>
    </w:p>
  </w:footnote>
  <w:footnote w:id="125">
    <w:p w14:paraId="6DDAB4AB" w14:textId="77777777" w:rsidR="00456FD5" w:rsidRPr="00252ADC" w:rsidRDefault="00456FD5" w:rsidP="00456FD5">
      <w:pPr>
        <w:pStyle w:val="FootnoteText"/>
        <w:rPr>
          <w:lang w:val="en-US"/>
        </w:rPr>
      </w:pPr>
      <w:r>
        <w:rPr>
          <w:rStyle w:val="FootnoteReference"/>
        </w:rPr>
        <w:footnoteRef/>
      </w:r>
      <w:r>
        <w:t xml:space="preserve"> </w:t>
      </w:r>
      <w:r>
        <w:tab/>
      </w:r>
      <w:r w:rsidRPr="00252ADC">
        <w:t xml:space="preserve">Essential Services Commission, 2023 water price review: </w:t>
      </w:r>
      <w:r w:rsidRPr="00217A73">
        <w:rPr>
          <w:i/>
          <w:iCs/>
        </w:rPr>
        <w:t>Guidance paper</w:t>
      </w:r>
      <w:r w:rsidRPr="00252ADC">
        <w:t>, p.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82E63" w14:textId="54DA3E4E" w:rsidR="004776AA" w:rsidRDefault="004776AA">
    <w:pPr>
      <w:pStyle w:val="Header"/>
    </w:pPr>
  </w:p>
  <w:p w14:paraId="053C49CF" w14:textId="77777777" w:rsidR="00BE5BE1" w:rsidRDefault="00BE5B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545EE" w14:textId="5E38801B" w:rsidR="003A30F3" w:rsidRPr="00633068" w:rsidRDefault="003A30F3" w:rsidP="00633068">
    <w:pPr>
      <w:pStyle w:val="Header"/>
      <w:tabs>
        <w:tab w:val="clear" w:pos="4680"/>
        <w:tab w:val="clear" w:pos="9360"/>
        <w:tab w:val="left" w:pos="2236"/>
      </w:tabs>
    </w:pPr>
    <w:r>
      <w:rPr>
        <w:noProof/>
        <w:lang w:eastAsia="en-AU"/>
      </w:rPr>
      <mc:AlternateContent>
        <mc:Choice Requires="wpg">
          <w:drawing>
            <wp:anchor distT="0" distB="0" distL="114300" distR="114300" simplePos="0" relativeHeight="251658243" behindDoc="0" locked="1" layoutInCell="1" allowOverlap="1" wp14:anchorId="49762024" wp14:editId="38976187">
              <wp:simplePos x="0" y="0"/>
              <wp:positionH relativeFrom="page">
                <wp:align>right</wp:align>
              </wp:positionH>
              <wp:positionV relativeFrom="page">
                <wp:align>bottom</wp:align>
              </wp:positionV>
              <wp:extent cx="7282800" cy="6199200"/>
              <wp:effectExtent l="0" t="0" r="0" b="0"/>
              <wp:wrapNone/>
              <wp:docPr id="13" name="Group 13"/>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14" name="Group 4"/>
                      <wpg:cNvGrpSpPr/>
                      <wpg:grpSpPr bwMode="auto">
                        <a:xfrm>
                          <a:off x="0" y="0"/>
                          <a:ext cx="7121457" cy="6026668"/>
                          <a:chOff x="0" y="0"/>
                          <a:chExt cx="4278" cy="3620"/>
                        </a:xfrm>
                      </wpg:grpSpPr>
                      <wps:wsp>
                        <wps:cNvPr id="15"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8"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9B41DF" id="Group 13" o:spid="_x0000_s1026" style="position:absolute;margin-left:522.25pt;margin-top:0;width:573.45pt;height:488.15pt;z-index:251658243;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" path="m1315,v-1,,-1,,-1,c1122,,938,39,770,108,596,181,440,286,309,417,178,548,72,705,,878v159,66,159,66,159,66c223,792,315,654,431,539,546,424,683,331,836,268v148,-62,309,-96,478,-96c1315,172,1315,172,1315,172v16,,32,1,48,1c1363,,1363,,1363,v-16,,-32,,-48,xe" fillcolor="#ce0058 [3205]"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w10:wrap anchorx="page" anchory="page"/>
              <w10:anchorlock/>
            </v:group>
          </w:pict>
        </mc:Fallback>
      </mc:AlternateContent>
    </w:r>
    <w:r w:rsidRPr="00EA47A3">
      <w:rPr>
        <w:noProof/>
        <w:lang w:eastAsia="en-AU"/>
      </w:rPr>
      <w:drawing>
        <wp:anchor distT="0" distB="431800" distL="114300" distR="114300" simplePos="0" relativeHeight="251658242" behindDoc="1" locked="1" layoutInCell="1" allowOverlap="1" wp14:anchorId="6A80423D" wp14:editId="557A058F">
          <wp:simplePos x="0" y="0"/>
          <wp:positionH relativeFrom="page">
            <wp:posOffset>720090</wp:posOffset>
          </wp:positionH>
          <wp:positionV relativeFrom="page">
            <wp:posOffset>720090</wp:posOffset>
          </wp:positionV>
          <wp:extent cx="2656800" cy="8280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B2056" w14:textId="70D20C17" w:rsidR="003A30F3" w:rsidRDefault="003A30F3" w:rsidP="007C7E2D">
    <w:pPr>
      <w:pStyle w:val="Header"/>
      <w:tabs>
        <w:tab w:val="clear" w:pos="4680"/>
        <w:tab w:val="clear" w:pos="9360"/>
        <w:tab w:val="left" w:pos="2236"/>
      </w:tabs>
    </w:pPr>
    <w:r>
      <w:rPr>
        <w:noProof/>
        <w:lang w:eastAsia="en-AU"/>
      </w:rPr>
      <mc:AlternateContent>
        <mc:Choice Requires="wpg">
          <w:drawing>
            <wp:anchor distT="0" distB="0" distL="114300" distR="114300" simplePos="0" relativeHeight="251658241" behindDoc="0" locked="1" layoutInCell="1" allowOverlap="1" wp14:anchorId="45343244" wp14:editId="7E792315">
              <wp:simplePos x="0" y="0"/>
              <wp:positionH relativeFrom="page">
                <wp:align>right</wp:align>
              </wp:positionH>
              <wp:positionV relativeFrom="page">
                <wp:align>bottom</wp:align>
              </wp:positionV>
              <wp:extent cx="7282800" cy="6199200"/>
              <wp:effectExtent l="0" t="0" r="0" b="0"/>
              <wp:wrapNone/>
              <wp:docPr id="29" name="Group 29"/>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30" name="Group 4"/>
                      <wpg:cNvGrpSpPr/>
                      <wpg:grpSpPr bwMode="auto">
                        <a:xfrm>
                          <a:off x="0" y="0"/>
                          <a:ext cx="7121457" cy="6026668"/>
                          <a:chOff x="0" y="0"/>
                          <a:chExt cx="4278" cy="3620"/>
                        </a:xfrm>
                      </wpg:grpSpPr>
                      <wps:wsp>
                        <wps:cNvPr id="31"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4"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1D44ED" id="Group 29" o:spid="_x0000_s1026" style="position:absolute;margin-left:522.25pt;margin-top:0;width:573.45pt;height:488.15pt;z-index:251658241;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" path="m1315,v-1,,-1,,-1,c1122,,938,39,770,108,596,181,440,286,309,417,178,548,72,705,,878v159,66,159,66,159,66c223,792,315,654,431,539,546,424,683,331,836,268v148,-62,309,-96,478,-96c1315,172,1315,172,1315,172v16,,32,1,48,1c1363,,1363,,1363,v-16,,-32,,-48,xe" fillcolor="#ed8b00 [3207]"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w10:wrap anchorx="page" anchory="page"/>
              <w10:anchorlock/>
            </v:group>
          </w:pict>
        </mc:Fallback>
      </mc:AlternateContent>
    </w:r>
    <w:r w:rsidRPr="00EA47A3">
      <w:rPr>
        <w:noProof/>
        <w:lang w:eastAsia="en-AU"/>
      </w:rPr>
      <w:drawing>
        <wp:anchor distT="0" distB="431800" distL="114300" distR="114300" simplePos="0" relativeHeight="251658240" behindDoc="1" locked="1" layoutInCell="1" allowOverlap="1" wp14:anchorId="0843C84E" wp14:editId="2B680C90">
          <wp:simplePos x="0" y="0"/>
          <wp:positionH relativeFrom="page">
            <wp:posOffset>720090</wp:posOffset>
          </wp:positionH>
          <wp:positionV relativeFrom="page">
            <wp:posOffset>720090</wp:posOffset>
          </wp:positionV>
          <wp:extent cx="2656800" cy="8280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CD624" w14:textId="3D0CF48A" w:rsidR="003A30F3" w:rsidRPr="00633068" w:rsidRDefault="003A30F3" w:rsidP="00633068">
    <w:pPr>
      <w:pStyle w:val="Header"/>
      <w:tabs>
        <w:tab w:val="clear" w:pos="4680"/>
        <w:tab w:val="clear" w:pos="9360"/>
        <w:tab w:val="left" w:pos="223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81EB096"/>
    <w:styleLink w:val="TableBullets"/>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DDC01B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1A"/>
    <w:multiLevelType w:val="hybridMultilevel"/>
    <w:tmpl w:val="0000001A"/>
    <w:lvl w:ilvl="0" w:tplc="2AFC6980">
      <w:start w:val="1"/>
      <w:numFmt w:val="bullet"/>
      <w:lvlText w:val=""/>
      <w:lvlJc w:val="left"/>
      <w:pPr>
        <w:ind w:left="0" w:firstLine="0"/>
      </w:pPr>
      <w:rPr>
        <w:rFonts w:ascii="Symbol" w:eastAsia="Symbol" w:hAnsi="Symbol" w:cs="Symbol"/>
        <w:sz w:val="22"/>
        <w:szCs w:val="22"/>
      </w:rPr>
    </w:lvl>
    <w:lvl w:ilvl="1" w:tplc="CA1E672A">
      <w:start w:val="1"/>
      <w:numFmt w:val="bullet"/>
      <w:lvlText w:val="o"/>
      <w:lvlJc w:val="left"/>
      <w:pPr>
        <w:tabs>
          <w:tab w:val="num" w:pos="1440"/>
        </w:tabs>
        <w:ind w:left="1440" w:hanging="360"/>
      </w:pPr>
      <w:rPr>
        <w:rFonts w:ascii="Courier New" w:hAnsi="Courier New"/>
      </w:rPr>
    </w:lvl>
    <w:lvl w:ilvl="2" w:tplc="32904876">
      <w:start w:val="1"/>
      <w:numFmt w:val="bullet"/>
      <w:lvlText w:val=""/>
      <w:lvlJc w:val="left"/>
      <w:pPr>
        <w:tabs>
          <w:tab w:val="num" w:pos="2160"/>
        </w:tabs>
        <w:ind w:left="2160" w:hanging="360"/>
      </w:pPr>
      <w:rPr>
        <w:rFonts w:ascii="Wingdings" w:hAnsi="Wingdings"/>
      </w:rPr>
    </w:lvl>
    <w:lvl w:ilvl="3" w:tplc="5DC49ABA">
      <w:start w:val="1"/>
      <w:numFmt w:val="bullet"/>
      <w:lvlText w:val=""/>
      <w:lvlJc w:val="left"/>
      <w:pPr>
        <w:tabs>
          <w:tab w:val="num" w:pos="2880"/>
        </w:tabs>
        <w:ind w:left="2880" w:hanging="360"/>
      </w:pPr>
      <w:rPr>
        <w:rFonts w:ascii="Symbol" w:hAnsi="Symbol"/>
      </w:rPr>
    </w:lvl>
    <w:lvl w:ilvl="4" w:tplc="4B90685E">
      <w:start w:val="1"/>
      <w:numFmt w:val="bullet"/>
      <w:lvlText w:val="o"/>
      <w:lvlJc w:val="left"/>
      <w:pPr>
        <w:tabs>
          <w:tab w:val="num" w:pos="3600"/>
        </w:tabs>
        <w:ind w:left="3600" w:hanging="360"/>
      </w:pPr>
      <w:rPr>
        <w:rFonts w:ascii="Courier New" w:hAnsi="Courier New"/>
      </w:rPr>
    </w:lvl>
    <w:lvl w:ilvl="5" w:tplc="70803E12">
      <w:start w:val="1"/>
      <w:numFmt w:val="bullet"/>
      <w:lvlText w:val=""/>
      <w:lvlJc w:val="left"/>
      <w:pPr>
        <w:tabs>
          <w:tab w:val="num" w:pos="4320"/>
        </w:tabs>
        <w:ind w:left="4320" w:hanging="360"/>
      </w:pPr>
      <w:rPr>
        <w:rFonts w:ascii="Wingdings" w:hAnsi="Wingdings"/>
      </w:rPr>
    </w:lvl>
    <w:lvl w:ilvl="6" w:tplc="952C21F0">
      <w:start w:val="1"/>
      <w:numFmt w:val="bullet"/>
      <w:lvlText w:val=""/>
      <w:lvlJc w:val="left"/>
      <w:pPr>
        <w:tabs>
          <w:tab w:val="num" w:pos="5040"/>
        </w:tabs>
        <w:ind w:left="5040" w:hanging="360"/>
      </w:pPr>
      <w:rPr>
        <w:rFonts w:ascii="Symbol" w:hAnsi="Symbol"/>
      </w:rPr>
    </w:lvl>
    <w:lvl w:ilvl="7" w:tplc="75DA94E2">
      <w:start w:val="1"/>
      <w:numFmt w:val="bullet"/>
      <w:lvlText w:val="o"/>
      <w:lvlJc w:val="left"/>
      <w:pPr>
        <w:tabs>
          <w:tab w:val="num" w:pos="5760"/>
        </w:tabs>
        <w:ind w:left="5760" w:hanging="360"/>
      </w:pPr>
      <w:rPr>
        <w:rFonts w:ascii="Courier New" w:hAnsi="Courier New"/>
      </w:rPr>
    </w:lvl>
    <w:lvl w:ilvl="8" w:tplc="4D0C54CE">
      <w:start w:val="1"/>
      <w:numFmt w:val="bullet"/>
      <w:lvlText w:val=""/>
      <w:lvlJc w:val="left"/>
      <w:pPr>
        <w:tabs>
          <w:tab w:val="num" w:pos="6480"/>
        </w:tabs>
        <w:ind w:left="6480" w:hanging="360"/>
      </w:pPr>
      <w:rPr>
        <w:rFonts w:ascii="Wingdings" w:hAnsi="Wingdings"/>
      </w:rPr>
    </w:lvl>
  </w:abstractNum>
  <w:abstractNum w:abstractNumId="3" w15:restartNumberingAfterBreak="0">
    <w:nsid w:val="03A6223F"/>
    <w:multiLevelType w:val="hybridMultilevel"/>
    <w:tmpl w:val="E23EF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D491B"/>
    <w:multiLevelType w:val="hybridMultilevel"/>
    <w:tmpl w:val="96744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596CD7"/>
    <w:multiLevelType w:val="hybridMultilevel"/>
    <w:tmpl w:val="7FD8F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7B0D53"/>
    <w:multiLevelType w:val="hybridMultilevel"/>
    <w:tmpl w:val="D38AF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330BB8"/>
    <w:multiLevelType w:val="hybridMultilevel"/>
    <w:tmpl w:val="742E7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DD1567"/>
    <w:multiLevelType w:val="hybridMultilevel"/>
    <w:tmpl w:val="8CBA5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144705"/>
    <w:multiLevelType w:val="hybridMultilevel"/>
    <w:tmpl w:val="A9802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EC061C"/>
    <w:multiLevelType w:val="hybridMultilevel"/>
    <w:tmpl w:val="14161190"/>
    <w:lvl w:ilvl="0" w:tplc="B9A466AE">
      <w:start w:val="1"/>
      <w:numFmt w:val="bullet"/>
      <w:pStyle w:val="List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C940110"/>
    <w:multiLevelType w:val="hybridMultilevel"/>
    <w:tmpl w:val="CA6662B6"/>
    <w:lvl w:ilvl="0" w:tplc="750CE72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3F5D07"/>
    <w:multiLevelType w:val="hybridMultilevel"/>
    <w:tmpl w:val="1C24D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00473B"/>
    <w:multiLevelType w:val="hybridMultilevel"/>
    <w:tmpl w:val="DB2A71FC"/>
    <w:styleLink w:val="CustomNumberlist"/>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B6857EC"/>
    <w:multiLevelType w:val="hybridMultilevel"/>
    <w:tmpl w:val="90F0C44E"/>
    <w:lvl w:ilvl="0" w:tplc="11EAC390">
      <w:start w:val="3"/>
      <w:numFmt w:val="bullet"/>
      <w:lvlText w:val="-"/>
      <w:lvlJc w:val="left"/>
      <w:pPr>
        <w:ind w:left="1004" w:hanging="360"/>
      </w:pPr>
      <w:rPr>
        <w:rFonts w:ascii="Arial" w:eastAsiaTheme="minorHAnsi" w:hAnsi="Arial" w:cs="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F9735C7"/>
    <w:multiLevelType w:val="singleLevel"/>
    <w:tmpl w:val="07A000BA"/>
    <w:styleLink w:val="Bullet"/>
    <w:lvl w:ilvl="0">
      <w:start w:val="1"/>
      <w:numFmt w:val="bullet"/>
      <w:lvlText w:val=""/>
      <w:lvlJc w:val="left"/>
      <w:pPr>
        <w:tabs>
          <w:tab w:val="num" w:pos="926"/>
        </w:tabs>
        <w:ind w:left="926" w:hanging="360"/>
      </w:pPr>
      <w:rPr>
        <w:rFonts w:ascii="Symbol" w:hAnsi="Symbol" w:hint="default"/>
      </w:rPr>
    </w:lvl>
  </w:abstractNum>
  <w:abstractNum w:abstractNumId="16" w15:restartNumberingAfterBreak="0">
    <w:nsid w:val="42B71BD2"/>
    <w:multiLevelType w:val="hybridMultilevel"/>
    <w:tmpl w:val="D7F8C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3054E6"/>
    <w:multiLevelType w:val="hybridMultilevel"/>
    <w:tmpl w:val="7EAC2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383308"/>
    <w:multiLevelType w:val="hybridMultilevel"/>
    <w:tmpl w:val="D09C6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7F5245"/>
    <w:multiLevelType w:val="hybridMultilevel"/>
    <w:tmpl w:val="EC38A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C25501"/>
    <w:multiLevelType w:val="hybridMultilevel"/>
    <w:tmpl w:val="792AE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6261B6"/>
    <w:multiLevelType w:val="hybridMultilevel"/>
    <w:tmpl w:val="7FE635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54700710"/>
    <w:multiLevelType w:val="hybridMultilevel"/>
    <w:tmpl w:val="494E9ADE"/>
    <w:styleLink w:val="ListLetters"/>
    <w:lvl w:ilvl="0" w:tplc="A07642E0">
      <w:start w:val="1"/>
      <w:numFmt w:val="bullet"/>
      <w:lvlText w:val=""/>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59335089"/>
    <w:multiLevelType w:val="hybridMultilevel"/>
    <w:tmpl w:val="AE1E6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EF3CD6"/>
    <w:multiLevelType w:val="hybridMultilevel"/>
    <w:tmpl w:val="30048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B84B41"/>
    <w:multiLevelType w:val="hybridMultilevel"/>
    <w:tmpl w:val="877AE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915BF7"/>
    <w:multiLevelType w:val="hybridMultilevel"/>
    <w:tmpl w:val="D4B0E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4B25B8"/>
    <w:multiLevelType w:val="hybridMultilevel"/>
    <w:tmpl w:val="5E926D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49920A1"/>
    <w:multiLevelType w:val="hybridMultilevel"/>
    <w:tmpl w:val="FB0EE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C73765"/>
    <w:multiLevelType w:val="hybridMultilevel"/>
    <w:tmpl w:val="D57C8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270CCC"/>
    <w:multiLevelType w:val="hybridMultilevel"/>
    <w:tmpl w:val="D0644CD0"/>
    <w:lvl w:ilvl="0" w:tplc="4F54B6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E87ADB"/>
    <w:multiLevelType w:val="hybridMultilevel"/>
    <w:tmpl w:val="DE10A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27275F"/>
    <w:multiLevelType w:val="hybridMultilevel"/>
    <w:tmpl w:val="693EF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806C9B"/>
    <w:multiLevelType w:val="hybridMultilevel"/>
    <w:tmpl w:val="B00410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0732D36"/>
    <w:multiLevelType w:val="singleLevel"/>
    <w:tmpl w:val="44F6E1D8"/>
    <w:styleLink w:val="Pull-outlists"/>
    <w:lvl w:ilvl="0">
      <w:start w:val="1"/>
      <w:numFmt w:val="decimal"/>
      <w:lvlText w:val="%1."/>
      <w:lvlJc w:val="left"/>
      <w:pPr>
        <w:tabs>
          <w:tab w:val="num" w:pos="926"/>
        </w:tabs>
        <w:ind w:left="926" w:hanging="360"/>
      </w:pPr>
    </w:lvl>
  </w:abstractNum>
  <w:abstractNum w:abstractNumId="35" w15:restartNumberingAfterBreak="0">
    <w:nsid w:val="76835D13"/>
    <w:multiLevelType w:val="hybridMultilevel"/>
    <w:tmpl w:val="51AE0870"/>
    <w:lvl w:ilvl="0" w:tplc="1E3AF98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BE6BC8"/>
    <w:multiLevelType w:val="hybridMultilevel"/>
    <w:tmpl w:val="69B60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D02D5B"/>
    <w:multiLevelType w:val="hybridMultilevel"/>
    <w:tmpl w:val="7C600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871780"/>
    <w:multiLevelType w:val="hybridMultilevel"/>
    <w:tmpl w:val="7DA83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AC1C58"/>
    <w:multiLevelType w:val="hybridMultilevel"/>
    <w:tmpl w:val="2B945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750DA9"/>
    <w:multiLevelType w:val="hybridMultilevel"/>
    <w:tmpl w:val="79C4D592"/>
    <w:lvl w:ilvl="0" w:tplc="A07642E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7510125">
    <w:abstractNumId w:val="0"/>
  </w:num>
  <w:num w:numId="2" w16cid:durableId="1864400098">
    <w:abstractNumId w:val="15"/>
  </w:num>
  <w:num w:numId="3" w16cid:durableId="339235872">
    <w:abstractNumId w:val="34"/>
  </w:num>
  <w:num w:numId="4" w16cid:durableId="1277373900">
    <w:abstractNumId w:val="22"/>
  </w:num>
  <w:num w:numId="5" w16cid:durableId="327440889">
    <w:abstractNumId w:val="33"/>
  </w:num>
  <w:num w:numId="6" w16cid:durableId="1161241106">
    <w:abstractNumId w:val="21"/>
  </w:num>
  <w:num w:numId="7" w16cid:durableId="1453866208">
    <w:abstractNumId w:val="13"/>
  </w:num>
  <w:num w:numId="8" w16cid:durableId="250048588">
    <w:abstractNumId w:val="27"/>
  </w:num>
  <w:num w:numId="9" w16cid:durableId="1581331133">
    <w:abstractNumId w:val="17"/>
  </w:num>
  <w:num w:numId="10" w16cid:durableId="1633747750">
    <w:abstractNumId w:val="2"/>
  </w:num>
  <w:num w:numId="11" w16cid:durableId="1966613816">
    <w:abstractNumId w:val="7"/>
  </w:num>
  <w:num w:numId="12" w16cid:durableId="759987998">
    <w:abstractNumId w:val="32"/>
  </w:num>
  <w:num w:numId="13" w16cid:durableId="503320628">
    <w:abstractNumId w:val="19"/>
  </w:num>
  <w:num w:numId="14" w16cid:durableId="1652632313">
    <w:abstractNumId w:val="16"/>
  </w:num>
  <w:num w:numId="15" w16cid:durableId="1025909457">
    <w:abstractNumId w:val="29"/>
  </w:num>
  <w:num w:numId="16" w16cid:durableId="1019814123">
    <w:abstractNumId w:val="38"/>
  </w:num>
  <w:num w:numId="17" w16cid:durableId="56634859">
    <w:abstractNumId w:val="24"/>
  </w:num>
  <w:num w:numId="18" w16cid:durableId="139004897">
    <w:abstractNumId w:val="28"/>
  </w:num>
  <w:num w:numId="19" w16cid:durableId="990645230">
    <w:abstractNumId w:val="25"/>
  </w:num>
  <w:num w:numId="20" w16cid:durableId="1536894071">
    <w:abstractNumId w:val="9"/>
  </w:num>
  <w:num w:numId="21" w16cid:durableId="1511525664">
    <w:abstractNumId w:val="14"/>
  </w:num>
  <w:num w:numId="22" w16cid:durableId="763460509">
    <w:abstractNumId w:val="8"/>
  </w:num>
  <w:num w:numId="23" w16cid:durableId="1423451805">
    <w:abstractNumId w:val="4"/>
  </w:num>
  <w:num w:numId="24" w16cid:durableId="1546403464">
    <w:abstractNumId w:val="12"/>
  </w:num>
  <w:num w:numId="25" w16cid:durableId="1736388690">
    <w:abstractNumId w:val="31"/>
  </w:num>
  <w:num w:numId="26" w16cid:durableId="1206216415">
    <w:abstractNumId w:val="18"/>
  </w:num>
  <w:num w:numId="27" w16cid:durableId="2055080888">
    <w:abstractNumId w:val="20"/>
  </w:num>
  <w:num w:numId="28" w16cid:durableId="1601907783">
    <w:abstractNumId w:val="30"/>
  </w:num>
  <w:num w:numId="29" w16cid:durableId="1639334465">
    <w:abstractNumId w:val="3"/>
  </w:num>
  <w:num w:numId="30" w16cid:durableId="520121314">
    <w:abstractNumId w:val="39"/>
  </w:num>
  <w:num w:numId="31" w16cid:durableId="323706205">
    <w:abstractNumId w:val="37"/>
  </w:num>
  <w:num w:numId="32" w16cid:durableId="2001157256">
    <w:abstractNumId w:val="26"/>
  </w:num>
  <w:num w:numId="33" w16cid:durableId="516190835">
    <w:abstractNumId w:val="36"/>
  </w:num>
  <w:num w:numId="34" w16cid:durableId="1869366816">
    <w:abstractNumId w:val="5"/>
  </w:num>
  <w:num w:numId="35" w16cid:durableId="747114119">
    <w:abstractNumId w:val="6"/>
  </w:num>
  <w:num w:numId="36" w16cid:durableId="1635452549">
    <w:abstractNumId w:val="23"/>
  </w:num>
  <w:num w:numId="37" w16cid:durableId="1542396953">
    <w:abstractNumId w:val="10"/>
  </w:num>
  <w:num w:numId="38" w16cid:durableId="876044401">
    <w:abstractNumId w:val="11"/>
  </w:num>
  <w:num w:numId="39" w16cid:durableId="1886604979">
    <w:abstractNumId w:val="40"/>
  </w:num>
  <w:num w:numId="40" w16cid:durableId="1531407801">
    <w:abstractNumId w:val="1"/>
  </w:num>
  <w:num w:numId="41" w16cid:durableId="1491629266">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FA"/>
    <w:rsid w:val="000000EB"/>
    <w:rsid w:val="000001EA"/>
    <w:rsid w:val="000002F4"/>
    <w:rsid w:val="00000667"/>
    <w:rsid w:val="00000766"/>
    <w:rsid w:val="000008C1"/>
    <w:rsid w:val="00000A67"/>
    <w:rsid w:val="00000AC3"/>
    <w:rsid w:val="00000D00"/>
    <w:rsid w:val="00001003"/>
    <w:rsid w:val="00001190"/>
    <w:rsid w:val="0000142D"/>
    <w:rsid w:val="0000147A"/>
    <w:rsid w:val="00001915"/>
    <w:rsid w:val="00001CFF"/>
    <w:rsid w:val="000020C6"/>
    <w:rsid w:val="00002270"/>
    <w:rsid w:val="00002338"/>
    <w:rsid w:val="000024DB"/>
    <w:rsid w:val="000028B2"/>
    <w:rsid w:val="0000294C"/>
    <w:rsid w:val="00002D5B"/>
    <w:rsid w:val="000031CA"/>
    <w:rsid w:val="000031E8"/>
    <w:rsid w:val="000034F8"/>
    <w:rsid w:val="00003A97"/>
    <w:rsid w:val="00003AA5"/>
    <w:rsid w:val="00003E9A"/>
    <w:rsid w:val="00003EAF"/>
    <w:rsid w:val="000041EC"/>
    <w:rsid w:val="00004696"/>
    <w:rsid w:val="000046BD"/>
    <w:rsid w:val="00004B5E"/>
    <w:rsid w:val="00004F9A"/>
    <w:rsid w:val="000052EA"/>
    <w:rsid w:val="00005481"/>
    <w:rsid w:val="0000548D"/>
    <w:rsid w:val="000054F7"/>
    <w:rsid w:val="00005B2D"/>
    <w:rsid w:val="00006793"/>
    <w:rsid w:val="00006B1A"/>
    <w:rsid w:val="00006CC1"/>
    <w:rsid w:val="00006CF3"/>
    <w:rsid w:val="00006D3D"/>
    <w:rsid w:val="00007186"/>
    <w:rsid w:val="000072AC"/>
    <w:rsid w:val="0000740F"/>
    <w:rsid w:val="000074AA"/>
    <w:rsid w:val="00007C0F"/>
    <w:rsid w:val="00007D1B"/>
    <w:rsid w:val="00007EB1"/>
    <w:rsid w:val="00010094"/>
    <w:rsid w:val="0001012A"/>
    <w:rsid w:val="0001013F"/>
    <w:rsid w:val="00010688"/>
    <w:rsid w:val="000106D6"/>
    <w:rsid w:val="000109EF"/>
    <w:rsid w:val="00010B88"/>
    <w:rsid w:val="00010C80"/>
    <w:rsid w:val="00010DC5"/>
    <w:rsid w:val="00010F5E"/>
    <w:rsid w:val="00011407"/>
    <w:rsid w:val="00011615"/>
    <w:rsid w:val="000117DD"/>
    <w:rsid w:val="00011E04"/>
    <w:rsid w:val="00012434"/>
    <w:rsid w:val="00012509"/>
    <w:rsid w:val="00012925"/>
    <w:rsid w:val="00012940"/>
    <w:rsid w:val="0001299B"/>
    <w:rsid w:val="000129D6"/>
    <w:rsid w:val="00012B8A"/>
    <w:rsid w:val="00012C07"/>
    <w:rsid w:val="00012E05"/>
    <w:rsid w:val="00012F96"/>
    <w:rsid w:val="00013085"/>
    <w:rsid w:val="00013256"/>
    <w:rsid w:val="0001330E"/>
    <w:rsid w:val="0001373C"/>
    <w:rsid w:val="00013BFC"/>
    <w:rsid w:val="00013E06"/>
    <w:rsid w:val="0001409B"/>
    <w:rsid w:val="00014736"/>
    <w:rsid w:val="000147EF"/>
    <w:rsid w:val="00014840"/>
    <w:rsid w:val="0001490B"/>
    <w:rsid w:val="0001506F"/>
    <w:rsid w:val="00015186"/>
    <w:rsid w:val="00015588"/>
    <w:rsid w:val="00015ADC"/>
    <w:rsid w:val="00015DFE"/>
    <w:rsid w:val="000165AC"/>
    <w:rsid w:val="0001682F"/>
    <w:rsid w:val="00016BE9"/>
    <w:rsid w:val="00016C43"/>
    <w:rsid w:val="00016D1E"/>
    <w:rsid w:val="00016DD5"/>
    <w:rsid w:val="000172D6"/>
    <w:rsid w:val="00017361"/>
    <w:rsid w:val="000176F4"/>
    <w:rsid w:val="00017796"/>
    <w:rsid w:val="00017E33"/>
    <w:rsid w:val="00020554"/>
    <w:rsid w:val="00020A77"/>
    <w:rsid w:val="00020B0A"/>
    <w:rsid w:val="00020BF4"/>
    <w:rsid w:val="00021254"/>
    <w:rsid w:val="00021667"/>
    <w:rsid w:val="00021978"/>
    <w:rsid w:val="00021A94"/>
    <w:rsid w:val="00021B9E"/>
    <w:rsid w:val="00021C27"/>
    <w:rsid w:val="00021E1D"/>
    <w:rsid w:val="00022292"/>
    <w:rsid w:val="000222CF"/>
    <w:rsid w:val="000225E9"/>
    <w:rsid w:val="0002270B"/>
    <w:rsid w:val="00022B0E"/>
    <w:rsid w:val="00022BB1"/>
    <w:rsid w:val="00022DAC"/>
    <w:rsid w:val="000230C8"/>
    <w:rsid w:val="0002323B"/>
    <w:rsid w:val="0002327C"/>
    <w:rsid w:val="0002382B"/>
    <w:rsid w:val="0002383A"/>
    <w:rsid w:val="00023B46"/>
    <w:rsid w:val="00023BDD"/>
    <w:rsid w:val="00023BF3"/>
    <w:rsid w:val="00023C98"/>
    <w:rsid w:val="0002403A"/>
    <w:rsid w:val="00024084"/>
    <w:rsid w:val="000242A8"/>
    <w:rsid w:val="00024731"/>
    <w:rsid w:val="000249B5"/>
    <w:rsid w:val="00024A0F"/>
    <w:rsid w:val="00024B02"/>
    <w:rsid w:val="00025372"/>
    <w:rsid w:val="00025565"/>
    <w:rsid w:val="00025F2C"/>
    <w:rsid w:val="00025F77"/>
    <w:rsid w:val="0002624C"/>
    <w:rsid w:val="000262F2"/>
    <w:rsid w:val="00026688"/>
    <w:rsid w:val="00026AF0"/>
    <w:rsid w:val="00026D65"/>
    <w:rsid w:val="000273E9"/>
    <w:rsid w:val="00027517"/>
    <w:rsid w:val="00027553"/>
    <w:rsid w:val="0002759F"/>
    <w:rsid w:val="00030229"/>
    <w:rsid w:val="0003027F"/>
    <w:rsid w:val="00030466"/>
    <w:rsid w:val="00030529"/>
    <w:rsid w:val="00030828"/>
    <w:rsid w:val="00030CAD"/>
    <w:rsid w:val="00030FD8"/>
    <w:rsid w:val="00031055"/>
    <w:rsid w:val="00031097"/>
    <w:rsid w:val="00031201"/>
    <w:rsid w:val="00031B17"/>
    <w:rsid w:val="00031B7D"/>
    <w:rsid w:val="000321BD"/>
    <w:rsid w:val="00032266"/>
    <w:rsid w:val="00032274"/>
    <w:rsid w:val="0003231E"/>
    <w:rsid w:val="00032682"/>
    <w:rsid w:val="0003287A"/>
    <w:rsid w:val="00032B10"/>
    <w:rsid w:val="00032D21"/>
    <w:rsid w:val="00032F12"/>
    <w:rsid w:val="00033223"/>
    <w:rsid w:val="000334A9"/>
    <w:rsid w:val="000337A0"/>
    <w:rsid w:val="00033BF6"/>
    <w:rsid w:val="00033DA5"/>
    <w:rsid w:val="00033F45"/>
    <w:rsid w:val="00034191"/>
    <w:rsid w:val="0003439C"/>
    <w:rsid w:val="0003442F"/>
    <w:rsid w:val="0003493D"/>
    <w:rsid w:val="00034B31"/>
    <w:rsid w:val="000351BE"/>
    <w:rsid w:val="00035320"/>
    <w:rsid w:val="000353F3"/>
    <w:rsid w:val="00035856"/>
    <w:rsid w:val="00035983"/>
    <w:rsid w:val="00035A00"/>
    <w:rsid w:val="00035A66"/>
    <w:rsid w:val="00035CAB"/>
    <w:rsid w:val="00035E61"/>
    <w:rsid w:val="00035E6B"/>
    <w:rsid w:val="00036517"/>
    <w:rsid w:val="0003654D"/>
    <w:rsid w:val="000365A9"/>
    <w:rsid w:val="00036AFF"/>
    <w:rsid w:val="00036B86"/>
    <w:rsid w:val="00036E3C"/>
    <w:rsid w:val="000373ED"/>
    <w:rsid w:val="000376BF"/>
    <w:rsid w:val="000377EB"/>
    <w:rsid w:val="00037B28"/>
    <w:rsid w:val="00037C02"/>
    <w:rsid w:val="00037D22"/>
    <w:rsid w:val="00037F4A"/>
    <w:rsid w:val="0004038A"/>
    <w:rsid w:val="00040523"/>
    <w:rsid w:val="0004099F"/>
    <w:rsid w:val="00040A9A"/>
    <w:rsid w:val="00040B64"/>
    <w:rsid w:val="00040B8E"/>
    <w:rsid w:val="00040C9B"/>
    <w:rsid w:val="00040D13"/>
    <w:rsid w:val="00040D6D"/>
    <w:rsid w:val="0004119D"/>
    <w:rsid w:val="000411A0"/>
    <w:rsid w:val="000414DE"/>
    <w:rsid w:val="0004166E"/>
    <w:rsid w:val="000418A9"/>
    <w:rsid w:val="00041C88"/>
    <w:rsid w:val="00041EAA"/>
    <w:rsid w:val="0004215F"/>
    <w:rsid w:val="000425C4"/>
    <w:rsid w:val="00042D91"/>
    <w:rsid w:val="00043045"/>
    <w:rsid w:val="000430F5"/>
    <w:rsid w:val="00043253"/>
    <w:rsid w:val="00043406"/>
    <w:rsid w:val="000437B3"/>
    <w:rsid w:val="000438F1"/>
    <w:rsid w:val="00043A8C"/>
    <w:rsid w:val="00043FD3"/>
    <w:rsid w:val="0004435A"/>
    <w:rsid w:val="000443C7"/>
    <w:rsid w:val="0004459D"/>
    <w:rsid w:val="0004472C"/>
    <w:rsid w:val="00044B38"/>
    <w:rsid w:val="00044D48"/>
    <w:rsid w:val="00044F1D"/>
    <w:rsid w:val="00045B0D"/>
    <w:rsid w:val="000461FC"/>
    <w:rsid w:val="00046337"/>
    <w:rsid w:val="0004636B"/>
    <w:rsid w:val="000464E4"/>
    <w:rsid w:val="00046605"/>
    <w:rsid w:val="00046741"/>
    <w:rsid w:val="0004686E"/>
    <w:rsid w:val="000469D8"/>
    <w:rsid w:val="00046A6F"/>
    <w:rsid w:val="00046AEA"/>
    <w:rsid w:val="00046E40"/>
    <w:rsid w:val="00046F5A"/>
    <w:rsid w:val="00046F6E"/>
    <w:rsid w:val="00046FF2"/>
    <w:rsid w:val="00047659"/>
    <w:rsid w:val="000477D6"/>
    <w:rsid w:val="0004789B"/>
    <w:rsid w:val="000478FB"/>
    <w:rsid w:val="00047AAC"/>
    <w:rsid w:val="00047BB2"/>
    <w:rsid w:val="00047C32"/>
    <w:rsid w:val="00047D08"/>
    <w:rsid w:val="00047DA2"/>
    <w:rsid w:val="00050221"/>
    <w:rsid w:val="0005022E"/>
    <w:rsid w:val="000502D8"/>
    <w:rsid w:val="00050C70"/>
    <w:rsid w:val="00050E2F"/>
    <w:rsid w:val="00051394"/>
    <w:rsid w:val="00051434"/>
    <w:rsid w:val="0005168A"/>
    <w:rsid w:val="000518F3"/>
    <w:rsid w:val="00051FEF"/>
    <w:rsid w:val="0005234B"/>
    <w:rsid w:val="000523F2"/>
    <w:rsid w:val="00052561"/>
    <w:rsid w:val="0005269F"/>
    <w:rsid w:val="000528D8"/>
    <w:rsid w:val="000529B4"/>
    <w:rsid w:val="00052D2B"/>
    <w:rsid w:val="00052FD3"/>
    <w:rsid w:val="000530B7"/>
    <w:rsid w:val="000534F2"/>
    <w:rsid w:val="00053DFD"/>
    <w:rsid w:val="00053FB7"/>
    <w:rsid w:val="00054084"/>
    <w:rsid w:val="0005412A"/>
    <w:rsid w:val="00054448"/>
    <w:rsid w:val="00054B86"/>
    <w:rsid w:val="00054D88"/>
    <w:rsid w:val="00054FB0"/>
    <w:rsid w:val="000550BF"/>
    <w:rsid w:val="0005543E"/>
    <w:rsid w:val="000557BB"/>
    <w:rsid w:val="000562B1"/>
    <w:rsid w:val="0005638B"/>
    <w:rsid w:val="0005643F"/>
    <w:rsid w:val="00056509"/>
    <w:rsid w:val="000566E0"/>
    <w:rsid w:val="000567A3"/>
    <w:rsid w:val="00056842"/>
    <w:rsid w:val="000568B4"/>
    <w:rsid w:val="00056AD2"/>
    <w:rsid w:val="0005709F"/>
    <w:rsid w:val="0005720E"/>
    <w:rsid w:val="00057257"/>
    <w:rsid w:val="00057699"/>
    <w:rsid w:val="000576DE"/>
    <w:rsid w:val="00057764"/>
    <w:rsid w:val="00057F10"/>
    <w:rsid w:val="00060299"/>
    <w:rsid w:val="000603E3"/>
    <w:rsid w:val="000604CB"/>
    <w:rsid w:val="00060573"/>
    <w:rsid w:val="00060B3A"/>
    <w:rsid w:val="00061132"/>
    <w:rsid w:val="00061310"/>
    <w:rsid w:val="0006177C"/>
    <w:rsid w:val="000619E8"/>
    <w:rsid w:val="000619F2"/>
    <w:rsid w:val="00061DC0"/>
    <w:rsid w:val="00061EF1"/>
    <w:rsid w:val="0006205B"/>
    <w:rsid w:val="00062121"/>
    <w:rsid w:val="0006266C"/>
    <w:rsid w:val="00062711"/>
    <w:rsid w:val="00062999"/>
    <w:rsid w:val="00062AE4"/>
    <w:rsid w:val="00062CA7"/>
    <w:rsid w:val="000630C4"/>
    <w:rsid w:val="00063267"/>
    <w:rsid w:val="00063297"/>
    <w:rsid w:val="0006358E"/>
    <w:rsid w:val="00063798"/>
    <w:rsid w:val="00064DD2"/>
    <w:rsid w:val="00064E14"/>
    <w:rsid w:val="00064EFE"/>
    <w:rsid w:val="00064F2B"/>
    <w:rsid w:val="000651E0"/>
    <w:rsid w:val="0006521D"/>
    <w:rsid w:val="00065261"/>
    <w:rsid w:val="00065328"/>
    <w:rsid w:val="00065357"/>
    <w:rsid w:val="00065364"/>
    <w:rsid w:val="00065841"/>
    <w:rsid w:val="00065F17"/>
    <w:rsid w:val="00065F30"/>
    <w:rsid w:val="000665FA"/>
    <w:rsid w:val="00066A0D"/>
    <w:rsid w:val="0006700D"/>
    <w:rsid w:val="00067295"/>
    <w:rsid w:val="0006731D"/>
    <w:rsid w:val="00067781"/>
    <w:rsid w:val="00067DD9"/>
    <w:rsid w:val="00067FDD"/>
    <w:rsid w:val="000700E4"/>
    <w:rsid w:val="00070141"/>
    <w:rsid w:val="00070149"/>
    <w:rsid w:val="00070668"/>
    <w:rsid w:val="000708D6"/>
    <w:rsid w:val="00070920"/>
    <w:rsid w:val="00070A40"/>
    <w:rsid w:val="00070A74"/>
    <w:rsid w:val="00070B82"/>
    <w:rsid w:val="00070C70"/>
    <w:rsid w:val="00070D45"/>
    <w:rsid w:val="00070F67"/>
    <w:rsid w:val="0007109A"/>
    <w:rsid w:val="000711F9"/>
    <w:rsid w:val="00071269"/>
    <w:rsid w:val="0007140F"/>
    <w:rsid w:val="0007155B"/>
    <w:rsid w:val="000717F6"/>
    <w:rsid w:val="00071A66"/>
    <w:rsid w:val="00071BBB"/>
    <w:rsid w:val="00071DCB"/>
    <w:rsid w:val="000721B1"/>
    <w:rsid w:val="00072265"/>
    <w:rsid w:val="000722D0"/>
    <w:rsid w:val="000723AD"/>
    <w:rsid w:val="00072AC5"/>
    <w:rsid w:val="00072BFC"/>
    <w:rsid w:val="00072F85"/>
    <w:rsid w:val="0007345E"/>
    <w:rsid w:val="00073B9F"/>
    <w:rsid w:val="00073D01"/>
    <w:rsid w:val="00073E32"/>
    <w:rsid w:val="0007403B"/>
    <w:rsid w:val="0007409D"/>
    <w:rsid w:val="0007410C"/>
    <w:rsid w:val="00074287"/>
    <w:rsid w:val="0007458C"/>
    <w:rsid w:val="000748AD"/>
    <w:rsid w:val="000748EA"/>
    <w:rsid w:val="00074BAE"/>
    <w:rsid w:val="0007506F"/>
    <w:rsid w:val="00075319"/>
    <w:rsid w:val="00075382"/>
    <w:rsid w:val="000754B3"/>
    <w:rsid w:val="000756EC"/>
    <w:rsid w:val="00075791"/>
    <w:rsid w:val="0007598E"/>
    <w:rsid w:val="00075A44"/>
    <w:rsid w:val="00075D88"/>
    <w:rsid w:val="0007610B"/>
    <w:rsid w:val="0007670A"/>
    <w:rsid w:val="00076794"/>
    <w:rsid w:val="00076A86"/>
    <w:rsid w:val="00076BBA"/>
    <w:rsid w:val="00076D79"/>
    <w:rsid w:val="00076ECD"/>
    <w:rsid w:val="00077091"/>
    <w:rsid w:val="00077109"/>
    <w:rsid w:val="000775C1"/>
    <w:rsid w:val="000775FD"/>
    <w:rsid w:val="00077615"/>
    <w:rsid w:val="000776B5"/>
    <w:rsid w:val="00077750"/>
    <w:rsid w:val="00077977"/>
    <w:rsid w:val="0008023A"/>
    <w:rsid w:val="000807D2"/>
    <w:rsid w:val="00080B1C"/>
    <w:rsid w:val="00080C1B"/>
    <w:rsid w:val="00080C55"/>
    <w:rsid w:val="00080DBD"/>
    <w:rsid w:val="00080E5F"/>
    <w:rsid w:val="00080F06"/>
    <w:rsid w:val="000813B8"/>
    <w:rsid w:val="000816EA"/>
    <w:rsid w:val="00081747"/>
    <w:rsid w:val="0008186D"/>
    <w:rsid w:val="00081903"/>
    <w:rsid w:val="00081C33"/>
    <w:rsid w:val="00081E4F"/>
    <w:rsid w:val="00081F0B"/>
    <w:rsid w:val="0008228D"/>
    <w:rsid w:val="00082417"/>
    <w:rsid w:val="00082D8F"/>
    <w:rsid w:val="000831BE"/>
    <w:rsid w:val="0008363A"/>
    <w:rsid w:val="00083813"/>
    <w:rsid w:val="00083A61"/>
    <w:rsid w:val="00083B33"/>
    <w:rsid w:val="00083E7C"/>
    <w:rsid w:val="00084395"/>
    <w:rsid w:val="000843A6"/>
    <w:rsid w:val="000844EC"/>
    <w:rsid w:val="0008481B"/>
    <w:rsid w:val="000849C9"/>
    <w:rsid w:val="00084BEF"/>
    <w:rsid w:val="00084D62"/>
    <w:rsid w:val="00085C73"/>
    <w:rsid w:val="000865E7"/>
    <w:rsid w:val="0008687F"/>
    <w:rsid w:val="00086CA6"/>
    <w:rsid w:val="0008702D"/>
    <w:rsid w:val="00087B6E"/>
    <w:rsid w:val="00087C4E"/>
    <w:rsid w:val="00087C96"/>
    <w:rsid w:val="00087E73"/>
    <w:rsid w:val="0009037F"/>
    <w:rsid w:val="000906C6"/>
    <w:rsid w:val="00090776"/>
    <w:rsid w:val="000907A8"/>
    <w:rsid w:val="0009084A"/>
    <w:rsid w:val="00090A34"/>
    <w:rsid w:val="00090C0E"/>
    <w:rsid w:val="00090C46"/>
    <w:rsid w:val="00090C60"/>
    <w:rsid w:val="000911AE"/>
    <w:rsid w:val="000912A0"/>
    <w:rsid w:val="0009146F"/>
    <w:rsid w:val="0009175F"/>
    <w:rsid w:val="00091805"/>
    <w:rsid w:val="00091E89"/>
    <w:rsid w:val="000922C8"/>
    <w:rsid w:val="000922E5"/>
    <w:rsid w:val="000925E6"/>
    <w:rsid w:val="0009265E"/>
    <w:rsid w:val="00092A98"/>
    <w:rsid w:val="00092DEF"/>
    <w:rsid w:val="0009360F"/>
    <w:rsid w:val="000936D9"/>
    <w:rsid w:val="0009373B"/>
    <w:rsid w:val="0009373D"/>
    <w:rsid w:val="00093A5D"/>
    <w:rsid w:val="00093A97"/>
    <w:rsid w:val="00093B98"/>
    <w:rsid w:val="00093C47"/>
    <w:rsid w:val="00093EEF"/>
    <w:rsid w:val="00094330"/>
    <w:rsid w:val="0009478B"/>
    <w:rsid w:val="000948DD"/>
    <w:rsid w:val="00094B45"/>
    <w:rsid w:val="00094EEE"/>
    <w:rsid w:val="00095059"/>
    <w:rsid w:val="000950D6"/>
    <w:rsid w:val="00095236"/>
    <w:rsid w:val="00095403"/>
    <w:rsid w:val="000955BC"/>
    <w:rsid w:val="00095625"/>
    <w:rsid w:val="00095CD1"/>
    <w:rsid w:val="000961D6"/>
    <w:rsid w:val="0009658F"/>
    <w:rsid w:val="000968AF"/>
    <w:rsid w:val="00096BFE"/>
    <w:rsid w:val="0009717F"/>
    <w:rsid w:val="0009720F"/>
    <w:rsid w:val="0009726F"/>
    <w:rsid w:val="0009737B"/>
    <w:rsid w:val="0009748A"/>
    <w:rsid w:val="0009750D"/>
    <w:rsid w:val="000975A7"/>
    <w:rsid w:val="000975AC"/>
    <w:rsid w:val="000976C3"/>
    <w:rsid w:val="0009794C"/>
    <w:rsid w:val="000979A5"/>
    <w:rsid w:val="00097CB3"/>
    <w:rsid w:val="00097FD2"/>
    <w:rsid w:val="000A014E"/>
    <w:rsid w:val="000A0341"/>
    <w:rsid w:val="000A0C1C"/>
    <w:rsid w:val="000A101D"/>
    <w:rsid w:val="000A1119"/>
    <w:rsid w:val="000A11C5"/>
    <w:rsid w:val="000A1292"/>
    <w:rsid w:val="000A133C"/>
    <w:rsid w:val="000A149A"/>
    <w:rsid w:val="000A14C5"/>
    <w:rsid w:val="000A15A8"/>
    <w:rsid w:val="000A15AE"/>
    <w:rsid w:val="000A1710"/>
    <w:rsid w:val="000A1A47"/>
    <w:rsid w:val="000A1A9B"/>
    <w:rsid w:val="000A1BD0"/>
    <w:rsid w:val="000A1E70"/>
    <w:rsid w:val="000A1E80"/>
    <w:rsid w:val="000A1F1D"/>
    <w:rsid w:val="000A1F68"/>
    <w:rsid w:val="000A20F5"/>
    <w:rsid w:val="000A2340"/>
    <w:rsid w:val="000A2603"/>
    <w:rsid w:val="000A2BD1"/>
    <w:rsid w:val="000A2C98"/>
    <w:rsid w:val="000A2E41"/>
    <w:rsid w:val="000A3472"/>
    <w:rsid w:val="000A34A4"/>
    <w:rsid w:val="000A39E3"/>
    <w:rsid w:val="000A3A07"/>
    <w:rsid w:val="000A3C35"/>
    <w:rsid w:val="000A4073"/>
    <w:rsid w:val="000A4309"/>
    <w:rsid w:val="000A4463"/>
    <w:rsid w:val="000A49BC"/>
    <w:rsid w:val="000A5019"/>
    <w:rsid w:val="000A55E8"/>
    <w:rsid w:val="000A569C"/>
    <w:rsid w:val="000A56FC"/>
    <w:rsid w:val="000A57B0"/>
    <w:rsid w:val="000A63AF"/>
    <w:rsid w:val="000A673D"/>
    <w:rsid w:val="000A6A0E"/>
    <w:rsid w:val="000A6C45"/>
    <w:rsid w:val="000A6CA1"/>
    <w:rsid w:val="000A6D08"/>
    <w:rsid w:val="000A6DBB"/>
    <w:rsid w:val="000A6EB8"/>
    <w:rsid w:val="000A72FD"/>
    <w:rsid w:val="000A74AA"/>
    <w:rsid w:val="000A7529"/>
    <w:rsid w:val="000A759D"/>
    <w:rsid w:val="000A75B3"/>
    <w:rsid w:val="000A75DA"/>
    <w:rsid w:val="000A769E"/>
    <w:rsid w:val="000A79AB"/>
    <w:rsid w:val="000A7AA1"/>
    <w:rsid w:val="000A7AED"/>
    <w:rsid w:val="000A7BFA"/>
    <w:rsid w:val="000A7C34"/>
    <w:rsid w:val="000A7F2D"/>
    <w:rsid w:val="000A7FA7"/>
    <w:rsid w:val="000A7FD9"/>
    <w:rsid w:val="000B0117"/>
    <w:rsid w:val="000B01AE"/>
    <w:rsid w:val="000B02D2"/>
    <w:rsid w:val="000B0418"/>
    <w:rsid w:val="000B08C7"/>
    <w:rsid w:val="000B08F8"/>
    <w:rsid w:val="000B09C2"/>
    <w:rsid w:val="000B0A4C"/>
    <w:rsid w:val="000B0AB7"/>
    <w:rsid w:val="000B0AC2"/>
    <w:rsid w:val="000B106D"/>
    <w:rsid w:val="000B1434"/>
    <w:rsid w:val="000B1573"/>
    <w:rsid w:val="000B195E"/>
    <w:rsid w:val="000B1A99"/>
    <w:rsid w:val="000B1D82"/>
    <w:rsid w:val="000B2046"/>
    <w:rsid w:val="000B2237"/>
    <w:rsid w:val="000B2345"/>
    <w:rsid w:val="000B24CB"/>
    <w:rsid w:val="000B2867"/>
    <w:rsid w:val="000B29B0"/>
    <w:rsid w:val="000B2E6E"/>
    <w:rsid w:val="000B36CC"/>
    <w:rsid w:val="000B3D51"/>
    <w:rsid w:val="000B3F73"/>
    <w:rsid w:val="000B3FEF"/>
    <w:rsid w:val="000B41F0"/>
    <w:rsid w:val="000B45FC"/>
    <w:rsid w:val="000B4678"/>
    <w:rsid w:val="000B5015"/>
    <w:rsid w:val="000B5068"/>
    <w:rsid w:val="000B50B2"/>
    <w:rsid w:val="000B54FD"/>
    <w:rsid w:val="000B5507"/>
    <w:rsid w:val="000B576A"/>
    <w:rsid w:val="000B57E0"/>
    <w:rsid w:val="000B5BA7"/>
    <w:rsid w:val="000B5C18"/>
    <w:rsid w:val="000B5EF6"/>
    <w:rsid w:val="000B6145"/>
    <w:rsid w:val="000B615D"/>
    <w:rsid w:val="000B618B"/>
    <w:rsid w:val="000B645D"/>
    <w:rsid w:val="000B678E"/>
    <w:rsid w:val="000B6947"/>
    <w:rsid w:val="000B6C7F"/>
    <w:rsid w:val="000B6CE4"/>
    <w:rsid w:val="000B6D47"/>
    <w:rsid w:val="000B72F7"/>
    <w:rsid w:val="000B7768"/>
    <w:rsid w:val="000B7AF4"/>
    <w:rsid w:val="000C0564"/>
    <w:rsid w:val="000C06EF"/>
    <w:rsid w:val="000C09F9"/>
    <w:rsid w:val="000C0ACB"/>
    <w:rsid w:val="000C0F27"/>
    <w:rsid w:val="000C1426"/>
    <w:rsid w:val="000C1505"/>
    <w:rsid w:val="000C15F7"/>
    <w:rsid w:val="000C1895"/>
    <w:rsid w:val="000C1F5B"/>
    <w:rsid w:val="000C1FF0"/>
    <w:rsid w:val="000C242A"/>
    <w:rsid w:val="000C24DE"/>
    <w:rsid w:val="000C2610"/>
    <w:rsid w:val="000C2615"/>
    <w:rsid w:val="000C29CD"/>
    <w:rsid w:val="000C2BAE"/>
    <w:rsid w:val="000C30E3"/>
    <w:rsid w:val="000C3163"/>
    <w:rsid w:val="000C360F"/>
    <w:rsid w:val="000C38FE"/>
    <w:rsid w:val="000C4158"/>
    <w:rsid w:val="000C4737"/>
    <w:rsid w:val="000C4DA8"/>
    <w:rsid w:val="000C547E"/>
    <w:rsid w:val="000C57AA"/>
    <w:rsid w:val="000C58E6"/>
    <w:rsid w:val="000C5D3D"/>
    <w:rsid w:val="000C5DED"/>
    <w:rsid w:val="000C6A73"/>
    <w:rsid w:val="000C6CB4"/>
    <w:rsid w:val="000C6E21"/>
    <w:rsid w:val="000C72A3"/>
    <w:rsid w:val="000C72BA"/>
    <w:rsid w:val="000C765D"/>
    <w:rsid w:val="000C7811"/>
    <w:rsid w:val="000C7A11"/>
    <w:rsid w:val="000C7D94"/>
    <w:rsid w:val="000C7FED"/>
    <w:rsid w:val="000D0060"/>
    <w:rsid w:val="000D0160"/>
    <w:rsid w:val="000D0A97"/>
    <w:rsid w:val="000D0B0A"/>
    <w:rsid w:val="000D0C9D"/>
    <w:rsid w:val="000D11F4"/>
    <w:rsid w:val="000D1703"/>
    <w:rsid w:val="000D1A9C"/>
    <w:rsid w:val="000D1C59"/>
    <w:rsid w:val="000D1FCA"/>
    <w:rsid w:val="000D229E"/>
    <w:rsid w:val="000D240C"/>
    <w:rsid w:val="000D2464"/>
    <w:rsid w:val="000D251B"/>
    <w:rsid w:val="000D2622"/>
    <w:rsid w:val="000D2876"/>
    <w:rsid w:val="000D2991"/>
    <w:rsid w:val="000D2A2F"/>
    <w:rsid w:val="000D2AB7"/>
    <w:rsid w:val="000D2D33"/>
    <w:rsid w:val="000D2FF5"/>
    <w:rsid w:val="000D30DE"/>
    <w:rsid w:val="000D32F9"/>
    <w:rsid w:val="000D34E9"/>
    <w:rsid w:val="000D3617"/>
    <w:rsid w:val="000D3E33"/>
    <w:rsid w:val="000D4063"/>
    <w:rsid w:val="000D429A"/>
    <w:rsid w:val="000D4547"/>
    <w:rsid w:val="000D471B"/>
    <w:rsid w:val="000D494D"/>
    <w:rsid w:val="000D4F5A"/>
    <w:rsid w:val="000D4F88"/>
    <w:rsid w:val="000D5106"/>
    <w:rsid w:val="000D51C6"/>
    <w:rsid w:val="000D51D0"/>
    <w:rsid w:val="000D53D2"/>
    <w:rsid w:val="000D559D"/>
    <w:rsid w:val="000D5620"/>
    <w:rsid w:val="000D573A"/>
    <w:rsid w:val="000D578A"/>
    <w:rsid w:val="000D57E2"/>
    <w:rsid w:val="000D58B4"/>
    <w:rsid w:val="000D58E4"/>
    <w:rsid w:val="000D64B4"/>
    <w:rsid w:val="000D6834"/>
    <w:rsid w:val="000D6939"/>
    <w:rsid w:val="000D69E9"/>
    <w:rsid w:val="000D6AF0"/>
    <w:rsid w:val="000D6B1E"/>
    <w:rsid w:val="000D6B4B"/>
    <w:rsid w:val="000D6B6B"/>
    <w:rsid w:val="000D70BE"/>
    <w:rsid w:val="000D7708"/>
    <w:rsid w:val="000D7F0E"/>
    <w:rsid w:val="000E0000"/>
    <w:rsid w:val="000E0155"/>
    <w:rsid w:val="000E01DF"/>
    <w:rsid w:val="000E049C"/>
    <w:rsid w:val="000E06E3"/>
    <w:rsid w:val="000E0760"/>
    <w:rsid w:val="000E0848"/>
    <w:rsid w:val="000E0B59"/>
    <w:rsid w:val="000E1344"/>
    <w:rsid w:val="000E13D8"/>
    <w:rsid w:val="000E17CC"/>
    <w:rsid w:val="000E187E"/>
    <w:rsid w:val="000E196F"/>
    <w:rsid w:val="000E20A7"/>
    <w:rsid w:val="000E20BD"/>
    <w:rsid w:val="000E21A4"/>
    <w:rsid w:val="000E22CE"/>
    <w:rsid w:val="000E2B7F"/>
    <w:rsid w:val="000E2C50"/>
    <w:rsid w:val="000E32D2"/>
    <w:rsid w:val="000E35C2"/>
    <w:rsid w:val="000E3984"/>
    <w:rsid w:val="000E3CB5"/>
    <w:rsid w:val="000E3E78"/>
    <w:rsid w:val="000E443F"/>
    <w:rsid w:val="000E4936"/>
    <w:rsid w:val="000E4965"/>
    <w:rsid w:val="000E49F9"/>
    <w:rsid w:val="000E4DAD"/>
    <w:rsid w:val="000E4EFA"/>
    <w:rsid w:val="000E50C9"/>
    <w:rsid w:val="000E54A1"/>
    <w:rsid w:val="000E5AD4"/>
    <w:rsid w:val="000E5F0D"/>
    <w:rsid w:val="000E61ED"/>
    <w:rsid w:val="000E646C"/>
    <w:rsid w:val="000E6B5F"/>
    <w:rsid w:val="000E72B7"/>
    <w:rsid w:val="000E7381"/>
    <w:rsid w:val="000E7598"/>
    <w:rsid w:val="000E76DE"/>
    <w:rsid w:val="000E78B6"/>
    <w:rsid w:val="000E79C2"/>
    <w:rsid w:val="000E7B45"/>
    <w:rsid w:val="000E7DAD"/>
    <w:rsid w:val="000F0137"/>
    <w:rsid w:val="000F0226"/>
    <w:rsid w:val="000F0300"/>
    <w:rsid w:val="000F0350"/>
    <w:rsid w:val="000F0652"/>
    <w:rsid w:val="000F0961"/>
    <w:rsid w:val="000F0963"/>
    <w:rsid w:val="000F0B11"/>
    <w:rsid w:val="000F0C3F"/>
    <w:rsid w:val="000F0D8F"/>
    <w:rsid w:val="000F0F19"/>
    <w:rsid w:val="000F0FAB"/>
    <w:rsid w:val="000F165B"/>
    <w:rsid w:val="000F1A5C"/>
    <w:rsid w:val="000F1B55"/>
    <w:rsid w:val="000F1DEB"/>
    <w:rsid w:val="000F1F4A"/>
    <w:rsid w:val="000F24BB"/>
    <w:rsid w:val="000F24F0"/>
    <w:rsid w:val="000F271B"/>
    <w:rsid w:val="000F27AD"/>
    <w:rsid w:val="000F2C30"/>
    <w:rsid w:val="000F2E5D"/>
    <w:rsid w:val="000F30B0"/>
    <w:rsid w:val="000F31BD"/>
    <w:rsid w:val="000F3489"/>
    <w:rsid w:val="000F3660"/>
    <w:rsid w:val="000F386E"/>
    <w:rsid w:val="000F3A2F"/>
    <w:rsid w:val="000F40E9"/>
    <w:rsid w:val="000F42BE"/>
    <w:rsid w:val="000F43E0"/>
    <w:rsid w:val="000F4435"/>
    <w:rsid w:val="000F45E0"/>
    <w:rsid w:val="000F46E5"/>
    <w:rsid w:val="000F499E"/>
    <w:rsid w:val="000F4D4C"/>
    <w:rsid w:val="000F4D9C"/>
    <w:rsid w:val="000F4E27"/>
    <w:rsid w:val="000F4E51"/>
    <w:rsid w:val="000F500E"/>
    <w:rsid w:val="000F513E"/>
    <w:rsid w:val="000F5183"/>
    <w:rsid w:val="000F5452"/>
    <w:rsid w:val="000F563D"/>
    <w:rsid w:val="000F5784"/>
    <w:rsid w:val="000F5A3B"/>
    <w:rsid w:val="000F5CAE"/>
    <w:rsid w:val="000F5EFE"/>
    <w:rsid w:val="000F65F1"/>
    <w:rsid w:val="000F68D2"/>
    <w:rsid w:val="000F749B"/>
    <w:rsid w:val="000F75FB"/>
    <w:rsid w:val="000F77F2"/>
    <w:rsid w:val="000F7A21"/>
    <w:rsid w:val="000F7C67"/>
    <w:rsid w:val="000F7C98"/>
    <w:rsid w:val="001002D5"/>
    <w:rsid w:val="00100482"/>
    <w:rsid w:val="001004F7"/>
    <w:rsid w:val="001005E4"/>
    <w:rsid w:val="001005FF"/>
    <w:rsid w:val="00100688"/>
    <w:rsid w:val="00100B44"/>
    <w:rsid w:val="00100B52"/>
    <w:rsid w:val="00100E9F"/>
    <w:rsid w:val="001016CF"/>
    <w:rsid w:val="00101842"/>
    <w:rsid w:val="00101CD3"/>
    <w:rsid w:val="00101D66"/>
    <w:rsid w:val="00101FB4"/>
    <w:rsid w:val="001021B0"/>
    <w:rsid w:val="00102966"/>
    <w:rsid w:val="00102985"/>
    <w:rsid w:val="00102D13"/>
    <w:rsid w:val="00102FA8"/>
    <w:rsid w:val="00103025"/>
    <w:rsid w:val="00103716"/>
    <w:rsid w:val="00103924"/>
    <w:rsid w:val="0010395F"/>
    <w:rsid w:val="00103C3C"/>
    <w:rsid w:val="00103CE4"/>
    <w:rsid w:val="00103E5D"/>
    <w:rsid w:val="00104091"/>
    <w:rsid w:val="001041DE"/>
    <w:rsid w:val="00104608"/>
    <w:rsid w:val="0010479C"/>
    <w:rsid w:val="00104CE1"/>
    <w:rsid w:val="00104EB4"/>
    <w:rsid w:val="0010517B"/>
    <w:rsid w:val="0010524D"/>
    <w:rsid w:val="0010557D"/>
    <w:rsid w:val="00105632"/>
    <w:rsid w:val="00105750"/>
    <w:rsid w:val="00105F95"/>
    <w:rsid w:val="00105FD6"/>
    <w:rsid w:val="001060AC"/>
    <w:rsid w:val="001061C2"/>
    <w:rsid w:val="001061DA"/>
    <w:rsid w:val="00106416"/>
    <w:rsid w:val="001065ED"/>
    <w:rsid w:val="001065FC"/>
    <w:rsid w:val="00106608"/>
    <w:rsid w:val="00106745"/>
    <w:rsid w:val="001068DD"/>
    <w:rsid w:val="00106B8A"/>
    <w:rsid w:val="00106D99"/>
    <w:rsid w:val="00106E55"/>
    <w:rsid w:val="00107395"/>
    <w:rsid w:val="00107593"/>
    <w:rsid w:val="00107C06"/>
    <w:rsid w:val="00107D63"/>
    <w:rsid w:val="00107D6E"/>
    <w:rsid w:val="0011005D"/>
    <w:rsid w:val="001101CA"/>
    <w:rsid w:val="001101D7"/>
    <w:rsid w:val="001101E8"/>
    <w:rsid w:val="001102B3"/>
    <w:rsid w:val="00110D51"/>
    <w:rsid w:val="00110E3C"/>
    <w:rsid w:val="00110F6A"/>
    <w:rsid w:val="001117BF"/>
    <w:rsid w:val="001119BC"/>
    <w:rsid w:val="00111AA8"/>
    <w:rsid w:val="00111BAA"/>
    <w:rsid w:val="00111BE1"/>
    <w:rsid w:val="00111FA3"/>
    <w:rsid w:val="00112025"/>
    <w:rsid w:val="00112285"/>
    <w:rsid w:val="00112473"/>
    <w:rsid w:val="001125EB"/>
    <w:rsid w:val="001126C0"/>
    <w:rsid w:val="001127DA"/>
    <w:rsid w:val="00112887"/>
    <w:rsid w:val="001129A3"/>
    <w:rsid w:val="00112A78"/>
    <w:rsid w:val="00112CC1"/>
    <w:rsid w:val="00112DBE"/>
    <w:rsid w:val="0011322C"/>
    <w:rsid w:val="001133A1"/>
    <w:rsid w:val="001133DA"/>
    <w:rsid w:val="001138A6"/>
    <w:rsid w:val="00113A6A"/>
    <w:rsid w:val="0011403D"/>
    <w:rsid w:val="001141A7"/>
    <w:rsid w:val="00114444"/>
    <w:rsid w:val="00114458"/>
    <w:rsid w:val="001147C4"/>
    <w:rsid w:val="00114978"/>
    <w:rsid w:val="00114E0A"/>
    <w:rsid w:val="00115226"/>
    <w:rsid w:val="0011561A"/>
    <w:rsid w:val="00115677"/>
    <w:rsid w:val="00115871"/>
    <w:rsid w:val="00115A04"/>
    <w:rsid w:val="00115CD5"/>
    <w:rsid w:val="00115DA3"/>
    <w:rsid w:val="00115E6F"/>
    <w:rsid w:val="001162C6"/>
    <w:rsid w:val="001168BA"/>
    <w:rsid w:val="00116928"/>
    <w:rsid w:val="00116A55"/>
    <w:rsid w:val="00116A99"/>
    <w:rsid w:val="00116B00"/>
    <w:rsid w:val="00116DBE"/>
    <w:rsid w:val="00117228"/>
    <w:rsid w:val="0011776B"/>
    <w:rsid w:val="00117BCD"/>
    <w:rsid w:val="00117C0D"/>
    <w:rsid w:val="00117E9F"/>
    <w:rsid w:val="00117F26"/>
    <w:rsid w:val="001201D6"/>
    <w:rsid w:val="0012048B"/>
    <w:rsid w:val="0012058F"/>
    <w:rsid w:val="00120BA6"/>
    <w:rsid w:val="00120EA6"/>
    <w:rsid w:val="0012115E"/>
    <w:rsid w:val="001211E3"/>
    <w:rsid w:val="00121301"/>
    <w:rsid w:val="0012130D"/>
    <w:rsid w:val="00121674"/>
    <w:rsid w:val="00121703"/>
    <w:rsid w:val="0012176B"/>
    <w:rsid w:val="00121B1D"/>
    <w:rsid w:val="00121F1B"/>
    <w:rsid w:val="001220AA"/>
    <w:rsid w:val="001220F2"/>
    <w:rsid w:val="001221B3"/>
    <w:rsid w:val="00122228"/>
    <w:rsid w:val="0012225B"/>
    <w:rsid w:val="0012233C"/>
    <w:rsid w:val="00122576"/>
    <w:rsid w:val="00122877"/>
    <w:rsid w:val="00122A20"/>
    <w:rsid w:val="00122B00"/>
    <w:rsid w:val="00122D9B"/>
    <w:rsid w:val="00123025"/>
    <w:rsid w:val="00123491"/>
    <w:rsid w:val="00123566"/>
    <w:rsid w:val="00123746"/>
    <w:rsid w:val="0012386F"/>
    <w:rsid w:val="00123BEA"/>
    <w:rsid w:val="00123C5C"/>
    <w:rsid w:val="00123C9F"/>
    <w:rsid w:val="00123E65"/>
    <w:rsid w:val="00123EB6"/>
    <w:rsid w:val="0012461E"/>
    <w:rsid w:val="0012468B"/>
    <w:rsid w:val="001248EB"/>
    <w:rsid w:val="00124B1B"/>
    <w:rsid w:val="00124BBB"/>
    <w:rsid w:val="00124CFD"/>
    <w:rsid w:val="00124D3F"/>
    <w:rsid w:val="00124D4F"/>
    <w:rsid w:val="00125003"/>
    <w:rsid w:val="001251FF"/>
    <w:rsid w:val="0012527D"/>
    <w:rsid w:val="0012528E"/>
    <w:rsid w:val="001252BE"/>
    <w:rsid w:val="001253F7"/>
    <w:rsid w:val="001256EC"/>
    <w:rsid w:val="00125998"/>
    <w:rsid w:val="001259BD"/>
    <w:rsid w:val="00125A5E"/>
    <w:rsid w:val="00125B1F"/>
    <w:rsid w:val="00125B6F"/>
    <w:rsid w:val="00125C05"/>
    <w:rsid w:val="00125D8F"/>
    <w:rsid w:val="00125F37"/>
    <w:rsid w:val="00125FD5"/>
    <w:rsid w:val="00126269"/>
    <w:rsid w:val="001262C5"/>
    <w:rsid w:val="0012659E"/>
    <w:rsid w:val="001267F7"/>
    <w:rsid w:val="00126B26"/>
    <w:rsid w:val="00126C30"/>
    <w:rsid w:val="0012708D"/>
    <w:rsid w:val="001273C3"/>
    <w:rsid w:val="001273F1"/>
    <w:rsid w:val="00127712"/>
    <w:rsid w:val="001277EF"/>
    <w:rsid w:val="00127809"/>
    <w:rsid w:val="00127C30"/>
    <w:rsid w:val="0013003E"/>
    <w:rsid w:val="0013023E"/>
    <w:rsid w:val="00130311"/>
    <w:rsid w:val="00130680"/>
    <w:rsid w:val="001307CF"/>
    <w:rsid w:val="001308EA"/>
    <w:rsid w:val="00130A45"/>
    <w:rsid w:val="00130ECA"/>
    <w:rsid w:val="001310C4"/>
    <w:rsid w:val="00131415"/>
    <w:rsid w:val="0013167C"/>
    <w:rsid w:val="0013187A"/>
    <w:rsid w:val="00131950"/>
    <w:rsid w:val="00131AAD"/>
    <w:rsid w:val="00131BF1"/>
    <w:rsid w:val="001325BB"/>
    <w:rsid w:val="001326A0"/>
    <w:rsid w:val="00132960"/>
    <w:rsid w:val="00132A3A"/>
    <w:rsid w:val="00132BD3"/>
    <w:rsid w:val="00133394"/>
    <w:rsid w:val="001334F3"/>
    <w:rsid w:val="001336B5"/>
    <w:rsid w:val="001337E7"/>
    <w:rsid w:val="001338DB"/>
    <w:rsid w:val="00133A34"/>
    <w:rsid w:val="00133B28"/>
    <w:rsid w:val="00133B48"/>
    <w:rsid w:val="00133C20"/>
    <w:rsid w:val="00133C7D"/>
    <w:rsid w:val="00134058"/>
    <w:rsid w:val="001340F7"/>
    <w:rsid w:val="0013419C"/>
    <w:rsid w:val="00134A31"/>
    <w:rsid w:val="00134D80"/>
    <w:rsid w:val="00134DFD"/>
    <w:rsid w:val="0013512A"/>
    <w:rsid w:val="00135418"/>
    <w:rsid w:val="00135494"/>
    <w:rsid w:val="001354F4"/>
    <w:rsid w:val="00135713"/>
    <w:rsid w:val="00135727"/>
    <w:rsid w:val="001358B6"/>
    <w:rsid w:val="00135B8C"/>
    <w:rsid w:val="00135CDC"/>
    <w:rsid w:val="001363A7"/>
    <w:rsid w:val="0013666D"/>
    <w:rsid w:val="0013677B"/>
    <w:rsid w:val="00136DB4"/>
    <w:rsid w:val="00136F9F"/>
    <w:rsid w:val="00136FFF"/>
    <w:rsid w:val="00137015"/>
    <w:rsid w:val="00137254"/>
    <w:rsid w:val="00137517"/>
    <w:rsid w:val="0013751F"/>
    <w:rsid w:val="00137780"/>
    <w:rsid w:val="001377D8"/>
    <w:rsid w:val="00140118"/>
    <w:rsid w:val="00140454"/>
    <w:rsid w:val="001404A3"/>
    <w:rsid w:val="00140A7D"/>
    <w:rsid w:val="00140AD1"/>
    <w:rsid w:val="00140CE4"/>
    <w:rsid w:val="0014114F"/>
    <w:rsid w:val="00141525"/>
    <w:rsid w:val="0014165A"/>
    <w:rsid w:val="00141673"/>
    <w:rsid w:val="00141781"/>
    <w:rsid w:val="001418EF"/>
    <w:rsid w:val="00141C75"/>
    <w:rsid w:val="00141C7B"/>
    <w:rsid w:val="00141DAC"/>
    <w:rsid w:val="0014213E"/>
    <w:rsid w:val="00142371"/>
    <w:rsid w:val="00142651"/>
    <w:rsid w:val="0014270C"/>
    <w:rsid w:val="00142B4F"/>
    <w:rsid w:val="00142CC1"/>
    <w:rsid w:val="00142EB2"/>
    <w:rsid w:val="00142FE5"/>
    <w:rsid w:val="0014338D"/>
    <w:rsid w:val="00143A63"/>
    <w:rsid w:val="00143AB5"/>
    <w:rsid w:val="00143CF3"/>
    <w:rsid w:val="00143DE9"/>
    <w:rsid w:val="00143EC6"/>
    <w:rsid w:val="00143FDC"/>
    <w:rsid w:val="0014406D"/>
    <w:rsid w:val="001440C2"/>
    <w:rsid w:val="00144199"/>
    <w:rsid w:val="001442F9"/>
    <w:rsid w:val="0014446A"/>
    <w:rsid w:val="001444F6"/>
    <w:rsid w:val="001446CA"/>
    <w:rsid w:val="001447B1"/>
    <w:rsid w:val="001447BF"/>
    <w:rsid w:val="00144943"/>
    <w:rsid w:val="00144AB4"/>
    <w:rsid w:val="00144EDA"/>
    <w:rsid w:val="0014503E"/>
    <w:rsid w:val="00145065"/>
    <w:rsid w:val="0014530A"/>
    <w:rsid w:val="001453D3"/>
    <w:rsid w:val="00145416"/>
    <w:rsid w:val="00145543"/>
    <w:rsid w:val="001457C6"/>
    <w:rsid w:val="00145A4F"/>
    <w:rsid w:val="001462FD"/>
    <w:rsid w:val="001463CB"/>
    <w:rsid w:val="00146600"/>
    <w:rsid w:val="00146963"/>
    <w:rsid w:val="0014781B"/>
    <w:rsid w:val="001479BE"/>
    <w:rsid w:val="00150008"/>
    <w:rsid w:val="001500B8"/>
    <w:rsid w:val="0015061C"/>
    <w:rsid w:val="00150871"/>
    <w:rsid w:val="001508AF"/>
    <w:rsid w:val="00150A72"/>
    <w:rsid w:val="00151276"/>
    <w:rsid w:val="001514AA"/>
    <w:rsid w:val="001514D0"/>
    <w:rsid w:val="001516EB"/>
    <w:rsid w:val="00151A7C"/>
    <w:rsid w:val="00152081"/>
    <w:rsid w:val="001520A8"/>
    <w:rsid w:val="00152350"/>
    <w:rsid w:val="0015252F"/>
    <w:rsid w:val="00153067"/>
    <w:rsid w:val="00153081"/>
    <w:rsid w:val="001539B3"/>
    <w:rsid w:val="00153E71"/>
    <w:rsid w:val="00154050"/>
    <w:rsid w:val="00154377"/>
    <w:rsid w:val="001545C3"/>
    <w:rsid w:val="00154C1F"/>
    <w:rsid w:val="00154CCC"/>
    <w:rsid w:val="00154D81"/>
    <w:rsid w:val="001551CE"/>
    <w:rsid w:val="00155553"/>
    <w:rsid w:val="0015573E"/>
    <w:rsid w:val="00155968"/>
    <w:rsid w:val="00155ED2"/>
    <w:rsid w:val="0015606C"/>
    <w:rsid w:val="00156856"/>
    <w:rsid w:val="001568D5"/>
    <w:rsid w:val="00156A1F"/>
    <w:rsid w:val="00156B2A"/>
    <w:rsid w:val="00156D26"/>
    <w:rsid w:val="00156E87"/>
    <w:rsid w:val="001571A2"/>
    <w:rsid w:val="00157217"/>
    <w:rsid w:val="0015746D"/>
    <w:rsid w:val="001574DC"/>
    <w:rsid w:val="0015751F"/>
    <w:rsid w:val="0015794A"/>
    <w:rsid w:val="001579B3"/>
    <w:rsid w:val="001579ED"/>
    <w:rsid w:val="00157B1E"/>
    <w:rsid w:val="0016014E"/>
    <w:rsid w:val="0016023D"/>
    <w:rsid w:val="0016049B"/>
    <w:rsid w:val="001607EF"/>
    <w:rsid w:val="001609C1"/>
    <w:rsid w:val="00160A67"/>
    <w:rsid w:val="00160C7D"/>
    <w:rsid w:val="00160CAB"/>
    <w:rsid w:val="00160CCD"/>
    <w:rsid w:val="00160CD1"/>
    <w:rsid w:val="00160D13"/>
    <w:rsid w:val="00160F48"/>
    <w:rsid w:val="00161326"/>
    <w:rsid w:val="001615DC"/>
    <w:rsid w:val="001619A0"/>
    <w:rsid w:val="00161CD4"/>
    <w:rsid w:val="00161F86"/>
    <w:rsid w:val="0016262A"/>
    <w:rsid w:val="0016281E"/>
    <w:rsid w:val="00162853"/>
    <w:rsid w:val="00162B66"/>
    <w:rsid w:val="00162D67"/>
    <w:rsid w:val="00162E31"/>
    <w:rsid w:val="0016350C"/>
    <w:rsid w:val="00163632"/>
    <w:rsid w:val="0016385E"/>
    <w:rsid w:val="00163A71"/>
    <w:rsid w:val="00163B8C"/>
    <w:rsid w:val="0016413D"/>
    <w:rsid w:val="00164170"/>
    <w:rsid w:val="0016431A"/>
    <w:rsid w:val="00164565"/>
    <w:rsid w:val="001648D9"/>
    <w:rsid w:val="00164967"/>
    <w:rsid w:val="00164C18"/>
    <w:rsid w:val="00164C3B"/>
    <w:rsid w:val="00164E47"/>
    <w:rsid w:val="001652F4"/>
    <w:rsid w:val="0016543A"/>
    <w:rsid w:val="001654B2"/>
    <w:rsid w:val="00165556"/>
    <w:rsid w:val="00165674"/>
    <w:rsid w:val="001656E1"/>
    <w:rsid w:val="00165841"/>
    <w:rsid w:val="001658BC"/>
    <w:rsid w:val="00165B3E"/>
    <w:rsid w:val="00165BDC"/>
    <w:rsid w:val="00165BEC"/>
    <w:rsid w:val="00165F2E"/>
    <w:rsid w:val="00166349"/>
    <w:rsid w:val="001663A2"/>
    <w:rsid w:val="001672B2"/>
    <w:rsid w:val="001673C5"/>
    <w:rsid w:val="00167440"/>
    <w:rsid w:val="00167681"/>
    <w:rsid w:val="00167748"/>
    <w:rsid w:val="001701D6"/>
    <w:rsid w:val="00170384"/>
    <w:rsid w:val="001704CB"/>
    <w:rsid w:val="0017065C"/>
    <w:rsid w:val="001707B0"/>
    <w:rsid w:val="001707B3"/>
    <w:rsid w:val="00170C41"/>
    <w:rsid w:val="00170C9F"/>
    <w:rsid w:val="001713FA"/>
    <w:rsid w:val="00171959"/>
    <w:rsid w:val="00171DA3"/>
    <w:rsid w:val="001722B1"/>
    <w:rsid w:val="00172318"/>
    <w:rsid w:val="00172336"/>
    <w:rsid w:val="00172F47"/>
    <w:rsid w:val="0017311E"/>
    <w:rsid w:val="001732B3"/>
    <w:rsid w:val="001733EF"/>
    <w:rsid w:val="001734C7"/>
    <w:rsid w:val="0017374A"/>
    <w:rsid w:val="001737FC"/>
    <w:rsid w:val="00173ADA"/>
    <w:rsid w:val="00173FF9"/>
    <w:rsid w:val="001740B6"/>
    <w:rsid w:val="001743E8"/>
    <w:rsid w:val="00174909"/>
    <w:rsid w:val="00174AF3"/>
    <w:rsid w:val="00174BB1"/>
    <w:rsid w:val="00174C8F"/>
    <w:rsid w:val="00174CA4"/>
    <w:rsid w:val="00174CD5"/>
    <w:rsid w:val="0017539E"/>
    <w:rsid w:val="001754DA"/>
    <w:rsid w:val="00175AC3"/>
    <w:rsid w:val="00175B9D"/>
    <w:rsid w:val="00175BD7"/>
    <w:rsid w:val="00175CF9"/>
    <w:rsid w:val="00175D25"/>
    <w:rsid w:val="0017625E"/>
    <w:rsid w:val="001764F6"/>
    <w:rsid w:val="0017670D"/>
    <w:rsid w:val="0017686D"/>
    <w:rsid w:val="00176B83"/>
    <w:rsid w:val="00176BB7"/>
    <w:rsid w:val="00176DC9"/>
    <w:rsid w:val="00176E3C"/>
    <w:rsid w:val="00176F78"/>
    <w:rsid w:val="00177421"/>
    <w:rsid w:val="001776CD"/>
    <w:rsid w:val="001778F9"/>
    <w:rsid w:val="00177B1E"/>
    <w:rsid w:val="00177B55"/>
    <w:rsid w:val="00177D73"/>
    <w:rsid w:val="001801D7"/>
    <w:rsid w:val="001803D1"/>
    <w:rsid w:val="0018043B"/>
    <w:rsid w:val="001807E8"/>
    <w:rsid w:val="001808D3"/>
    <w:rsid w:val="0018096D"/>
    <w:rsid w:val="001809A0"/>
    <w:rsid w:val="00180D7E"/>
    <w:rsid w:val="00181329"/>
    <w:rsid w:val="001814ED"/>
    <w:rsid w:val="001819D8"/>
    <w:rsid w:val="00181A5F"/>
    <w:rsid w:val="00181A7B"/>
    <w:rsid w:val="00181B4B"/>
    <w:rsid w:val="00182276"/>
    <w:rsid w:val="001823A3"/>
    <w:rsid w:val="0018254E"/>
    <w:rsid w:val="00182621"/>
    <w:rsid w:val="00182829"/>
    <w:rsid w:val="00182A59"/>
    <w:rsid w:val="00182B85"/>
    <w:rsid w:val="00182D3C"/>
    <w:rsid w:val="00182EE0"/>
    <w:rsid w:val="00183002"/>
    <w:rsid w:val="00183104"/>
    <w:rsid w:val="00183195"/>
    <w:rsid w:val="001831F2"/>
    <w:rsid w:val="001832B8"/>
    <w:rsid w:val="0018353A"/>
    <w:rsid w:val="0018395E"/>
    <w:rsid w:val="001839EF"/>
    <w:rsid w:val="00183CC7"/>
    <w:rsid w:val="00183CF3"/>
    <w:rsid w:val="00183FDA"/>
    <w:rsid w:val="00184249"/>
    <w:rsid w:val="001846CB"/>
    <w:rsid w:val="001848C6"/>
    <w:rsid w:val="001849B8"/>
    <w:rsid w:val="00184CEF"/>
    <w:rsid w:val="00184F14"/>
    <w:rsid w:val="001850A8"/>
    <w:rsid w:val="0018515B"/>
    <w:rsid w:val="001853B3"/>
    <w:rsid w:val="001855BA"/>
    <w:rsid w:val="00185CAA"/>
    <w:rsid w:val="00186014"/>
    <w:rsid w:val="001860A5"/>
    <w:rsid w:val="00186244"/>
    <w:rsid w:val="00186421"/>
    <w:rsid w:val="0018644C"/>
    <w:rsid w:val="001869B0"/>
    <w:rsid w:val="00186CFA"/>
    <w:rsid w:val="00186D3F"/>
    <w:rsid w:val="00186F7C"/>
    <w:rsid w:val="00187213"/>
    <w:rsid w:val="00187277"/>
    <w:rsid w:val="0018751C"/>
    <w:rsid w:val="00187611"/>
    <w:rsid w:val="001876BF"/>
    <w:rsid w:val="00187ACF"/>
    <w:rsid w:val="00187D3B"/>
    <w:rsid w:val="00187FED"/>
    <w:rsid w:val="001904DE"/>
    <w:rsid w:val="0019060C"/>
    <w:rsid w:val="00190B8E"/>
    <w:rsid w:val="00190C9E"/>
    <w:rsid w:val="00190D0A"/>
    <w:rsid w:val="00190DD5"/>
    <w:rsid w:val="00190E6F"/>
    <w:rsid w:val="00190EF8"/>
    <w:rsid w:val="00190FC8"/>
    <w:rsid w:val="00191060"/>
    <w:rsid w:val="00191288"/>
    <w:rsid w:val="0019143C"/>
    <w:rsid w:val="0019145D"/>
    <w:rsid w:val="001915AA"/>
    <w:rsid w:val="0019164E"/>
    <w:rsid w:val="00191743"/>
    <w:rsid w:val="00191A51"/>
    <w:rsid w:val="00191BE0"/>
    <w:rsid w:val="00191EFB"/>
    <w:rsid w:val="00192142"/>
    <w:rsid w:val="001921BE"/>
    <w:rsid w:val="001921D2"/>
    <w:rsid w:val="001924BE"/>
    <w:rsid w:val="00192503"/>
    <w:rsid w:val="001926AD"/>
    <w:rsid w:val="00192B3C"/>
    <w:rsid w:val="001934D2"/>
    <w:rsid w:val="0019375A"/>
    <w:rsid w:val="00193965"/>
    <w:rsid w:val="001940FA"/>
    <w:rsid w:val="00194279"/>
    <w:rsid w:val="00194467"/>
    <w:rsid w:val="001945A3"/>
    <w:rsid w:val="00194A17"/>
    <w:rsid w:val="00194A2F"/>
    <w:rsid w:val="00194B35"/>
    <w:rsid w:val="00194CEC"/>
    <w:rsid w:val="00194D6D"/>
    <w:rsid w:val="0019500A"/>
    <w:rsid w:val="00195017"/>
    <w:rsid w:val="001954C0"/>
    <w:rsid w:val="0019568A"/>
    <w:rsid w:val="001959D5"/>
    <w:rsid w:val="00195A11"/>
    <w:rsid w:val="00195AAE"/>
    <w:rsid w:val="00195F92"/>
    <w:rsid w:val="001967AC"/>
    <w:rsid w:val="00196C54"/>
    <w:rsid w:val="00196C71"/>
    <w:rsid w:val="0019706A"/>
    <w:rsid w:val="00197137"/>
    <w:rsid w:val="00197470"/>
    <w:rsid w:val="0019772B"/>
    <w:rsid w:val="00197933"/>
    <w:rsid w:val="0019797C"/>
    <w:rsid w:val="00197A11"/>
    <w:rsid w:val="00197BD3"/>
    <w:rsid w:val="00197BDE"/>
    <w:rsid w:val="00197E4E"/>
    <w:rsid w:val="00197EDD"/>
    <w:rsid w:val="00197FB7"/>
    <w:rsid w:val="001A014E"/>
    <w:rsid w:val="001A020A"/>
    <w:rsid w:val="001A1255"/>
    <w:rsid w:val="001A12DA"/>
    <w:rsid w:val="001A138B"/>
    <w:rsid w:val="001A14E4"/>
    <w:rsid w:val="001A1D63"/>
    <w:rsid w:val="001A1E0C"/>
    <w:rsid w:val="001A1E8D"/>
    <w:rsid w:val="001A1F8C"/>
    <w:rsid w:val="001A27B3"/>
    <w:rsid w:val="001A2880"/>
    <w:rsid w:val="001A2A2A"/>
    <w:rsid w:val="001A2B16"/>
    <w:rsid w:val="001A2BC1"/>
    <w:rsid w:val="001A2D5F"/>
    <w:rsid w:val="001A3011"/>
    <w:rsid w:val="001A3271"/>
    <w:rsid w:val="001A33FD"/>
    <w:rsid w:val="001A3525"/>
    <w:rsid w:val="001A3A4D"/>
    <w:rsid w:val="001A3AC4"/>
    <w:rsid w:val="001A3E1B"/>
    <w:rsid w:val="001A4115"/>
    <w:rsid w:val="001A4134"/>
    <w:rsid w:val="001A4204"/>
    <w:rsid w:val="001A4309"/>
    <w:rsid w:val="001A463D"/>
    <w:rsid w:val="001A473F"/>
    <w:rsid w:val="001A4ACF"/>
    <w:rsid w:val="001A4CC1"/>
    <w:rsid w:val="001A4E04"/>
    <w:rsid w:val="001A5115"/>
    <w:rsid w:val="001A52A5"/>
    <w:rsid w:val="001A54F2"/>
    <w:rsid w:val="001A5584"/>
    <w:rsid w:val="001A59FD"/>
    <w:rsid w:val="001A5D1C"/>
    <w:rsid w:val="001A5FEB"/>
    <w:rsid w:val="001A60A2"/>
    <w:rsid w:val="001A6149"/>
    <w:rsid w:val="001A6A8F"/>
    <w:rsid w:val="001A6A96"/>
    <w:rsid w:val="001A6BBF"/>
    <w:rsid w:val="001A70D3"/>
    <w:rsid w:val="001A7267"/>
    <w:rsid w:val="001A7333"/>
    <w:rsid w:val="001A7543"/>
    <w:rsid w:val="001A77F1"/>
    <w:rsid w:val="001A789C"/>
    <w:rsid w:val="001B071A"/>
    <w:rsid w:val="001B0D31"/>
    <w:rsid w:val="001B0E20"/>
    <w:rsid w:val="001B11A0"/>
    <w:rsid w:val="001B147F"/>
    <w:rsid w:val="001B1627"/>
    <w:rsid w:val="001B1690"/>
    <w:rsid w:val="001B172D"/>
    <w:rsid w:val="001B1D33"/>
    <w:rsid w:val="001B1EC4"/>
    <w:rsid w:val="001B2217"/>
    <w:rsid w:val="001B2460"/>
    <w:rsid w:val="001B28F3"/>
    <w:rsid w:val="001B29A6"/>
    <w:rsid w:val="001B2D06"/>
    <w:rsid w:val="001B32C0"/>
    <w:rsid w:val="001B35CA"/>
    <w:rsid w:val="001B39B9"/>
    <w:rsid w:val="001B3A60"/>
    <w:rsid w:val="001B3E79"/>
    <w:rsid w:val="001B415A"/>
    <w:rsid w:val="001B44F6"/>
    <w:rsid w:val="001B49A3"/>
    <w:rsid w:val="001B4EB7"/>
    <w:rsid w:val="001B4FE9"/>
    <w:rsid w:val="001B4FFE"/>
    <w:rsid w:val="001B50A7"/>
    <w:rsid w:val="001B59F0"/>
    <w:rsid w:val="001B5C2A"/>
    <w:rsid w:val="001B5C90"/>
    <w:rsid w:val="001B6229"/>
    <w:rsid w:val="001B64C4"/>
    <w:rsid w:val="001B64E6"/>
    <w:rsid w:val="001B6C32"/>
    <w:rsid w:val="001B6DCF"/>
    <w:rsid w:val="001B70AA"/>
    <w:rsid w:val="001B7439"/>
    <w:rsid w:val="001B755D"/>
    <w:rsid w:val="001B79D9"/>
    <w:rsid w:val="001B7BCA"/>
    <w:rsid w:val="001B7E12"/>
    <w:rsid w:val="001B7E78"/>
    <w:rsid w:val="001B7FB6"/>
    <w:rsid w:val="001B7FF1"/>
    <w:rsid w:val="001C01C4"/>
    <w:rsid w:val="001C01D9"/>
    <w:rsid w:val="001C01F5"/>
    <w:rsid w:val="001C03D9"/>
    <w:rsid w:val="001C0752"/>
    <w:rsid w:val="001C11F9"/>
    <w:rsid w:val="001C1551"/>
    <w:rsid w:val="001C163B"/>
    <w:rsid w:val="001C17E7"/>
    <w:rsid w:val="001C1C16"/>
    <w:rsid w:val="001C1C31"/>
    <w:rsid w:val="001C1E78"/>
    <w:rsid w:val="001C203E"/>
    <w:rsid w:val="001C20D0"/>
    <w:rsid w:val="001C2C73"/>
    <w:rsid w:val="001C2D6F"/>
    <w:rsid w:val="001C2DEF"/>
    <w:rsid w:val="001C2F50"/>
    <w:rsid w:val="001C33A4"/>
    <w:rsid w:val="001C3670"/>
    <w:rsid w:val="001C3764"/>
    <w:rsid w:val="001C3A1F"/>
    <w:rsid w:val="001C3A34"/>
    <w:rsid w:val="001C3A51"/>
    <w:rsid w:val="001C3A66"/>
    <w:rsid w:val="001C3B82"/>
    <w:rsid w:val="001C416F"/>
    <w:rsid w:val="001C44A1"/>
    <w:rsid w:val="001C47E5"/>
    <w:rsid w:val="001C4AED"/>
    <w:rsid w:val="001C4D5E"/>
    <w:rsid w:val="001C4F79"/>
    <w:rsid w:val="001C5084"/>
    <w:rsid w:val="001C5175"/>
    <w:rsid w:val="001C521B"/>
    <w:rsid w:val="001C53DF"/>
    <w:rsid w:val="001C55C4"/>
    <w:rsid w:val="001C5826"/>
    <w:rsid w:val="001C5844"/>
    <w:rsid w:val="001C5A0E"/>
    <w:rsid w:val="001C5A5F"/>
    <w:rsid w:val="001C5A9F"/>
    <w:rsid w:val="001C5D95"/>
    <w:rsid w:val="001C5DF0"/>
    <w:rsid w:val="001C6024"/>
    <w:rsid w:val="001C6268"/>
    <w:rsid w:val="001C635D"/>
    <w:rsid w:val="001C653E"/>
    <w:rsid w:val="001C6826"/>
    <w:rsid w:val="001C6976"/>
    <w:rsid w:val="001C7024"/>
    <w:rsid w:val="001C747E"/>
    <w:rsid w:val="001C750A"/>
    <w:rsid w:val="001C77D9"/>
    <w:rsid w:val="001C7AB5"/>
    <w:rsid w:val="001C7BA6"/>
    <w:rsid w:val="001C7D28"/>
    <w:rsid w:val="001C7D5A"/>
    <w:rsid w:val="001C7E5D"/>
    <w:rsid w:val="001C7FBA"/>
    <w:rsid w:val="001D0234"/>
    <w:rsid w:val="001D02A8"/>
    <w:rsid w:val="001D0579"/>
    <w:rsid w:val="001D07CD"/>
    <w:rsid w:val="001D098B"/>
    <w:rsid w:val="001D134B"/>
    <w:rsid w:val="001D1456"/>
    <w:rsid w:val="001D1843"/>
    <w:rsid w:val="001D1951"/>
    <w:rsid w:val="001D208F"/>
    <w:rsid w:val="001D24AA"/>
    <w:rsid w:val="001D2515"/>
    <w:rsid w:val="001D2675"/>
    <w:rsid w:val="001D3328"/>
    <w:rsid w:val="001D3597"/>
    <w:rsid w:val="001D3699"/>
    <w:rsid w:val="001D3883"/>
    <w:rsid w:val="001D39F3"/>
    <w:rsid w:val="001D3C8D"/>
    <w:rsid w:val="001D408B"/>
    <w:rsid w:val="001D4209"/>
    <w:rsid w:val="001D42D7"/>
    <w:rsid w:val="001D42E9"/>
    <w:rsid w:val="001D4346"/>
    <w:rsid w:val="001D4531"/>
    <w:rsid w:val="001D4B42"/>
    <w:rsid w:val="001D4C5E"/>
    <w:rsid w:val="001D4C92"/>
    <w:rsid w:val="001D4E89"/>
    <w:rsid w:val="001D4EA0"/>
    <w:rsid w:val="001D55FD"/>
    <w:rsid w:val="001D5839"/>
    <w:rsid w:val="001D5CB4"/>
    <w:rsid w:val="001D5DD0"/>
    <w:rsid w:val="001D64DB"/>
    <w:rsid w:val="001D65A7"/>
    <w:rsid w:val="001D6949"/>
    <w:rsid w:val="001D6958"/>
    <w:rsid w:val="001D69BB"/>
    <w:rsid w:val="001D69E5"/>
    <w:rsid w:val="001D6CEE"/>
    <w:rsid w:val="001D6D83"/>
    <w:rsid w:val="001D7845"/>
    <w:rsid w:val="001D79E9"/>
    <w:rsid w:val="001D7D2E"/>
    <w:rsid w:val="001D7EB6"/>
    <w:rsid w:val="001E0545"/>
    <w:rsid w:val="001E089E"/>
    <w:rsid w:val="001E08C8"/>
    <w:rsid w:val="001E0983"/>
    <w:rsid w:val="001E0DB7"/>
    <w:rsid w:val="001E0DF5"/>
    <w:rsid w:val="001E11ED"/>
    <w:rsid w:val="001E141D"/>
    <w:rsid w:val="001E1706"/>
    <w:rsid w:val="001E1877"/>
    <w:rsid w:val="001E1B18"/>
    <w:rsid w:val="001E1D3B"/>
    <w:rsid w:val="001E1E96"/>
    <w:rsid w:val="001E205D"/>
    <w:rsid w:val="001E25AE"/>
    <w:rsid w:val="001E2629"/>
    <w:rsid w:val="001E26AB"/>
    <w:rsid w:val="001E2BBE"/>
    <w:rsid w:val="001E2E1B"/>
    <w:rsid w:val="001E2FBE"/>
    <w:rsid w:val="001E35A5"/>
    <w:rsid w:val="001E3623"/>
    <w:rsid w:val="001E3742"/>
    <w:rsid w:val="001E37D8"/>
    <w:rsid w:val="001E3C26"/>
    <w:rsid w:val="001E3CE3"/>
    <w:rsid w:val="001E3D28"/>
    <w:rsid w:val="001E3DB4"/>
    <w:rsid w:val="001E3F5B"/>
    <w:rsid w:val="001E41B6"/>
    <w:rsid w:val="001E43C1"/>
    <w:rsid w:val="001E47C0"/>
    <w:rsid w:val="001E481B"/>
    <w:rsid w:val="001E4893"/>
    <w:rsid w:val="001E51D8"/>
    <w:rsid w:val="001E58E6"/>
    <w:rsid w:val="001E5E3B"/>
    <w:rsid w:val="001E5EBF"/>
    <w:rsid w:val="001E5F14"/>
    <w:rsid w:val="001E6370"/>
    <w:rsid w:val="001E677B"/>
    <w:rsid w:val="001E6909"/>
    <w:rsid w:val="001E707D"/>
    <w:rsid w:val="001E7258"/>
    <w:rsid w:val="001E728C"/>
    <w:rsid w:val="001E76CA"/>
    <w:rsid w:val="001E7AE0"/>
    <w:rsid w:val="001E7BB0"/>
    <w:rsid w:val="001E7E3B"/>
    <w:rsid w:val="001E7FBE"/>
    <w:rsid w:val="001F003A"/>
    <w:rsid w:val="001F00FB"/>
    <w:rsid w:val="001F01F9"/>
    <w:rsid w:val="001F0732"/>
    <w:rsid w:val="001F09D8"/>
    <w:rsid w:val="001F1043"/>
    <w:rsid w:val="001F1226"/>
    <w:rsid w:val="001F14E0"/>
    <w:rsid w:val="001F1857"/>
    <w:rsid w:val="001F1C53"/>
    <w:rsid w:val="001F1D14"/>
    <w:rsid w:val="001F1F25"/>
    <w:rsid w:val="001F28E5"/>
    <w:rsid w:val="001F2A1E"/>
    <w:rsid w:val="001F2B10"/>
    <w:rsid w:val="001F2B58"/>
    <w:rsid w:val="001F2B65"/>
    <w:rsid w:val="001F2C12"/>
    <w:rsid w:val="001F2CFC"/>
    <w:rsid w:val="001F2E51"/>
    <w:rsid w:val="001F3022"/>
    <w:rsid w:val="001F3917"/>
    <w:rsid w:val="001F3997"/>
    <w:rsid w:val="001F3E84"/>
    <w:rsid w:val="001F42AF"/>
    <w:rsid w:val="001F477A"/>
    <w:rsid w:val="001F4859"/>
    <w:rsid w:val="001F49D4"/>
    <w:rsid w:val="001F4ADC"/>
    <w:rsid w:val="001F4BBD"/>
    <w:rsid w:val="001F4BDD"/>
    <w:rsid w:val="001F4DE8"/>
    <w:rsid w:val="001F51DA"/>
    <w:rsid w:val="001F5287"/>
    <w:rsid w:val="001F54C8"/>
    <w:rsid w:val="001F59D5"/>
    <w:rsid w:val="001F5B70"/>
    <w:rsid w:val="001F5BC6"/>
    <w:rsid w:val="001F6041"/>
    <w:rsid w:val="001F6192"/>
    <w:rsid w:val="001F6369"/>
    <w:rsid w:val="001F644D"/>
    <w:rsid w:val="001F64A3"/>
    <w:rsid w:val="001F6B43"/>
    <w:rsid w:val="001F7087"/>
    <w:rsid w:val="001F71C8"/>
    <w:rsid w:val="001F7396"/>
    <w:rsid w:val="001F751B"/>
    <w:rsid w:val="001F76D3"/>
    <w:rsid w:val="001F792E"/>
    <w:rsid w:val="001F7A6F"/>
    <w:rsid w:val="001F7BBA"/>
    <w:rsid w:val="001F7CC1"/>
    <w:rsid w:val="00200255"/>
    <w:rsid w:val="002002DD"/>
    <w:rsid w:val="002003A5"/>
    <w:rsid w:val="002003B0"/>
    <w:rsid w:val="0020093E"/>
    <w:rsid w:val="00200CDA"/>
    <w:rsid w:val="00200D17"/>
    <w:rsid w:val="00200E89"/>
    <w:rsid w:val="00200FC5"/>
    <w:rsid w:val="002010C3"/>
    <w:rsid w:val="00201426"/>
    <w:rsid w:val="0020147F"/>
    <w:rsid w:val="002014BB"/>
    <w:rsid w:val="00201811"/>
    <w:rsid w:val="00201909"/>
    <w:rsid w:val="00201943"/>
    <w:rsid w:val="002019D4"/>
    <w:rsid w:val="00201E66"/>
    <w:rsid w:val="0020205F"/>
    <w:rsid w:val="0020251C"/>
    <w:rsid w:val="00202614"/>
    <w:rsid w:val="0020283C"/>
    <w:rsid w:val="00202CDC"/>
    <w:rsid w:val="00202E78"/>
    <w:rsid w:val="002036D1"/>
    <w:rsid w:val="00203720"/>
    <w:rsid w:val="00203896"/>
    <w:rsid w:val="00203B3D"/>
    <w:rsid w:val="00203C5C"/>
    <w:rsid w:val="0020424E"/>
    <w:rsid w:val="00204961"/>
    <w:rsid w:val="00204A13"/>
    <w:rsid w:val="00204B04"/>
    <w:rsid w:val="00204C88"/>
    <w:rsid w:val="00204D6D"/>
    <w:rsid w:val="0020505F"/>
    <w:rsid w:val="00205141"/>
    <w:rsid w:val="0020527A"/>
    <w:rsid w:val="0020557B"/>
    <w:rsid w:val="002056BA"/>
    <w:rsid w:val="00205735"/>
    <w:rsid w:val="00205F0E"/>
    <w:rsid w:val="002061E7"/>
    <w:rsid w:val="002062D6"/>
    <w:rsid w:val="00206493"/>
    <w:rsid w:val="002066AC"/>
    <w:rsid w:val="00206729"/>
    <w:rsid w:val="00207665"/>
    <w:rsid w:val="00207B40"/>
    <w:rsid w:val="00207C26"/>
    <w:rsid w:val="00207D6F"/>
    <w:rsid w:val="00207E7D"/>
    <w:rsid w:val="00210519"/>
    <w:rsid w:val="002106FC"/>
    <w:rsid w:val="0021086A"/>
    <w:rsid w:val="00210C30"/>
    <w:rsid w:val="00210F16"/>
    <w:rsid w:val="00211110"/>
    <w:rsid w:val="00211638"/>
    <w:rsid w:val="0021168D"/>
    <w:rsid w:val="00211A65"/>
    <w:rsid w:val="00211DD2"/>
    <w:rsid w:val="00211E4E"/>
    <w:rsid w:val="00211E4F"/>
    <w:rsid w:val="00211E98"/>
    <w:rsid w:val="00212153"/>
    <w:rsid w:val="00212391"/>
    <w:rsid w:val="002124FD"/>
    <w:rsid w:val="00212627"/>
    <w:rsid w:val="00212725"/>
    <w:rsid w:val="002127E3"/>
    <w:rsid w:val="00212945"/>
    <w:rsid w:val="0021297E"/>
    <w:rsid w:val="00212B98"/>
    <w:rsid w:val="00212D2F"/>
    <w:rsid w:val="00212D34"/>
    <w:rsid w:val="00212E8D"/>
    <w:rsid w:val="002130FA"/>
    <w:rsid w:val="0021319C"/>
    <w:rsid w:val="002137EF"/>
    <w:rsid w:val="00213ABE"/>
    <w:rsid w:val="00213EB5"/>
    <w:rsid w:val="002142CA"/>
    <w:rsid w:val="002147B3"/>
    <w:rsid w:val="00214866"/>
    <w:rsid w:val="002149E9"/>
    <w:rsid w:val="00214A13"/>
    <w:rsid w:val="00214A47"/>
    <w:rsid w:val="00214AB5"/>
    <w:rsid w:val="00215109"/>
    <w:rsid w:val="00215645"/>
    <w:rsid w:val="002156EA"/>
    <w:rsid w:val="0021570F"/>
    <w:rsid w:val="00215B94"/>
    <w:rsid w:val="0021615F"/>
    <w:rsid w:val="0021616F"/>
    <w:rsid w:val="002165DE"/>
    <w:rsid w:val="002166AE"/>
    <w:rsid w:val="002168B1"/>
    <w:rsid w:val="00216B30"/>
    <w:rsid w:val="00216B5D"/>
    <w:rsid w:val="00216D36"/>
    <w:rsid w:val="00217074"/>
    <w:rsid w:val="00217448"/>
    <w:rsid w:val="00217797"/>
    <w:rsid w:val="002177C8"/>
    <w:rsid w:val="002178C7"/>
    <w:rsid w:val="00217D1E"/>
    <w:rsid w:val="0022019B"/>
    <w:rsid w:val="00220499"/>
    <w:rsid w:val="00220548"/>
    <w:rsid w:val="00220837"/>
    <w:rsid w:val="002208F3"/>
    <w:rsid w:val="00221745"/>
    <w:rsid w:val="002217B3"/>
    <w:rsid w:val="00221A9F"/>
    <w:rsid w:val="00221C02"/>
    <w:rsid w:val="00221E29"/>
    <w:rsid w:val="002220CE"/>
    <w:rsid w:val="002224A3"/>
    <w:rsid w:val="00222597"/>
    <w:rsid w:val="00222702"/>
    <w:rsid w:val="00222D4D"/>
    <w:rsid w:val="00222F51"/>
    <w:rsid w:val="00222F6F"/>
    <w:rsid w:val="00223027"/>
    <w:rsid w:val="00223258"/>
    <w:rsid w:val="00223323"/>
    <w:rsid w:val="00223998"/>
    <w:rsid w:val="00224474"/>
    <w:rsid w:val="002245B1"/>
    <w:rsid w:val="002245E3"/>
    <w:rsid w:val="00224737"/>
    <w:rsid w:val="00224D91"/>
    <w:rsid w:val="00224DA4"/>
    <w:rsid w:val="00224DCE"/>
    <w:rsid w:val="00224ED9"/>
    <w:rsid w:val="00224F83"/>
    <w:rsid w:val="00225041"/>
    <w:rsid w:val="002250C4"/>
    <w:rsid w:val="0022521A"/>
    <w:rsid w:val="00225370"/>
    <w:rsid w:val="00225F85"/>
    <w:rsid w:val="00225FBE"/>
    <w:rsid w:val="00226720"/>
    <w:rsid w:val="00226C89"/>
    <w:rsid w:val="00226E76"/>
    <w:rsid w:val="0022708E"/>
    <w:rsid w:val="0022715E"/>
    <w:rsid w:val="00227191"/>
    <w:rsid w:val="00227239"/>
    <w:rsid w:val="002272B2"/>
    <w:rsid w:val="00227838"/>
    <w:rsid w:val="002278D8"/>
    <w:rsid w:val="00227BB1"/>
    <w:rsid w:val="00227E37"/>
    <w:rsid w:val="00227FE5"/>
    <w:rsid w:val="00230219"/>
    <w:rsid w:val="002303EC"/>
    <w:rsid w:val="00230433"/>
    <w:rsid w:val="0023045C"/>
    <w:rsid w:val="00230CF5"/>
    <w:rsid w:val="00230D25"/>
    <w:rsid w:val="00231E22"/>
    <w:rsid w:val="00231F86"/>
    <w:rsid w:val="002321CC"/>
    <w:rsid w:val="0023220B"/>
    <w:rsid w:val="0023246E"/>
    <w:rsid w:val="00232581"/>
    <w:rsid w:val="00232D3C"/>
    <w:rsid w:val="0023329D"/>
    <w:rsid w:val="00233411"/>
    <w:rsid w:val="0023347C"/>
    <w:rsid w:val="002337CF"/>
    <w:rsid w:val="002338DE"/>
    <w:rsid w:val="002338F8"/>
    <w:rsid w:val="00233AD9"/>
    <w:rsid w:val="00233B23"/>
    <w:rsid w:val="00233D91"/>
    <w:rsid w:val="00233E34"/>
    <w:rsid w:val="0023412D"/>
    <w:rsid w:val="002347CB"/>
    <w:rsid w:val="00234D7D"/>
    <w:rsid w:val="00234DF1"/>
    <w:rsid w:val="002359A9"/>
    <w:rsid w:val="002361F0"/>
    <w:rsid w:val="00236F58"/>
    <w:rsid w:val="002370A0"/>
    <w:rsid w:val="002370D5"/>
    <w:rsid w:val="00237327"/>
    <w:rsid w:val="00237340"/>
    <w:rsid w:val="002376E3"/>
    <w:rsid w:val="002377A3"/>
    <w:rsid w:val="00237926"/>
    <w:rsid w:val="002403E2"/>
    <w:rsid w:val="0024061F"/>
    <w:rsid w:val="0024064C"/>
    <w:rsid w:val="002406FB"/>
    <w:rsid w:val="0024083D"/>
    <w:rsid w:val="00240C5B"/>
    <w:rsid w:val="002410AB"/>
    <w:rsid w:val="0024128A"/>
    <w:rsid w:val="00241446"/>
    <w:rsid w:val="00241844"/>
    <w:rsid w:val="00241D18"/>
    <w:rsid w:val="00241D45"/>
    <w:rsid w:val="00241FE5"/>
    <w:rsid w:val="002422D3"/>
    <w:rsid w:val="0024273A"/>
    <w:rsid w:val="0024277F"/>
    <w:rsid w:val="002429B0"/>
    <w:rsid w:val="002432CE"/>
    <w:rsid w:val="00243384"/>
    <w:rsid w:val="00243731"/>
    <w:rsid w:val="002438B8"/>
    <w:rsid w:val="002438CE"/>
    <w:rsid w:val="002439E8"/>
    <w:rsid w:val="00243D02"/>
    <w:rsid w:val="00243E51"/>
    <w:rsid w:val="00243FB6"/>
    <w:rsid w:val="0024412A"/>
    <w:rsid w:val="00244350"/>
    <w:rsid w:val="00244483"/>
    <w:rsid w:val="00244841"/>
    <w:rsid w:val="00244A61"/>
    <w:rsid w:val="00244A63"/>
    <w:rsid w:val="00244BFF"/>
    <w:rsid w:val="00244C10"/>
    <w:rsid w:val="00244E75"/>
    <w:rsid w:val="0024548F"/>
    <w:rsid w:val="002454A9"/>
    <w:rsid w:val="0024555E"/>
    <w:rsid w:val="00245628"/>
    <w:rsid w:val="002458C3"/>
    <w:rsid w:val="0024595D"/>
    <w:rsid w:val="00245A24"/>
    <w:rsid w:val="00245B78"/>
    <w:rsid w:val="00245C30"/>
    <w:rsid w:val="00245DE9"/>
    <w:rsid w:val="00246ADF"/>
    <w:rsid w:val="00246E0B"/>
    <w:rsid w:val="00247009"/>
    <w:rsid w:val="00247286"/>
    <w:rsid w:val="002475CA"/>
    <w:rsid w:val="0024769F"/>
    <w:rsid w:val="00247DCD"/>
    <w:rsid w:val="00247F4C"/>
    <w:rsid w:val="00247FA3"/>
    <w:rsid w:val="00250485"/>
    <w:rsid w:val="0025061B"/>
    <w:rsid w:val="0025071A"/>
    <w:rsid w:val="00250742"/>
    <w:rsid w:val="00250BCA"/>
    <w:rsid w:val="00250F28"/>
    <w:rsid w:val="00250F80"/>
    <w:rsid w:val="00251145"/>
    <w:rsid w:val="00251150"/>
    <w:rsid w:val="002512F2"/>
    <w:rsid w:val="002518A6"/>
    <w:rsid w:val="00251982"/>
    <w:rsid w:val="002519BC"/>
    <w:rsid w:val="00251B76"/>
    <w:rsid w:val="00251C4E"/>
    <w:rsid w:val="00251C6D"/>
    <w:rsid w:val="00252462"/>
    <w:rsid w:val="00252740"/>
    <w:rsid w:val="00252743"/>
    <w:rsid w:val="0025277E"/>
    <w:rsid w:val="002529AE"/>
    <w:rsid w:val="002532B0"/>
    <w:rsid w:val="00253775"/>
    <w:rsid w:val="00253787"/>
    <w:rsid w:val="0025379E"/>
    <w:rsid w:val="002537A4"/>
    <w:rsid w:val="00253B3F"/>
    <w:rsid w:val="00253F92"/>
    <w:rsid w:val="0025423B"/>
    <w:rsid w:val="00254370"/>
    <w:rsid w:val="00254B1B"/>
    <w:rsid w:val="00255051"/>
    <w:rsid w:val="00255404"/>
    <w:rsid w:val="00255458"/>
    <w:rsid w:val="002557B2"/>
    <w:rsid w:val="00255823"/>
    <w:rsid w:val="00255DFF"/>
    <w:rsid w:val="00255FD6"/>
    <w:rsid w:val="00256146"/>
    <w:rsid w:val="00256264"/>
    <w:rsid w:val="00256594"/>
    <w:rsid w:val="00256669"/>
    <w:rsid w:val="00256921"/>
    <w:rsid w:val="00256FEF"/>
    <w:rsid w:val="00257115"/>
    <w:rsid w:val="002572EE"/>
    <w:rsid w:val="00257474"/>
    <w:rsid w:val="00257A10"/>
    <w:rsid w:val="00257BBC"/>
    <w:rsid w:val="00257EDB"/>
    <w:rsid w:val="002603C2"/>
    <w:rsid w:val="00260EDA"/>
    <w:rsid w:val="00261105"/>
    <w:rsid w:val="0026117B"/>
    <w:rsid w:val="002613D9"/>
    <w:rsid w:val="0026169F"/>
    <w:rsid w:val="0026170F"/>
    <w:rsid w:val="00261821"/>
    <w:rsid w:val="00261880"/>
    <w:rsid w:val="002618C6"/>
    <w:rsid w:val="00261E28"/>
    <w:rsid w:val="0026203F"/>
    <w:rsid w:val="0026209D"/>
    <w:rsid w:val="00262294"/>
    <w:rsid w:val="00262406"/>
    <w:rsid w:val="00262546"/>
    <w:rsid w:val="00262712"/>
    <w:rsid w:val="002627F6"/>
    <w:rsid w:val="00262C36"/>
    <w:rsid w:val="00262D7B"/>
    <w:rsid w:val="002634A2"/>
    <w:rsid w:val="002634F5"/>
    <w:rsid w:val="0026360F"/>
    <w:rsid w:val="00263AEA"/>
    <w:rsid w:val="00263B15"/>
    <w:rsid w:val="00263F01"/>
    <w:rsid w:val="002642D9"/>
    <w:rsid w:val="00264570"/>
    <w:rsid w:val="00264618"/>
    <w:rsid w:val="00264D3A"/>
    <w:rsid w:val="0026504D"/>
    <w:rsid w:val="002652DA"/>
    <w:rsid w:val="002655D9"/>
    <w:rsid w:val="002658A7"/>
    <w:rsid w:val="002658B5"/>
    <w:rsid w:val="00265C57"/>
    <w:rsid w:val="00265D3B"/>
    <w:rsid w:val="00265EA5"/>
    <w:rsid w:val="00266043"/>
    <w:rsid w:val="002664F9"/>
    <w:rsid w:val="002666AC"/>
    <w:rsid w:val="00266924"/>
    <w:rsid w:val="00266ADD"/>
    <w:rsid w:val="00266C60"/>
    <w:rsid w:val="00266F85"/>
    <w:rsid w:val="00267492"/>
    <w:rsid w:val="002676A5"/>
    <w:rsid w:val="00267757"/>
    <w:rsid w:val="00267A5C"/>
    <w:rsid w:val="00267EAC"/>
    <w:rsid w:val="00270338"/>
    <w:rsid w:val="002705A4"/>
    <w:rsid w:val="002705AE"/>
    <w:rsid w:val="002706FD"/>
    <w:rsid w:val="00270ABC"/>
    <w:rsid w:val="00270D88"/>
    <w:rsid w:val="00270E13"/>
    <w:rsid w:val="00270E2F"/>
    <w:rsid w:val="002714C0"/>
    <w:rsid w:val="002719B0"/>
    <w:rsid w:val="00271B5D"/>
    <w:rsid w:val="00271ED4"/>
    <w:rsid w:val="0027203A"/>
    <w:rsid w:val="00272247"/>
    <w:rsid w:val="00272372"/>
    <w:rsid w:val="00272483"/>
    <w:rsid w:val="002725B0"/>
    <w:rsid w:val="00272822"/>
    <w:rsid w:val="00272B52"/>
    <w:rsid w:val="002730E1"/>
    <w:rsid w:val="002737D3"/>
    <w:rsid w:val="002737E7"/>
    <w:rsid w:val="00273870"/>
    <w:rsid w:val="00273E3B"/>
    <w:rsid w:val="00273E79"/>
    <w:rsid w:val="00274196"/>
    <w:rsid w:val="0027426C"/>
    <w:rsid w:val="00274355"/>
    <w:rsid w:val="002744E4"/>
    <w:rsid w:val="002745F0"/>
    <w:rsid w:val="00274ACC"/>
    <w:rsid w:val="00274C13"/>
    <w:rsid w:val="00274ECC"/>
    <w:rsid w:val="002750C4"/>
    <w:rsid w:val="00275125"/>
    <w:rsid w:val="002754CA"/>
    <w:rsid w:val="002757D5"/>
    <w:rsid w:val="00275821"/>
    <w:rsid w:val="002758EA"/>
    <w:rsid w:val="00275A52"/>
    <w:rsid w:val="00275B49"/>
    <w:rsid w:val="0027645F"/>
    <w:rsid w:val="00276687"/>
    <w:rsid w:val="00276934"/>
    <w:rsid w:val="00276AD4"/>
    <w:rsid w:val="00276BDB"/>
    <w:rsid w:val="00276BFA"/>
    <w:rsid w:val="00276C6A"/>
    <w:rsid w:val="00276F33"/>
    <w:rsid w:val="00276FC0"/>
    <w:rsid w:val="0027706C"/>
    <w:rsid w:val="0027739A"/>
    <w:rsid w:val="002777E6"/>
    <w:rsid w:val="00277973"/>
    <w:rsid w:val="00277A44"/>
    <w:rsid w:val="00280391"/>
    <w:rsid w:val="00280421"/>
    <w:rsid w:val="0028056C"/>
    <w:rsid w:val="002806F0"/>
    <w:rsid w:val="002807F2"/>
    <w:rsid w:val="00280BBC"/>
    <w:rsid w:val="0028108E"/>
    <w:rsid w:val="002814C5"/>
    <w:rsid w:val="00281717"/>
    <w:rsid w:val="00281770"/>
    <w:rsid w:val="00281814"/>
    <w:rsid w:val="0028183E"/>
    <w:rsid w:val="002818BE"/>
    <w:rsid w:val="00281B68"/>
    <w:rsid w:val="002821D5"/>
    <w:rsid w:val="0028229F"/>
    <w:rsid w:val="00282453"/>
    <w:rsid w:val="00282581"/>
    <w:rsid w:val="00282661"/>
    <w:rsid w:val="002828D5"/>
    <w:rsid w:val="00282E3E"/>
    <w:rsid w:val="00282E85"/>
    <w:rsid w:val="0028311A"/>
    <w:rsid w:val="00283238"/>
    <w:rsid w:val="00283245"/>
    <w:rsid w:val="002836D8"/>
    <w:rsid w:val="0028399A"/>
    <w:rsid w:val="002839A3"/>
    <w:rsid w:val="00283C67"/>
    <w:rsid w:val="00284473"/>
    <w:rsid w:val="002846F9"/>
    <w:rsid w:val="00284839"/>
    <w:rsid w:val="002848D9"/>
    <w:rsid w:val="002848E9"/>
    <w:rsid w:val="00284969"/>
    <w:rsid w:val="0028496E"/>
    <w:rsid w:val="00284972"/>
    <w:rsid w:val="002856AB"/>
    <w:rsid w:val="002859A7"/>
    <w:rsid w:val="00285D0C"/>
    <w:rsid w:val="002861E3"/>
    <w:rsid w:val="0028664F"/>
    <w:rsid w:val="0028676C"/>
    <w:rsid w:val="00286782"/>
    <w:rsid w:val="00286956"/>
    <w:rsid w:val="00286974"/>
    <w:rsid w:val="00286A19"/>
    <w:rsid w:val="00286B20"/>
    <w:rsid w:val="0028705D"/>
    <w:rsid w:val="002872B5"/>
    <w:rsid w:val="00287481"/>
    <w:rsid w:val="00287807"/>
    <w:rsid w:val="00287902"/>
    <w:rsid w:val="00287E11"/>
    <w:rsid w:val="0029020F"/>
    <w:rsid w:val="00290B7D"/>
    <w:rsid w:val="00290D3B"/>
    <w:rsid w:val="00290EDD"/>
    <w:rsid w:val="00291232"/>
    <w:rsid w:val="0029149F"/>
    <w:rsid w:val="00291563"/>
    <w:rsid w:val="00291784"/>
    <w:rsid w:val="00291A02"/>
    <w:rsid w:val="00291CB5"/>
    <w:rsid w:val="00291DEF"/>
    <w:rsid w:val="00291FD0"/>
    <w:rsid w:val="0029255D"/>
    <w:rsid w:val="00292975"/>
    <w:rsid w:val="00292A93"/>
    <w:rsid w:val="00292B16"/>
    <w:rsid w:val="00292E0E"/>
    <w:rsid w:val="0029307B"/>
    <w:rsid w:val="002939C4"/>
    <w:rsid w:val="00293CC3"/>
    <w:rsid w:val="00293E73"/>
    <w:rsid w:val="00293FBA"/>
    <w:rsid w:val="00294033"/>
    <w:rsid w:val="00294AEB"/>
    <w:rsid w:val="00294CD8"/>
    <w:rsid w:val="00294DF2"/>
    <w:rsid w:val="00294F31"/>
    <w:rsid w:val="00295148"/>
    <w:rsid w:val="00295292"/>
    <w:rsid w:val="00295335"/>
    <w:rsid w:val="00295400"/>
    <w:rsid w:val="00295607"/>
    <w:rsid w:val="002958E0"/>
    <w:rsid w:val="00295CFE"/>
    <w:rsid w:val="00295D00"/>
    <w:rsid w:val="00295E37"/>
    <w:rsid w:val="002963DA"/>
    <w:rsid w:val="0029648E"/>
    <w:rsid w:val="002966CE"/>
    <w:rsid w:val="00296BE8"/>
    <w:rsid w:val="00296D8B"/>
    <w:rsid w:val="002971E1"/>
    <w:rsid w:val="002972E3"/>
    <w:rsid w:val="002974ED"/>
    <w:rsid w:val="0029795B"/>
    <w:rsid w:val="00297960"/>
    <w:rsid w:val="00297DF7"/>
    <w:rsid w:val="00297E9A"/>
    <w:rsid w:val="002A01AD"/>
    <w:rsid w:val="002A03FD"/>
    <w:rsid w:val="002A0570"/>
    <w:rsid w:val="002A059D"/>
    <w:rsid w:val="002A06BB"/>
    <w:rsid w:val="002A0749"/>
    <w:rsid w:val="002A0BED"/>
    <w:rsid w:val="002A0C6F"/>
    <w:rsid w:val="002A0DF0"/>
    <w:rsid w:val="002A121A"/>
    <w:rsid w:val="002A141C"/>
    <w:rsid w:val="002A15B9"/>
    <w:rsid w:val="002A16D3"/>
    <w:rsid w:val="002A1753"/>
    <w:rsid w:val="002A1800"/>
    <w:rsid w:val="002A18DB"/>
    <w:rsid w:val="002A1A15"/>
    <w:rsid w:val="002A1B5D"/>
    <w:rsid w:val="002A1D30"/>
    <w:rsid w:val="002A1D38"/>
    <w:rsid w:val="002A1E00"/>
    <w:rsid w:val="002A2487"/>
    <w:rsid w:val="002A24F0"/>
    <w:rsid w:val="002A2526"/>
    <w:rsid w:val="002A28F4"/>
    <w:rsid w:val="002A2B0B"/>
    <w:rsid w:val="002A2FC6"/>
    <w:rsid w:val="002A31B6"/>
    <w:rsid w:val="002A32D8"/>
    <w:rsid w:val="002A36CF"/>
    <w:rsid w:val="002A36EF"/>
    <w:rsid w:val="002A3760"/>
    <w:rsid w:val="002A3828"/>
    <w:rsid w:val="002A388E"/>
    <w:rsid w:val="002A41B2"/>
    <w:rsid w:val="002A48E6"/>
    <w:rsid w:val="002A4AFC"/>
    <w:rsid w:val="002A54DC"/>
    <w:rsid w:val="002A5578"/>
    <w:rsid w:val="002A5661"/>
    <w:rsid w:val="002A5727"/>
    <w:rsid w:val="002A57DB"/>
    <w:rsid w:val="002A594B"/>
    <w:rsid w:val="002A5D6D"/>
    <w:rsid w:val="002A5E58"/>
    <w:rsid w:val="002A61ED"/>
    <w:rsid w:val="002A6403"/>
    <w:rsid w:val="002A6ACC"/>
    <w:rsid w:val="002A6C7A"/>
    <w:rsid w:val="002A6CAB"/>
    <w:rsid w:val="002A6F98"/>
    <w:rsid w:val="002A735D"/>
    <w:rsid w:val="002A73AB"/>
    <w:rsid w:val="002A742A"/>
    <w:rsid w:val="002A7824"/>
    <w:rsid w:val="002A78A0"/>
    <w:rsid w:val="002A7AC1"/>
    <w:rsid w:val="002A7B2A"/>
    <w:rsid w:val="002A7F7D"/>
    <w:rsid w:val="002B00D2"/>
    <w:rsid w:val="002B0111"/>
    <w:rsid w:val="002B047C"/>
    <w:rsid w:val="002B05C1"/>
    <w:rsid w:val="002B0757"/>
    <w:rsid w:val="002B0927"/>
    <w:rsid w:val="002B0AD9"/>
    <w:rsid w:val="002B0EA9"/>
    <w:rsid w:val="002B11A6"/>
    <w:rsid w:val="002B14A8"/>
    <w:rsid w:val="002B15F5"/>
    <w:rsid w:val="002B175A"/>
    <w:rsid w:val="002B17F4"/>
    <w:rsid w:val="002B1C53"/>
    <w:rsid w:val="002B1DA7"/>
    <w:rsid w:val="002B200F"/>
    <w:rsid w:val="002B24D7"/>
    <w:rsid w:val="002B28BB"/>
    <w:rsid w:val="002B2928"/>
    <w:rsid w:val="002B2961"/>
    <w:rsid w:val="002B2B5E"/>
    <w:rsid w:val="002B304C"/>
    <w:rsid w:val="002B316A"/>
    <w:rsid w:val="002B3244"/>
    <w:rsid w:val="002B35F2"/>
    <w:rsid w:val="002B37A9"/>
    <w:rsid w:val="002B3A98"/>
    <w:rsid w:val="002B3BCE"/>
    <w:rsid w:val="002B3C9F"/>
    <w:rsid w:val="002B3DAC"/>
    <w:rsid w:val="002B3E4A"/>
    <w:rsid w:val="002B401D"/>
    <w:rsid w:val="002B40B3"/>
    <w:rsid w:val="002B418E"/>
    <w:rsid w:val="002B4400"/>
    <w:rsid w:val="002B445A"/>
    <w:rsid w:val="002B487F"/>
    <w:rsid w:val="002B498F"/>
    <w:rsid w:val="002B4D42"/>
    <w:rsid w:val="002B4F00"/>
    <w:rsid w:val="002B4F14"/>
    <w:rsid w:val="002B539D"/>
    <w:rsid w:val="002B546C"/>
    <w:rsid w:val="002B59E0"/>
    <w:rsid w:val="002B5BDA"/>
    <w:rsid w:val="002B5CC9"/>
    <w:rsid w:val="002B5D45"/>
    <w:rsid w:val="002B5DA5"/>
    <w:rsid w:val="002B6368"/>
    <w:rsid w:val="002B66EC"/>
    <w:rsid w:val="002B67FF"/>
    <w:rsid w:val="002B6FA0"/>
    <w:rsid w:val="002B71FD"/>
    <w:rsid w:val="002B720E"/>
    <w:rsid w:val="002B7440"/>
    <w:rsid w:val="002B7506"/>
    <w:rsid w:val="002B797D"/>
    <w:rsid w:val="002B7A6A"/>
    <w:rsid w:val="002B7CF8"/>
    <w:rsid w:val="002B7D2F"/>
    <w:rsid w:val="002B7FF7"/>
    <w:rsid w:val="002C01B9"/>
    <w:rsid w:val="002C0304"/>
    <w:rsid w:val="002C0348"/>
    <w:rsid w:val="002C0367"/>
    <w:rsid w:val="002C05AF"/>
    <w:rsid w:val="002C0A2B"/>
    <w:rsid w:val="002C0C1E"/>
    <w:rsid w:val="002C0D75"/>
    <w:rsid w:val="002C0E7F"/>
    <w:rsid w:val="002C1168"/>
    <w:rsid w:val="002C122C"/>
    <w:rsid w:val="002C145F"/>
    <w:rsid w:val="002C16B9"/>
    <w:rsid w:val="002C1758"/>
    <w:rsid w:val="002C19AF"/>
    <w:rsid w:val="002C1BE8"/>
    <w:rsid w:val="002C1F81"/>
    <w:rsid w:val="002C21F5"/>
    <w:rsid w:val="002C222A"/>
    <w:rsid w:val="002C22E5"/>
    <w:rsid w:val="002C2477"/>
    <w:rsid w:val="002C25FF"/>
    <w:rsid w:val="002C2836"/>
    <w:rsid w:val="002C2ADF"/>
    <w:rsid w:val="002C3024"/>
    <w:rsid w:val="002C30A9"/>
    <w:rsid w:val="002C311B"/>
    <w:rsid w:val="002C32AC"/>
    <w:rsid w:val="002C34CE"/>
    <w:rsid w:val="002C35C4"/>
    <w:rsid w:val="002C37B4"/>
    <w:rsid w:val="002C3976"/>
    <w:rsid w:val="002C3AF1"/>
    <w:rsid w:val="002C3B46"/>
    <w:rsid w:val="002C4148"/>
    <w:rsid w:val="002C417C"/>
    <w:rsid w:val="002C419F"/>
    <w:rsid w:val="002C41AD"/>
    <w:rsid w:val="002C4268"/>
    <w:rsid w:val="002C4305"/>
    <w:rsid w:val="002C461A"/>
    <w:rsid w:val="002C497E"/>
    <w:rsid w:val="002C52BE"/>
    <w:rsid w:val="002C5681"/>
    <w:rsid w:val="002C5AD3"/>
    <w:rsid w:val="002C61AB"/>
    <w:rsid w:val="002C6373"/>
    <w:rsid w:val="002C6501"/>
    <w:rsid w:val="002C660C"/>
    <w:rsid w:val="002C686D"/>
    <w:rsid w:val="002C691B"/>
    <w:rsid w:val="002C6AA4"/>
    <w:rsid w:val="002C768E"/>
    <w:rsid w:val="002C7796"/>
    <w:rsid w:val="002C78CB"/>
    <w:rsid w:val="002C7E98"/>
    <w:rsid w:val="002D0139"/>
    <w:rsid w:val="002D01FA"/>
    <w:rsid w:val="002D0727"/>
    <w:rsid w:val="002D0B7F"/>
    <w:rsid w:val="002D0DA9"/>
    <w:rsid w:val="002D15FC"/>
    <w:rsid w:val="002D18FF"/>
    <w:rsid w:val="002D1C58"/>
    <w:rsid w:val="002D1C67"/>
    <w:rsid w:val="002D1CA6"/>
    <w:rsid w:val="002D1EF7"/>
    <w:rsid w:val="002D20F4"/>
    <w:rsid w:val="002D21C7"/>
    <w:rsid w:val="002D22FA"/>
    <w:rsid w:val="002D25E3"/>
    <w:rsid w:val="002D2883"/>
    <w:rsid w:val="002D2B78"/>
    <w:rsid w:val="002D322C"/>
    <w:rsid w:val="002D32F1"/>
    <w:rsid w:val="002D3429"/>
    <w:rsid w:val="002D3504"/>
    <w:rsid w:val="002D35FA"/>
    <w:rsid w:val="002D3600"/>
    <w:rsid w:val="002D36DE"/>
    <w:rsid w:val="002D3754"/>
    <w:rsid w:val="002D37F2"/>
    <w:rsid w:val="002D39F8"/>
    <w:rsid w:val="002D3B02"/>
    <w:rsid w:val="002D3BAF"/>
    <w:rsid w:val="002D3C62"/>
    <w:rsid w:val="002D3EBB"/>
    <w:rsid w:val="002D4122"/>
    <w:rsid w:val="002D52D5"/>
    <w:rsid w:val="002D55F2"/>
    <w:rsid w:val="002D56EB"/>
    <w:rsid w:val="002D57A7"/>
    <w:rsid w:val="002D57D6"/>
    <w:rsid w:val="002D598D"/>
    <w:rsid w:val="002D5AFC"/>
    <w:rsid w:val="002D64D8"/>
    <w:rsid w:val="002D6533"/>
    <w:rsid w:val="002D67C3"/>
    <w:rsid w:val="002D682B"/>
    <w:rsid w:val="002D69E4"/>
    <w:rsid w:val="002D6AB9"/>
    <w:rsid w:val="002D6B89"/>
    <w:rsid w:val="002D6F8D"/>
    <w:rsid w:val="002D7438"/>
    <w:rsid w:val="002D74C0"/>
    <w:rsid w:val="002D7509"/>
    <w:rsid w:val="002D778C"/>
    <w:rsid w:val="002D7DE5"/>
    <w:rsid w:val="002D7EC3"/>
    <w:rsid w:val="002E00F1"/>
    <w:rsid w:val="002E020D"/>
    <w:rsid w:val="002E0B87"/>
    <w:rsid w:val="002E0BA4"/>
    <w:rsid w:val="002E1504"/>
    <w:rsid w:val="002E19EC"/>
    <w:rsid w:val="002E1FB9"/>
    <w:rsid w:val="002E2219"/>
    <w:rsid w:val="002E232D"/>
    <w:rsid w:val="002E24CA"/>
    <w:rsid w:val="002E26FD"/>
    <w:rsid w:val="002E27C1"/>
    <w:rsid w:val="002E2A3A"/>
    <w:rsid w:val="002E2BAC"/>
    <w:rsid w:val="002E2CBC"/>
    <w:rsid w:val="002E2DFC"/>
    <w:rsid w:val="002E2E42"/>
    <w:rsid w:val="002E3A9F"/>
    <w:rsid w:val="002E3B41"/>
    <w:rsid w:val="002E3F55"/>
    <w:rsid w:val="002E4141"/>
    <w:rsid w:val="002E42D3"/>
    <w:rsid w:val="002E4445"/>
    <w:rsid w:val="002E480E"/>
    <w:rsid w:val="002E48AC"/>
    <w:rsid w:val="002E534A"/>
    <w:rsid w:val="002E5E91"/>
    <w:rsid w:val="002E6497"/>
    <w:rsid w:val="002E6813"/>
    <w:rsid w:val="002E6A17"/>
    <w:rsid w:val="002E6B63"/>
    <w:rsid w:val="002E6C57"/>
    <w:rsid w:val="002E6D84"/>
    <w:rsid w:val="002E6EE0"/>
    <w:rsid w:val="002E6F79"/>
    <w:rsid w:val="002E708F"/>
    <w:rsid w:val="002E711A"/>
    <w:rsid w:val="002E7385"/>
    <w:rsid w:val="002E747B"/>
    <w:rsid w:val="002E765E"/>
    <w:rsid w:val="002E7680"/>
    <w:rsid w:val="002E771D"/>
    <w:rsid w:val="002E7758"/>
    <w:rsid w:val="002E7786"/>
    <w:rsid w:val="002E79E4"/>
    <w:rsid w:val="002E7F70"/>
    <w:rsid w:val="002F0166"/>
    <w:rsid w:val="002F05BC"/>
    <w:rsid w:val="002F07F0"/>
    <w:rsid w:val="002F0D6D"/>
    <w:rsid w:val="002F1239"/>
    <w:rsid w:val="002F13F3"/>
    <w:rsid w:val="002F15DF"/>
    <w:rsid w:val="002F18C5"/>
    <w:rsid w:val="002F1AE7"/>
    <w:rsid w:val="002F1E0D"/>
    <w:rsid w:val="002F1E16"/>
    <w:rsid w:val="002F24F5"/>
    <w:rsid w:val="002F2814"/>
    <w:rsid w:val="002F2961"/>
    <w:rsid w:val="002F296C"/>
    <w:rsid w:val="002F2C75"/>
    <w:rsid w:val="002F2E53"/>
    <w:rsid w:val="002F2EA5"/>
    <w:rsid w:val="002F2FEC"/>
    <w:rsid w:val="002F3400"/>
    <w:rsid w:val="002F3E36"/>
    <w:rsid w:val="002F41EC"/>
    <w:rsid w:val="002F42D8"/>
    <w:rsid w:val="002F4423"/>
    <w:rsid w:val="002F490D"/>
    <w:rsid w:val="002F4AF4"/>
    <w:rsid w:val="002F54FB"/>
    <w:rsid w:val="002F57CA"/>
    <w:rsid w:val="002F5B37"/>
    <w:rsid w:val="002F5D2D"/>
    <w:rsid w:val="002F5F76"/>
    <w:rsid w:val="002F61C4"/>
    <w:rsid w:val="002F6463"/>
    <w:rsid w:val="002F6998"/>
    <w:rsid w:val="002F69AF"/>
    <w:rsid w:val="002F6A03"/>
    <w:rsid w:val="002F6A54"/>
    <w:rsid w:val="002F6B51"/>
    <w:rsid w:val="002F6F64"/>
    <w:rsid w:val="002F7003"/>
    <w:rsid w:val="002F73B2"/>
    <w:rsid w:val="002F745C"/>
    <w:rsid w:val="002F7741"/>
    <w:rsid w:val="002F7C03"/>
    <w:rsid w:val="002F7CEB"/>
    <w:rsid w:val="002F7ED6"/>
    <w:rsid w:val="00300387"/>
    <w:rsid w:val="003005F6"/>
    <w:rsid w:val="00300803"/>
    <w:rsid w:val="00300FC6"/>
    <w:rsid w:val="00301022"/>
    <w:rsid w:val="003011CA"/>
    <w:rsid w:val="0030137F"/>
    <w:rsid w:val="003014A4"/>
    <w:rsid w:val="003019C4"/>
    <w:rsid w:val="00301B6E"/>
    <w:rsid w:val="00301B72"/>
    <w:rsid w:val="00301F10"/>
    <w:rsid w:val="00301FD7"/>
    <w:rsid w:val="0030218A"/>
    <w:rsid w:val="00302733"/>
    <w:rsid w:val="003028C4"/>
    <w:rsid w:val="00302AFE"/>
    <w:rsid w:val="00303150"/>
    <w:rsid w:val="003036B2"/>
    <w:rsid w:val="0030376C"/>
    <w:rsid w:val="00303BE0"/>
    <w:rsid w:val="00303CB1"/>
    <w:rsid w:val="00303DD1"/>
    <w:rsid w:val="00303DFD"/>
    <w:rsid w:val="00303E44"/>
    <w:rsid w:val="00303FDA"/>
    <w:rsid w:val="00304337"/>
    <w:rsid w:val="0030435C"/>
    <w:rsid w:val="00304555"/>
    <w:rsid w:val="00304675"/>
    <w:rsid w:val="003049E0"/>
    <w:rsid w:val="00304E5A"/>
    <w:rsid w:val="003050E4"/>
    <w:rsid w:val="00305395"/>
    <w:rsid w:val="00305409"/>
    <w:rsid w:val="003055B5"/>
    <w:rsid w:val="00305671"/>
    <w:rsid w:val="003056FF"/>
    <w:rsid w:val="003058C7"/>
    <w:rsid w:val="00306064"/>
    <w:rsid w:val="003065B9"/>
    <w:rsid w:val="00306DB6"/>
    <w:rsid w:val="00307091"/>
    <w:rsid w:val="003071B1"/>
    <w:rsid w:val="003071CA"/>
    <w:rsid w:val="0030770F"/>
    <w:rsid w:val="00307AC8"/>
    <w:rsid w:val="00307ADC"/>
    <w:rsid w:val="00307F9D"/>
    <w:rsid w:val="003101F7"/>
    <w:rsid w:val="0031027A"/>
    <w:rsid w:val="00310553"/>
    <w:rsid w:val="00310A56"/>
    <w:rsid w:val="00310C97"/>
    <w:rsid w:val="00310E5E"/>
    <w:rsid w:val="00310F50"/>
    <w:rsid w:val="003110E2"/>
    <w:rsid w:val="00311214"/>
    <w:rsid w:val="003114EB"/>
    <w:rsid w:val="0031150E"/>
    <w:rsid w:val="00311633"/>
    <w:rsid w:val="003119D1"/>
    <w:rsid w:val="00311A94"/>
    <w:rsid w:val="00311B7A"/>
    <w:rsid w:val="00311FFD"/>
    <w:rsid w:val="003123A9"/>
    <w:rsid w:val="003125A7"/>
    <w:rsid w:val="00312717"/>
    <w:rsid w:val="0031295F"/>
    <w:rsid w:val="00312FF7"/>
    <w:rsid w:val="0031302C"/>
    <w:rsid w:val="0031344A"/>
    <w:rsid w:val="00313B5B"/>
    <w:rsid w:val="00314153"/>
    <w:rsid w:val="00314252"/>
    <w:rsid w:val="003146E5"/>
    <w:rsid w:val="0031477B"/>
    <w:rsid w:val="003148EC"/>
    <w:rsid w:val="003149F6"/>
    <w:rsid w:val="00314CE8"/>
    <w:rsid w:val="00314E3E"/>
    <w:rsid w:val="00315078"/>
    <w:rsid w:val="003151A1"/>
    <w:rsid w:val="00315404"/>
    <w:rsid w:val="0031560A"/>
    <w:rsid w:val="00315A7B"/>
    <w:rsid w:val="00315B98"/>
    <w:rsid w:val="0031639B"/>
    <w:rsid w:val="003165CA"/>
    <w:rsid w:val="003166B5"/>
    <w:rsid w:val="00316935"/>
    <w:rsid w:val="00316C29"/>
    <w:rsid w:val="00316D41"/>
    <w:rsid w:val="00316E3A"/>
    <w:rsid w:val="00316F5A"/>
    <w:rsid w:val="00316F76"/>
    <w:rsid w:val="0031707D"/>
    <w:rsid w:val="00317629"/>
    <w:rsid w:val="003176CE"/>
    <w:rsid w:val="00317C67"/>
    <w:rsid w:val="00317D8D"/>
    <w:rsid w:val="003201B5"/>
    <w:rsid w:val="00320239"/>
    <w:rsid w:val="00320334"/>
    <w:rsid w:val="003204BD"/>
    <w:rsid w:val="003209B4"/>
    <w:rsid w:val="00320E3F"/>
    <w:rsid w:val="00320F3C"/>
    <w:rsid w:val="00320FE6"/>
    <w:rsid w:val="0032101C"/>
    <w:rsid w:val="003213C3"/>
    <w:rsid w:val="00321534"/>
    <w:rsid w:val="00321774"/>
    <w:rsid w:val="003218D6"/>
    <w:rsid w:val="00321922"/>
    <w:rsid w:val="00321A7B"/>
    <w:rsid w:val="00321C5B"/>
    <w:rsid w:val="00321E4F"/>
    <w:rsid w:val="00321FCB"/>
    <w:rsid w:val="00322124"/>
    <w:rsid w:val="0032221F"/>
    <w:rsid w:val="0032296F"/>
    <w:rsid w:val="00322E5E"/>
    <w:rsid w:val="00322FC7"/>
    <w:rsid w:val="0032349E"/>
    <w:rsid w:val="003235F1"/>
    <w:rsid w:val="00323766"/>
    <w:rsid w:val="0032388C"/>
    <w:rsid w:val="00323910"/>
    <w:rsid w:val="00323ABB"/>
    <w:rsid w:val="00323BA9"/>
    <w:rsid w:val="00324207"/>
    <w:rsid w:val="003245FE"/>
    <w:rsid w:val="00324C93"/>
    <w:rsid w:val="00324EFE"/>
    <w:rsid w:val="00325088"/>
    <w:rsid w:val="0032514B"/>
    <w:rsid w:val="003254FF"/>
    <w:rsid w:val="00325905"/>
    <w:rsid w:val="0032606C"/>
    <w:rsid w:val="003263FD"/>
    <w:rsid w:val="003265B6"/>
    <w:rsid w:val="00326747"/>
    <w:rsid w:val="003269C7"/>
    <w:rsid w:val="00326A3F"/>
    <w:rsid w:val="00326BDB"/>
    <w:rsid w:val="00326E09"/>
    <w:rsid w:val="00326E53"/>
    <w:rsid w:val="0032705C"/>
    <w:rsid w:val="003273D8"/>
    <w:rsid w:val="003275DA"/>
    <w:rsid w:val="00327877"/>
    <w:rsid w:val="00327FE2"/>
    <w:rsid w:val="0033009A"/>
    <w:rsid w:val="00330365"/>
    <w:rsid w:val="003304C2"/>
    <w:rsid w:val="003306AA"/>
    <w:rsid w:val="003309E8"/>
    <w:rsid w:val="00330B4D"/>
    <w:rsid w:val="00330D95"/>
    <w:rsid w:val="00330F12"/>
    <w:rsid w:val="003310F2"/>
    <w:rsid w:val="00331912"/>
    <w:rsid w:val="0033198E"/>
    <w:rsid w:val="00331BE2"/>
    <w:rsid w:val="00331C9D"/>
    <w:rsid w:val="00332080"/>
    <w:rsid w:val="003321F3"/>
    <w:rsid w:val="00332466"/>
    <w:rsid w:val="003324E8"/>
    <w:rsid w:val="0033287B"/>
    <w:rsid w:val="00332978"/>
    <w:rsid w:val="00332A43"/>
    <w:rsid w:val="003330BD"/>
    <w:rsid w:val="00333216"/>
    <w:rsid w:val="003332AA"/>
    <w:rsid w:val="00333748"/>
    <w:rsid w:val="00333A8F"/>
    <w:rsid w:val="00333FC2"/>
    <w:rsid w:val="00334160"/>
    <w:rsid w:val="0033460C"/>
    <w:rsid w:val="00334822"/>
    <w:rsid w:val="00334DBE"/>
    <w:rsid w:val="0033516A"/>
    <w:rsid w:val="0033516D"/>
    <w:rsid w:val="00335835"/>
    <w:rsid w:val="00335B89"/>
    <w:rsid w:val="00335BB4"/>
    <w:rsid w:val="0033607E"/>
    <w:rsid w:val="00336198"/>
    <w:rsid w:val="003361AF"/>
    <w:rsid w:val="0033672F"/>
    <w:rsid w:val="00336766"/>
    <w:rsid w:val="003372D3"/>
    <w:rsid w:val="00337492"/>
    <w:rsid w:val="00337775"/>
    <w:rsid w:val="00337B66"/>
    <w:rsid w:val="00337C53"/>
    <w:rsid w:val="00337C69"/>
    <w:rsid w:val="00337C6F"/>
    <w:rsid w:val="003400EC"/>
    <w:rsid w:val="003402D8"/>
    <w:rsid w:val="00340893"/>
    <w:rsid w:val="00340AFD"/>
    <w:rsid w:val="00340F46"/>
    <w:rsid w:val="00341172"/>
    <w:rsid w:val="00341382"/>
    <w:rsid w:val="003418CE"/>
    <w:rsid w:val="003428DC"/>
    <w:rsid w:val="00342DAA"/>
    <w:rsid w:val="00342EA9"/>
    <w:rsid w:val="00343274"/>
    <w:rsid w:val="003439D7"/>
    <w:rsid w:val="00343AD5"/>
    <w:rsid w:val="00343CE6"/>
    <w:rsid w:val="00343CF9"/>
    <w:rsid w:val="0034432E"/>
    <w:rsid w:val="00344D3B"/>
    <w:rsid w:val="00344D56"/>
    <w:rsid w:val="00344F2E"/>
    <w:rsid w:val="00344F47"/>
    <w:rsid w:val="003450EF"/>
    <w:rsid w:val="003451C1"/>
    <w:rsid w:val="0034536F"/>
    <w:rsid w:val="00345456"/>
    <w:rsid w:val="00345625"/>
    <w:rsid w:val="003461EF"/>
    <w:rsid w:val="00346855"/>
    <w:rsid w:val="003468FC"/>
    <w:rsid w:val="00346923"/>
    <w:rsid w:val="00346F2E"/>
    <w:rsid w:val="0034713A"/>
    <w:rsid w:val="003472D1"/>
    <w:rsid w:val="00347301"/>
    <w:rsid w:val="003475D8"/>
    <w:rsid w:val="00347722"/>
    <w:rsid w:val="00347725"/>
    <w:rsid w:val="00347AB3"/>
    <w:rsid w:val="00347DA8"/>
    <w:rsid w:val="00347DD8"/>
    <w:rsid w:val="00347E12"/>
    <w:rsid w:val="0035012D"/>
    <w:rsid w:val="00350258"/>
    <w:rsid w:val="003506B2"/>
    <w:rsid w:val="00350820"/>
    <w:rsid w:val="00350B22"/>
    <w:rsid w:val="00350B8F"/>
    <w:rsid w:val="00350DE2"/>
    <w:rsid w:val="00350E84"/>
    <w:rsid w:val="00350E9A"/>
    <w:rsid w:val="003513A5"/>
    <w:rsid w:val="003513B6"/>
    <w:rsid w:val="003513D4"/>
    <w:rsid w:val="00351AE0"/>
    <w:rsid w:val="00351E95"/>
    <w:rsid w:val="00352256"/>
    <w:rsid w:val="00352275"/>
    <w:rsid w:val="00352621"/>
    <w:rsid w:val="00353663"/>
    <w:rsid w:val="0035384F"/>
    <w:rsid w:val="00353AC5"/>
    <w:rsid w:val="00353EC2"/>
    <w:rsid w:val="00354152"/>
    <w:rsid w:val="00354364"/>
    <w:rsid w:val="00354D1F"/>
    <w:rsid w:val="00354D4E"/>
    <w:rsid w:val="0035559B"/>
    <w:rsid w:val="0035578D"/>
    <w:rsid w:val="003558C5"/>
    <w:rsid w:val="00355A6E"/>
    <w:rsid w:val="00355C2E"/>
    <w:rsid w:val="00355E98"/>
    <w:rsid w:val="00355EDA"/>
    <w:rsid w:val="003560D4"/>
    <w:rsid w:val="003562B7"/>
    <w:rsid w:val="0035632A"/>
    <w:rsid w:val="003564C2"/>
    <w:rsid w:val="003568E7"/>
    <w:rsid w:val="00356C4A"/>
    <w:rsid w:val="00356DDD"/>
    <w:rsid w:val="00357A55"/>
    <w:rsid w:val="00357B85"/>
    <w:rsid w:val="00357CEC"/>
    <w:rsid w:val="00357FC5"/>
    <w:rsid w:val="0036010C"/>
    <w:rsid w:val="00360294"/>
    <w:rsid w:val="00360763"/>
    <w:rsid w:val="00360AF7"/>
    <w:rsid w:val="00360B3C"/>
    <w:rsid w:val="00360CA1"/>
    <w:rsid w:val="00360D56"/>
    <w:rsid w:val="00361500"/>
    <w:rsid w:val="00361B4B"/>
    <w:rsid w:val="00362125"/>
    <w:rsid w:val="0036246E"/>
    <w:rsid w:val="003627C2"/>
    <w:rsid w:val="003628F7"/>
    <w:rsid w:val="00362A8C"/>
    <w:rsid w:val="00362AC1"/>
    <w:rsid w:val="00362FCD"/>
    <w:rsid w:val="003630CD"/>
    <w:rsid w:val="003632F0"/>
    <w:rsid w:val="00363702"/>
    <w:rsid w:val="003639E0"/>
    <w:rsid w:val="00363CA7"/>
    <w:rsid w:val="003640F6"/>
    <w:rsid w:val="00364106"/>
    <w:rsid w:val="0036424F"/>
    <w:rsid w:val="0036451C"/>
    <w:rsid w:val="00364987"/>
    <w:rsid w:val="00364A1F"/>
    <w:rsid w:val="00364A20"/>
    <w:rsid w:val="00364AE6"/>
    <w:rsid w:val="00364DD0"/>
    <w:rsid w:val="00364E83"/>
    <w:rsid w:val="003652A0"/>
    <w:rsid w:val="00365406"/>
    <w:rsid w:val="0036557A"/>
    <w:rsid w:val="003655F5"/>
    <w:rsid w:val="0036571F"/>
    <w:rsid w:val="00365BB2"/>
    <w:rsid w:val="00365C21"/>
    <w:rsid w:val="00365CB5"/>
    <w:rsid w:val="0036604E"/>
    <w:rsid w:val="00366062"/>
    <w:rsid w:val="003663A9"/>
    <w:rsid w:val="003665ED"/>
    <w:rsid w:val="00366902"/>
    <w:rsid w:val="0036692E"/>
    <w:rsid w:val="00366999"/>
    <w:rsid w:val="00366B1B"/>
    <w:rsid w:val="00366B6B"/>
    <w:rsid w:val="00366D54"/>
    <w:rsid w:val="003673D8"/>
    <w:rsid w:val="00367674"/>
    <w:rsid w:val="003678A5"/>
    <w:rsid w:val="00367994"/>
    <w:rsid w:val="003679E4"/>
    <w:rsid w:val="00367BBC"/>
    <w:rsid w:val="00370009"/>
    <w:rsid w:val="003709E1"/>
    <w:rsid w:val="00370A00"/>
    <w:rsid w:val="00370B4E"/>
    <w:rsid w:val="00370B99"/>
    <w:rsid w:val="00371103"/>
    <w:rsid w:val="00371512"/>
    <w:rsid w:val="003717AC"/>
    <w:rsid w:val="0037199A"/>
    <w:rsid w:val="00371A4A"/>
    <w:rsid w:val="00371B22"/>
    <w:rsid w:val="00371C15"/>
    <w:rsid w:val="00371F33"/>
    <w:rsid w:val="0037203E"/>
    <w:rsid w:val="00372360"/>
    <w:rsid w:val="00372401"/>
    <w:rsid w:val="0037246D"/>
    <w:rsid w:val="0037252A"/>
    <w:rsid w:val="003728D7"/>
    <w:rsid w:val="00372A2E"/>
    <w:rsid w:val="00372C62"/>
    <w:rsid w:val="00373052"/>
    <w:rsid w:val="00373200"/>
    <w:rsid w:val="0037327E"/>
    <w:rsid w:val="00373294"/>
    <w:rsid w:val="00373357"/>
    <w:rsid w:val="003734D8"/>
    <w:rsid w:val="003736AA"/>
    <w:rsid w:val="00373F7C"/>
    <w:rsid w:val="00374AEF"/>
    <w:rsid w:val="00374F9D"/>
    <w:rsid w:val="00374FFA"/>
    <w:rsid w:val="0037510D"/>
    <w:rsid w:val="00375677"/>
    <w:rsid w:val="003757CC"/>
    <w:rsid w:val="00375999"/>
    <w:rsid w:val="00375A63"/>
    <w:rsid w:val="00375CBF"/>
    <w:rsid w:val="00375EFC"/>
    <w:rsid w:val="00376255"/>
    <w:rsid w:val="003764F4"/>
    <w:rsid w:val="003764FB"/>
    <w:rsid w:val="003765FA"/>
    <w:rsid w:val="00376786"/>
    <w:rsid w:val="003771FA"/>
    <w:rsid w:val="003773A0"/>
    <w:rsid w:val="0037741E"/>
    <w:rsid w:val="0037761F"/>
    <w:rsid w:val="00377812"/>
    <w:rsid w:val="00377823"/>
    <w:rsid w:val="00377831"/>
    <w:rsid w:val="00377A1F"/>
    <w:rsid w:val="00377EA5"/>
    <w:rsid w:val="00380968"/>
    <w:rsid w:val="00380AB0"/>
    <w:rsid w:val="00380B56"/>
    <w:rsid w:val="00380B9E"/>
    <w:rsid w:val="00380E0D"/>
    <w:rsid w:val="00381130"/>
    <w:rsid w:val="00381167"/>
    <w:rsid w:val="00381310"/>
    <w:rsid w:val="00381316"/>
    <w:rsid w:val="00381434"/>
    <w:rsid w:val="003814D4"/>
    <w:rsid w:val="003814EF"/>
    <w:rsid w:val="0038184B"/>
    <w:rsid w:val="00381962"/>
    <w:rsid w:val="00381DBF"/>
    <w:rsid w:val="00381DD7"/>
    <w:rsid w:val="0038214C"/>
    <w:rsid w:val="0038244B"/>
    <w:rsid w:val="00382468"/>
    <w:rsid w:val="00382993"/>
    <w:rsid w:val="00382D8A"/>
    <w:rsid w:val="00382E00"/>
    <w:rsid w:val="00382ED1"/>
    <w:rsid w:val="00383386"/>
    <w:rsid w:val="003833DF"/>
    <w:rsid w:val="00383450"/>
    <w:rsid w:val="0038356F"/>
    <w:rsid w:val="003837CC"/>
    <w:rsid w:val="00383C88"/>
    <w:rsid w:val="00384332"/>
    <w:rsid w:val="003843AF"/>
    <w:rsid w:val="00384633"/>
    <w:rsid w:val="00384641"/>
    <w:rsid w:val="00384B8C"/>
    <w:rsid w:val="00384C34"/>
    <w:rsid w:val="00384CAE"/>
    <w:rsid w:val="00384DFA"/>
    <w:rsid w:val="00384E2A"/>
    <w:rsid w:val="00384FBB"/>
    <w:rsid w:val="00384FF1"/>
    <w:rsid w:val="003851C9"/>
    <w:rsid w:val="0038525B"/>
    <w:rsid w:val="003856F9"/>
    <w:rsid w:val="00385864"/>
    <w:rsid w:val="00385B94"/>
    <w:rsid w:val="00385CC3"/>
    <w:rsid w:val="00385DFF"/>
    <w:rsid w:val="00386437"/>
    <w:rsid w:val="003865C6"/>
    <w:rsid w:val="0038698F"/>
    <w:rsid w:val="00386AA9"/>
    <w:rsid w:val="00386B5E"/>
    <w:rsid w:val="00386F71"/>
    <w:rsid w:val="003870D9"/>
    <w:rsid w:val="00387223"/>
    <w:rsid w:val="003872B6"/>
    <w:rsid w:val="00387596"/>
    <w:rsid w:val="0038797D"/>
    <w:rsid w:val="00387B28"/>
    <w:rsid w:val="00387B39"/>
    <w:rsid w:val="00387BB7"/>
    <w:rsid w:val="0039007E"/>
    <w:rsid w:val="003900A8"/>
    <w:rsid w:val="00390332"/>
    <w:rsid w:val="003904B9"/>
    <w:rsid w:val="003906EC"/>
    <w:rsid w:val="00390807"/>
    <w:rsid w:val="003908E3"/>
    <w:rsid w:val="00390C96"/>
    <w:rsid w:val="0039132D"/>
    <w:rsid w:val="0039139E"/>
    <w:rsid w:val="00391768"/>
    <w:rsid w:val="0039186C"/>
    <w:rsid w:val="00391A2C"/>
    <w:rsid w:val="00391B98"/>
    <w:rsid w:val="00391C93"/>
    <w:rsid w:val="00392890"/>
    <w:rsid w:val="00392969"/>
    <w:rsid w:val="00392C6B"/>
    <w:rsid w:val="00393163"/>
    <w:rsid w:val="0039319A"/>
    <w:rsid w:val="003931D2"/>
    <w:rsid w:val="003933CA"/>
    <w:rsid w:val="00393494"/>
    <w:rsid w:val="00393529"/>
    <w:rsid w:val="0039353C"/>
    <w:rsid w:val="0039365B"/>
    <w:rsid w:val="00393900"/>
    <w:rsid w:val="00393C09"/>
    <w:rsid w:val="00393E9E"/>
    <w:rsid w:val="00393FAE"/>
    <w:rsid w:val="0039415F"/>
    <w:rsid w:val="00394187"/>
    <w:rsid w:val="003944B4"/>
    <w:rsid w:val="003946CE"/>
    <w:rsid w:val="0039499E"/>
    <w:rsid w:val="00394FC5"/>
    <w:rsid w:val="003951EA"/>
    <w:rsid w:val="00395584"/>
    <w:rsid w:val="003955C3"/>
    <w:rsid w:val="00395CFE"/>
    <w:rsid w:val="00396344"/>
    <w:rsid w:val="0039681E"/>
    <w:rsid w:val="00396B86"/>
    <w:rsid w:val="00396C29"/>
    <w:rsid w:val="00396CF0"/>
    <w:rsid w:val="00396F1D"/>
    <w:rsid w:val="00397284"/>
    <w:rsid w:val="003975AD"/>
    <w:rsid w:val="0039767D"/>
    <w:rsid w:val="0039785C"/>
    <w:rsid w:val="003978D6"/>
    <w:rsid w:val="003979F7"/>
    <w:rsid w:val="00397EAA"/>
    <w:rsid w:val="003A0106"/>
    <w:rsid w:val="003A0150"/>
    <w:rsid w:val="003A0157"/>
    <w:rsid w:val="003A02DD"/>
    <w:rsid w:val="003A05A1"/>
    <w:rsid w:val="003A05F4"/>
    <w:rsid w:val="003A05F5"/>
    <w:rsid w:val="003A08EB"/>
    <w:rsid w:val="003A0AA3"/>
    <w:rsid w:val="003A1345"/>
    <w:rsid w:val="003A14B4"/>
    <w:rsid w:val="003A16E1"/>
    <w:rsid w:val="003A1825"/>
    <w:rsid w:val="003A1C21"/>
    <w:rsid w:val="003A1EDF"/>
    <w:rsid w:val="003A20E3"/>
    <w:rsid w:val="003A222E"/>
    <w:rsid w:val="003A223F"/>
    <w:rsid w:val="003A22B0"/>
    <w:rsid w:val="003A2582"/>
    <w:rsid w:val="003A26B1"/>
    <w:rsid w:val="003A2748"/>
    <w:rsid w:val="003A2825"/>
    <w:rsid w:val="003A2968"/>
    <w:rsid w:val="003A2E75"/>
    <w:rsid w:val="003A2FC2"/>
    <w:rsid w:val="003A30F3"/>
    <w:rsid w:val="003A3209"/>
    <w:rsid w:val="003A3259"/>
    <w:rsid w:val="003A371D"/>
    <w:rsid w:val="003A3A93"/>
    <w:rsid w:val="003A3AE3"/>
    <w:rsid w:val="003A3C18"/>
    <w:rsid w:val="003A3D99"/>
    <w:rsid w:val="003A3E3D"/>
    <w:rsid w:val="003A3F9B"/>
    <w:rsid w:val="003A4415"/>
    <w:rsid w:val="003A451F"/>
    <w:rsid w:val="003A48B2"/>
    <w:rsid w:val="003A49DA"/>
    <w:rsid w:val="003A4A01"/>
    <w:rsid w:val="003A4B04"/>
    <w:rsid w:val="003A4B3F"/>
    <w:rsid w:val="003A4D1A"/>
    <w:rsid w:val="003A4D47"/>
    <w:rsid w:val="003A4EB3"/>
    <w:rsid w:val="003A5B06"/>
    <w:rsid w:val="003A5B39"/>
    <w:rsid w:val="003A5B7F"/>
    <w:rsid w:val="003A5E86"/>
    <w:rsid w:val="003A61C8"/>
    <w:rsid w:val="003A6428"/>
    <w:rsid w:val="003A6741"/>
    <w:rsid w:val="003A6763"/>
    <w:rsid w:val="003A67D3"/>
    <w:rsid w:val="003A67E6"/>
    <w:rsid w:val="003A6C77"/>
    <w:rsid w:val="003A6D5E"/>
    <w:rsid w:val="003A6E8B"/>
    <w:rsid w:val="003A6EE0"/>
    <w:rsid w:val="003A7119"/>
    <w:rsid w:val="003A75C6"/>
    <w:rsid w:val="003A79B3"/>
    <w:rsid w:val="003A7B3F"/>
    <w:rsid w:val="003A7E7D"/>
    <w:rsid w:val="003B0049"/>
    <w:rsid w:val="003B09A3"/>
    <w:rsid w:val="003B0DDA"/>
    <w:rsid w:val="003B0E1C"/>
    <w:rsid w:val="003B1101"/>
    <w:rsid w:val="003B179E"/>
    <w:rsid w:val="003B18B8"/>
    <w:rsid w:val="003B18C7"/>
    <w:rsid w:val="003B1A70"/>
    <w:rsid w:val="003B1F51"/>
    <w:rsid w:val="003B2145"/>
    <w:rsid w:val="003B22BF"/>
    <w:rsid w:val="003B2472"/>
    <w:rsid w:val="003B28DB"/>
    <w:rsid w:val="003B2A54"/>
    <w:rsid w:val="003B2E40"/>
    <w:rsid w:val="003B3033"/>
    <w:rsid w:val="003B3194"/>
    <w:rsid w:val="003B327F"/>
    <w:rsid w:val="003B33B7"/>
    <w:rsid w:val="003B346A"/>
    <w:rsid w:val="003B3D06"/>
    <w:rsid w:val="003B3EE1"/>
    <w:rsid w:val="003B42E2"/>
    <w:rsid w:val="003B43FA"/>
    <w:rsid w:val="003B4566"/>
    <w:rsid w:val="003B4B3C"/>
    <w:rsid w:val="003B4D17"/>
    <w:rsid w:val="003B50B5"/>
    <w:rsid w:val="003B5717"/>
    <w:rsid w:val="003B5768"/>
    <w:rsid w:val="003B5982"/>
    <w:rsid w:val="003B5AB1"/>
    <w:rsid w:val="003B5FFE"/>
    <w:rsid w:val="003B60CD"/>
    <w:rsid w:val="003B60ED"/>
    <w:rsid w:val="003B61F3"/>
    <w:rsid w:val="003B6244"/>
    <w:rsid w:val="003B63E6"/>
    <w:rsid w:val="003B643C"/>
    <w:rsid w:val="003B6502"/>
    <w:rsid w:val="003B6599"/>
    <w:rsid w:val="003B6853"/>
    <w:rsid w:val="003B68A5"/>
    <w:rsid w:val="003B6AD9"/>
    <w:rsid w:val="003B6DD3"/>
    <w:rsid w:val="003B798B"/>
    <w:rsid w:val="003B7D64"/>
    <w:rsid w:val="003B7F0F"/>
    <w:rsid w:val="003C0157"/>
    <w:rsid w:val="003C05AA"/>
    <w:rsid w:val="003C08BD"/>
    <w:rsid w:val="003C098D"/>
    <w:rsid w:val="003C0B25"/>
    <w:rsid w:val="003C0C41"/>
    <w:rsid w:val="003C0EA2"/>
    <w:rsid w:val="003C1221"/>
    <w:rsid w:val="003C155D"/>
    <w:rsid w:val="003C1C5F"/>
    <w:rsid w:val="003C2680"/>
    <w:rsid w:val="003C29F0"/>
    <w:rsid w:val="003C3276"/>
    <w:rsid w:val="003C3371"/>
    <w:rsid w:val="003C33D4"/>
    <w:rsid w:val="003C344D"/>
    <w:rsid w:val="003C38F8"/>
    <w:rsid w:val="003C394F"/>
    <w:rsid w:val="003C39F4"/>
    <w:rsid w:val="003C3E70"/>
    <w:rsid w:val="003C401C"/>
    <w:rsid w:val="003C48B3"/>
    <w:rsid w:val="003C50A1"/>
    <w:rsid w:val="003C5354"/>
    <w:rsid w:val="003C54B6"/>
    <w:rsid w:val="003C6358"/>
    <w:rsid w:val="003C68BA"/>
    <w:rsid w:val="003C6C70"/>
    <w:rsid w:val="003C7180"/>
    <w:rsid w:val="003C71C6"/>
    <w:rsid w:val="003C7261"/>
    <w:rsid w:val="003C7281"/>
    <w:rsid w:val="003C729E"/>
    <w:rsid w:val="003C72AD"/>
    <w:rsid w:val="003C741E"/>
    <w:rsid w:val="003C7463"/>
    <w:rsid w:val="003D02BD"/>
    <w:rsid w:val="003D0338"/>
    <w:rsid w:val="003D0830"/>
    <w:rsid w:val="003D0B63"/>
    <w:rsid w:val="003D0D94"/>
    <w:rsid w:val="003D0E4B"/>
    <w:rsid w:val="003D139C"/>
    <w:rsid w:val="003D153C"/>
    <w:rsid w:val="003D2081"/>
    <w:rsid w:val="003D2374"/>
    <w:rsid w:val="003D25E6"/>
    <w:rsid w:val="003D2675"/>
    <w:rsid w:val="003D28E5"/>
    <w:rsid w:val="003D2A15"/>
    <w:rsid w:val="003D2AB4"/>
    <w:rsid w:val="003D2D0F"/>
    <w:rsid w:val="003D2D42"/>
    <w:rsid w:val="003D2E57"/>
    <w:rsid w:val="003D2EE8"/>
    <w:rsid w:val="003D3034"/>
    <w:rsid w:val="003D3541"/>
    <w:rsid w:val="003D3FD0"/>
    <w:rsid w:val="003D4184"/>
    <w:rsid w:val="003D44A1"/>
    <w:rsid w:val="003D461C"/>
    <w:rsid w:val="003D4653"/>
    <w:rsid w:val="003D4687"/>
    <w:rsid w:val="003D46C8"/>
    <w:rsid w:val="003D498F"/>
    <w:rsid w:val="003D4EBF"/>
    <w:rsid w:val="003D50B8"/>
    <w:rsid w:val="003D5173"/>
    <w:rsid w:val="003D5737"/>
    <w:rsid w:val="003D5AEA"/>
    <w:rsid w:val="003D5E49"/>
    <w:rsid w:val="003D6E65"/>
    <w:rsid w:val="003D6FF4"/>
    <w:rsid w:val="003D73C0"/>
    <w:rsid w:val="003D767F"/>
    <w:rsid w:val="003D7982"/>
    <w:rsid w:val="003D7FB5"/>
    <w:rsid w:val="003E03D7"/>
    <w:rsid w:val="003E0484"/>
    <w:rsid w:val="003E096B"/>
    <w:rsid w:val="003E0B41"/>
    <w:rsid w:val="003E0CC4"/>
    <w:rsid w:val="003E0D52"/>
    <w:rsid w:val="003E0E38"/>
    <w:rsid w:val="003E115C"/>
    <w:rsid w:val="003E1368"/>
    <w:rsid w:val="003E13B0"/>
    <w:rsid w:val="003E14CE"/>
    <w:rsid w:val="003E15DE"/>
    <w:rsid w:val="003E1804"/>
    <w:rsid w:val="003E18AD"/>
    <w:rsid w:val="003E1A2D"/>
    <w:rsid w:val="003E1C6F"/>
    <w:rsid w:val="003E2153"/>
    <w:rsid w:val="003E266C"/>
    <w:rsid w:val="003E2713"/>
    <w:rsid w:val="003E2737"/>
    <w:rsid w:val="003E28A6"/>
    <w:rsid w:val="003E28BC"/>
    <w:rsid w:val="003E2925"/>
    <w:rsid w:val="003E2F0E"/>
    <w:rsid w:val="003E2FDA"/>
    <w:rsid w:val="003E325A"/>
    <w:rsid w:val="003E355A"/>
    <w:rsid w:val="003E3712"/>
    <w:rsid w:val="003E3A27"/>
    <w:rsid w:val="003E3ABC"/>
    <w:rsid w:val="003E3D73"/>
    <w:rsid w:val="003E41E2"/>
    <w:rsid w:val="003E430C"/>
    <w:rsid w:val="003E4608"/>
    <w:rsid w:val="003E4801"/>
    <w:rsid w:val="003E4E72"/>
    <w:rsid w:val="003E4EEB"/>
    <w:rsid w:val="003E5352"/>
    <w:rsid w:val="003E5DB7"/>
    <w:rsid w:val="003E65BC"/>
    <w:rsid w:val="003E66F7"/>
    <w:rsid w:val="003E6790"/>
    <w:rsid w:val="003E67DB"/>
    <w:rsid w:val="003E681A"/>
    <w:rsid w:val="003E6CB2"/>
    <w:rsid w:val="003E6E76"/>
    <w:rsid w:val="003E7640"/>
    <w:rsid w:val="003F01AF"/>
    <w:rsid w:val="003F06A1"/>
    <w:rsid w:val="003F0853"/>
    <w:rsid w:val="003F0A97"/>
    <w:rsid w:val="003F0E3F"/>
    <w:rsid w:val="003F0E7C"/>
    <w:rsid w:val="003F0F4C"/>
    <w:rsid w:val="003F1961"/>
    <w:rsid w:val="003F1A7B"/>
    <w:rsid w:val="003F1B52"/>
    <w:rsid w:val="003F1E6C"/>
    <w:rsid w:val="003F22E2"/>
    <w:rsid w:val="003F23D9"/>
    <w:rsid w:val="003F2643"/>
    <w:rsid w:val="003F28C5"/>
    <w:rsid w:val="003F2A7D"/>
    <w:rsid w:val="003F2AA7"/>
    <w:rsid w:val="003F2B47"/>
    <w:rsid w:val="003F2F08"/>
    <w:rsid w:val="003F3511"/>
    <w:rsid w:val="003F366B"/>
    <w:rsid w:val="003F3901"/>
    <w:rsid w:val="003F3D27"/>
    <w:rsid w:val="003F3DF5"/>
    <w:rsid w:val="003F4126"/>
    <w:rsid w:val="003F455D"/>
    <w:rsid w:val="003F45FE"/>
    <w:rsid w:val="003F4BF9"/>
    <w:rsid w:val="003F4DA1"/>
    <w:rsid w:val="003F4DAC"/>
    <w:rsid w:val="003F4E0E"/>
    <w:rsid w:val="003F51C5"/>
    <w:rsid w:val="003F53FA"/>
    <w:rsid w:val="003F5569"/>
    <w:rsid w:val="003F562C"/>
    <w:rsid w:val="003F5BD4"/>
    <w:rsid w:val="003F62DA"/>
    <w:rsid w:val="003F6390"/>
    <w:rsid w:val="003F662D"/>
    <w:rsid w:val="003F69D2"/>
    <w:rsid w:val="003F6AA2"/>
    <w:rsid w:val="003F6EAC"/>
    <w:rsid w:val="003F739E"/>
    <w:rsid w:val="004006F0"/>
    <w:rsid w:val="004016D9"/>
    <w:rsid w:val="0040171E"/>
    <w:rsid w:val="00401C3C"/>
    <w:rsid w:val="00401C77"/>
    <w:rsid w:val="00402114"/>
    <w:rsid w:val="0040221B"/>
    <w:rsid w:val="00402662"/>
    <w:rsid w:val="00402A5B"/>
    <w:rsid w:val="00402F00"/>
    <w:rsid w:val="00403A89"/>
    <w:rsid w:val="00404275"/>
    <w:rsid w:val="004049E4"/>
    <w:rsid w:val="004049E9"/>
    <w:rsid w:val="00405080"/>
    <w:rsid w:val="0040531C"/>
    <w:rsid w:val="00405364"/>
    <w:rsid w:val="00405824"/>
    <w:rsid w:val="00405842"/>
    <w:rsid w:val="00405893"/>
    <w:rsid w:val="00405CA3"/>
    <w:rsid w:val="00405F98"/>
    <w:rsid w:val="00406051"/>
    <w:rsid w:val="0040634E"/>
    <w:rsid w:val="004063AE"/>
    <w:rsid w:val="004064CD"/>
    <w:rsid w:val="004064DD"/>
    <w:rsid w:val="00407052"/>
    <w:rsid w:val="004071E6"/>
    <w:rsid w:val="0040762C"/>
    <w:rsid w:val="0040791D"/>
    <w:rsid w:val="004079C5"/>
    <w:rsid w:val="00407AAB"/>
    <w:rsid w:val="00407E5F"/>
    <w:rsid w:val="00407E7C"/>
    <w:rsid w:val="00407F98"/>
    <w:rsid w:val="004100BA"/>
    <w:rsid w:val="004103D4"/>
    <w:rsid w:val="00410410"/>
    <w:rsid w:val="004104A7"/>
    <w:rsid w:val="004108DD"/>
    <w:rsid w:val="00410BAF"/>
    <w:rsid w:val="00410D45"/>
    <w:rsid w:val="00410E73"/>
    <w:rsid w:val="00411057"/>
    <w:rsid w:val="004116B5"/>
    <w:rsid w:val="00411907"/>
    <w:rsid w:val="00411A55"/>
    <w:rsid w:val="00412367"/>
    <w:rsid w:val="00412636"/>
    <w:rsid w:val="00412D52"/>
    <w:rsid w:val="00412D9F"/>
    <w:rsid w:val="004131AE"/>
    <w:rsid w:val="004131F4"/>
    <w:rsid w:val="00413773"/>
    <w:rsid w:val="004137DD"/>
    <w:rsid w:val="0041383B"/>
    <w:rsid w:val="00413CB1"/>
    <w:rsid w:val="00414269"/>
    <w:rsid w:val="00414342"/>
    <w:rsid w:val="00414537"/>
    <w:rsid w:val="00414591"/>
    <w:rsid w:val="00414AB9"/>
    <w:rsid w:val="00414AD7"/>
    <w:rsid w:val="00414F27"/>
    <w:rsid w:val="00415023"/>
    <w:rsid w:val="004150B8"/>
    <w:rsid w:val="004151C1"/>
    <w:rsid w:val="004151DC"/>
    <w:rsid w:val="0041535A"/>
    <w:rsid w:val="004155CA"/>
    <w:rsid w:val="00415614"/>
    <w:rsid w:val="004157FC"/>
    <w:rsid w:val="00415839"/>
    <w:rsid w:val="00415A5A"/>
    <w:rsid w:val="00415A6B"/>
    <w:rsid w:val="00415C54"/>
    <w:rsid w:val="00415D51"/>
    <w:rsid w:val="00415EB4"/>
    <w:rsid w:val="00415F36"/>
    <w:rsid w:val="00416099"/>
    <w:rsid w:val="00416657"/>
    <w:rsid w:val="00416661"/>
    <w:rsid w:val="00416679"/>
    <w:rsid w:val="004166A8"/>
    <w:rsid w:val="004168DC"/>
    <w:rsid w:val="00416FE2"/>
    <w:rsid w:val="00417131"/>
    <w:rsid w:val="0041725E"/>
    <w:rsid w:val="004173D5"/>
    <w:rsid w:val="004173D9"/>
    <w:rsid w:val="00417767"/>
    <w:rsid w:val="004177D3"/>
    <w:rsid w:val="00420612"/>
    <w:rsid w:val="0042071A"/>
    <w:rsid w:val="00420A7A"/>
    <w:rsid w:val="00420B3B"/>
    <w:rsid w:val="00420BAB"/>
    <w:rsid w:val="00420D3F"/>
    <w:rsid w:val="00420E6F"/>
    <w:rsid w:val="00421019"/>
    <w:rsid w:val="0042104C"/>
    <w:rsid w:val="00421748"/>
    <w:rsid w:val="00421779"/>
    <w:rsid w:val="004218CD"/>
    <w:rsid w:val="00421E6F"/>
    <w:rsid w:val="00421E84"/>
    <w:rsid w:val="00421F2A"/>
    <w:rsid w:val="00422343"/>
    <w:rsid w:val="00422370"/>
    <w:rsid w:val="00422608"/>
    <w:rsid w:val="00422616"/>
    <w:rsid w:val="0042284D"/>
    <w:rsid w:val="00422CD7"/>
    <w:rsid w:val="004232EF"/>
    <w:rsid w:val="004235C3"/>
    <w:rsid w:val="00423955"/>
    <w:rsid w:val="00423B48"/>
    <w:rsid w:val="00423D01"/>
    <w:rsid w:val="00424285"/>
    <w:rsid w:val="00424385"/>
    <w:rsid w:val="004245AF"/>
    <w:rsid w:val="0042469A"/>
    <w:rsid w:val="00424821"/>
    <w:rsid w:val="00425014"/>
    <w:rsid w:val="004252FE"/>
    <w:rsid w:val="00425327"/>
    <w:rsid w:val="00425516"/>
    <w:rsid w:val="00425632"/>
    <w:rsid w:val="0042572B"/>
    <w:rsid w:val="00425B4A"/>
    <w:rsid w:val="00425D1E"/>
    <w:rsid w:val="00425D23"/>
    <w:rsid w:val="00425D26"/>
    <w:rsid w:val="00425DA7"/>
    <w:rsid w:val="00426342"/>
    <w:rsid w:val="00426542"/>
    <w:rsid w:val="004265F8"/>
    <w:rsid w:val="00426833"/>
    <w:rsid w:val="00426D21"/>
    <w:rsid w:val="004271B3"/>
    <w:rsid w:val="0042726D"/>
    <w:rsid w:val="0042743C"/>
    <w:rsid w:val="004274DB"/>
    <w:rsid w:val="004275BC"/>
    <w:rsid w:val="004276EF"/>
    <w:rsid w:val="00427826"/>
    <w:rsid w:val="00430324"/>
    <w:rsid w:val="00430596"/>
    <w:rsid w:val="0043066B"/>
    <w:rsid w:val="00430838"/>
    <w:rsid w:val="004308BC"/>
    <w:rsid w:val="004308EB"/>
    <w:rsid w:val="00430928"/>
    <w:rsid w:val="004309BF"/>
    <w:rsid w:val="00430C99"/>
    <w:rsid w:val="00430D2F"/>
    <w:rsid w:val="00430EDE"/>
    <w:rsid w:val="0043105B"/>
    <w:rsid w:val="00431450"/>
    <w:rsid w:val="00431697"/>
    <w:rsid w:val="00431F98"/>
    <w:rsid w:val="00432026"/>
    <w:rsid w:val="0043288C"/>
    <w:rsid w:val="004330FD"/>
    <w:rsid w:val="00433284"/>
    <w:rsid w:val="00433FEB"/>
    <w:rsid w:val="00434237"/>
    <w:rsid w:val="004344CF"/>
    <w:rsid w:val="004346EB"/>
    <w:rsid w:val="00434B56"/>
    <w:rsid w:val="00434DD2"/>
    <w:rsid w:val="0043509A"/>
    <w:rsid w:val="00435912"/>
    <w:rsid w:val="00435A52"/>
    <w:rsid w:val="00435B27"/>
    <w:rsid w:val="00435FC9"/>
    <w:rsid w:val="00436091"/>
    <w:rsid w:val="004361BF"/>
    <w:rsid w:val="00436B2A"/>
    <w:rsid w:val="00436DD9"/>
    <w:rsid w:val="00436F7E"/>
    <w:rsid w:val="00436F8A"/>
    <w:rsid w:val="00436FA6"/>
    <w:rsid w:val="004375BF"/>
    <w:rsid w:val="00437642"/>
    <w:rsid w:val="0043785A"/>
    <w:rsid w:val="004379B2"/>
    <w:rsid w:val="00437AFD"/>
    <w:rsid w:val="00437EC9"/>
    <w:rsid w:val="004408C7"/>
    <w:rsid w:val="00440913"/>
    <w:rsid w:val="00440C91"/>
    <w:rsid w:val="0044100F"/>
    <w:rsid w:val="004411BF"/>
    <w:rsid w:val="004413F7"/>
    <w:rsid w:val="004414B3"/>
    <w:rsid w:val="00441553"/>
    <w:rsid w:val="004417E9"/>
    <w:rsid w:val="0044185E"/>
    <w:rsid w:val="00441BA0"/>
    <w:rsid w:val="00441F52"/>
    <w:rsid w:val="00442486"/>
    <w:rsid w:val="004425A9"/>
    <w:rsid w:val="00442840"/>
    <w:rsid w:val="0044288A"/>
    <w:rsid w:val="004429BB"/>
    <w:rsid w:val="00442FEC"/>
    <w:rsid w:val="004432BF"/>
    <w:rsid w:val="004434FB"/>
    <w:rsid w:val="0044365D"/>
    <w:rsid w:val="00443696"/>
    <w:rsid w:val="004436F0"/>
    <w:rsid w:val="00443818"/>
    <w:rsid w:val="00443862"/>
    <w:rsid w:val="004438BF"/>
    <w:rsid w:val="00443A78"/>
    <w:rsid w:val="00443AA0"/>
    <w:rsid w:val="004444D2"/>
    <w:rsid w:val="0044516A"/>
    <w:rsid w:val="004453E2"/>
    <w:rsid w:val="00445519"/>
    <w:rsid w:val="00445663"/>
    <w:rsid w:val="00445990"/>
    <w:rsid w:val="00445AA3"/>
    <w:rsid w:val="00445C6C"/>
    <w:rsid w:val="00445C81"/>
    <w:rsid w:val="00445E1F"/>
    <w:rsid w:val="00446539"/>
    <w:rsid w:val="00446B1D"/>
    <w:rsid w:val="00446B32"/>
    <w:rsid w:val="00446CFA"/>
    <w:rsid w:val="004471F7"/>
    <w:rsid w:val="0044724B"/>
    <w:rsid w:val="004472CC"/>
    <w:rsid w:val="0044749F"/>
    <w:rsid w:val="00447E03"/>
    <w:rsid w:val="004501B1"/>
    <w:rsid w:val="0045036A"/>
    <w:rsid w:val="00450AFA"/>
    <w:rsid w:val="00450CA6"/>
    <w:rsid w:val="00450CAA"/>
    <w:rsid w:val="00450D6A"/>
    <w:rsid w:val="00450E0B"/>
    <w:rsid w:val="0045106C"/>
    <w:rsid w:val="004510B9"/>
    <w:rsid w:val="0045135C"/>
    <w:rsid w:val="004514CC"/>
    <w:rsid w:val="004518B8"/>
    <w:rsid w:val="00451D9D"/>
    <w:rsid w:val="00451DF0"/>
    <w:rsid w:val="004523D9"/>
    <w:rsid w:val="0045244A"/>
    <w:rsid w:val="00452BE4"/>
    <w:rsid w:val="0045317F"/>
    <w:rsid w:val="00453592"/>
    <w:rsid w:val="00453773"/>
    <w:rsid w:val="004537E8"/>
    <w:rsid w:val="0045381C"/>
    <w:rsid w:val="00453A30"/>
    <w:rsid w:val="00453EA3"/>
    <w:rsid w:val="00453ECE"/>
    <w:rsid w:val="00453F83"/>
    <w:rsid w:val="004540C3"/>
    <w:rsid w:val="00454147"/>
    <w:rsid w:val="00454299"/>
    <w:rsid w:val="00454851"/>
    <w:rsid w:val="0045485A"/>
    <w:rsid w:val="0045491A"/>
    <w:rsid w:val="00455049"/>
    <w:rsid w:val="004555CA"/>
    <w:rsid w:val="0045569D"/>
    <w:rsid w:val="004558CC"/>
    <w:rsid w:val="004559FB"/>
    <w:rsid w:val="00456072"/>
    <w:rsid w:val="0045652D"/>
    <w:rsid w:val="004567B7"/>
    <w:rsid w:val="0045693C"/>
    <w:rsid w:val="00456DAA"/>
    <w:rsid w:val="00456DF2"/>
    <w:rsid w:val="00456FD5"/>
    <w:rsid w:val="0045765B"/>
    <w:rsid w:val="004576E6"/>
    <w:rsid w:val="004579FC"/>
    <w:rsid w:val="00457D62"/>
    <w:rsid w:val="00457E5D"/>
    <w:rsid w:val="00457F12"/>
    <w:rsid w:val="0046000F"/>
    <w:rsid w:val="004600F5"/>
    <w:rsid w:val="004602CD"/>
    <w:rsid w:val="004605FE"/>
    <w:rsid w:val="00460799"/>
    <w:rsid w:val="004607D5"/>
    <w:rsid w:val="004608A9"/>
    <w:rsid w:val="00460D1A"/>
    <w:rsid w:val="0046101D"/>
    <w:rsid w:val="004611C1"/>
    <w:rsid w:val="004612C2"/>
    <w:rsid w:val="004613DE"/>
    <w:rsid w:val="00461709"/>
    <w:rsid w:val="00461752"/>
    <w:rsid w:val="00461992"/>
    <w:rsid w:val="00461F40"/>
    <w:rsid w:val="0046217C"/>
    <w:rsid w:val="00462254"/>
    <w:rsid w:val="004622CA"/>
    <w:rsid w:val="004622CC"/>
    <w:rsid w:val="004624A6"/>
    <w:rsid w:val="00462778"/>
    <w:rsid w:val="00462978"/>
    <w:rsid w:val="00462A69"/>
    <w:rsid w:val="0046306C"/>
    <w:rsid w:val="0046311F"/>
    <w:rsid w:val="00463124"/>
    <w:rsid w:val="0046312A"/>
    <w:rsid w:val="0046333A"/>
    <w:rsid w:val="0046351E"/>
    <w:rsid w:val="004635A2"/>
    <w:rsid w:val="004635DF"/>
    <w:rsid w:val="004639EF"/>
    <w:rsid w:val="00463C5C"/>
    <w:rsid w:val="0046404C"/>
    <w:rsid w:val="00464882"/>
    <w:rsid w:val="00464887"/>
    <w:rsid w:val="004649E1"/>
    <w:rsid w:val="00464AA2"/>
    <w:rsid w:val="00464BEA"/>
    <w:rsid w:val="00464D24"/>
    <w:rsid w:val="004651BB"/>
    <w:rsid w:val="004653CE"/>
    <w:rsid w:val="004654A6"/>
    <w:rsid w:val="00465516"/>
    <w:rsid w:val="00465738"/>
    <w:rsid w:val="004657BE"/>
    <w:rsid w:val="0046590F"/>
    <w:rsid w:val="00465FC9"/>
    <w:rsid w:val="004661EB"/>
    <w:rsid w:val="00466211"/>
    <w:rsid w:val="00466393"/>
    <w:rsid w:val="004668B0"/>
    <w:rsid w:val="00466E38"/>
    <w:rsid w:val="00466E67"/>
    <w:rsid w:val="00466F6B"/>
    <w:rsid w:val="0046728A"/>
    <w:rsid w:val="00467326"/>
    <w:rsid w:val="004677A1"/>
    <w:rsid w:val="004678E2"/>
    <w:rsid w:val="00467B20"/>
    <w:rsid w:val="00467C29"/>
    <w:rsid w:val="00467CE4"/>
    <w:rsid w:val="00467F3E"/>
    <w:rsid w:val="004703DD"/>
    <w:rsid w:val="00470676"/>
    <w:rsid w:val="00470B19"/>
    <w:rsid w:val="0047131D"/>
    <w:rsid w:val="00471547"/>
    <w:rsid w:val="00471548"/>
    <w:rsid w:val="00471B74"/>
    <w:rsid w:val="00472191"/>
    <w:rsid w:val="004723E9"/>
    <w:rsid w:val="004724FB"/>
    <w:rsid w:val="004726E1"/>
    <w:rsid w:val="00472B03"/>
    <w:rsid w:val="00472CD5"/>
    <w:rsid w:val="00472E03"/>
    <w:rsid w:val="00472E17"/>
    <w:rsid w:val="00473112"/>
    <w:rsid w:val="00473420"/>
    <w:rsid w:val="00473615"/>
    <w:rsid w:val="00473629"/>
    <w:rsid w:val="0047382F"/>
    <w:rsid w:val="00473AAB"/>
    <w:rsid w:val="00473B3C"/>
    <w:rsid w:val="00473BD5"/>
    <w:rsid w:val="00474271"/>
    <w:rsid w:val="0047460C"/>
    <w:rsid w:val="00474623"/>
    <w:rsid w:val="00474670"/>
    <w:rsid w:val="00474AB2"/>
    <w:rsid w:val="00474BA7"/>
    <w:rsid w:val="00474E67"/>
    <w:rsid w:val="004750DB"/>
    <w:rsid w:val="004750F3"/>
    <w:rsid w:val="004755C8"/>
    <w:rsid w:val="004756A1"/>
    <w:rsid w:val="004756E0"/>
    <w:rsid w:val="00475C47"/>
    <w:rsid w:val="00475C60"/>
    <w:rsid w:val="00475DF1"/>
    <w:rsid w:val="0047603F"/>
    <w:rsid w:val="00476348"/>
    <w:rsid w:val="0047667A"/>
    <w:rsid w:val="00476918"/>
    <w:rsid w:val="00476A79"/>
    <w:rsid w:val="00477201"/>
    <w:rsid w:val="004776AA"/>
    <w:rsid w:val="00477E87"/>
    <w:rsid w:val="00480476"/>
    <w:rsid w:val="0048055A"/>
    <w:rsid w:val="004806A0"/>
    <w:rsid w:val="00480922"/>
    <w:rsid w:val="004809FC"/>
    <w:rsid w:val="00480D5C"/>
    <w:rsid w:val="004810D6"/>
    <w:rsid w:val="00481242"/>
    <w:rsid w:val="004812DD"/>
    <w:rsid w:val="00481500"/>
    <w:rsid w:val="00481A63"/>
    <w:rsid w:val="00481C27"/>
    <w:rsid w:val="00481E47"/>
    <w:rsid w:val="00481E71"/>
    <w:rsid w:val="00481E97"/>
    <w:rsid w:val="004821A3"/>
    <w:rsid w:val="00482573"/>
    <w:rsid w:val="00482724"/>
    <w:rsid w:val="00482C91"/>
    <w:rsid w:val="00482FFD"/>
    <w:rsid w:val="0048320F"/>
    <w:rsid w:val="004832E1"/>
    <w:rsid w:val="004833DA"/>
    <w:rsid w:val="00483B07"/>
    <w:rsid w:val="00483B4B"/>
    <w:rsid w:val="00483C14"/>
    <w:rsid w:val="00483FB0"/>
    <w:rsid w:val="00484220"/>
    <w:rsid w:val="0048438E"/>
    <w:rsid w:val="0048446C"/>
    <w:rsid w:val="00484702"/>
    <w:rsid w:val="004848C7"/>
    <w:rsid w:val="00484F2D"/>
    <w:rsid w:val="00485198"/>
    <w:rsid w:val="00485315"/>
    <w:rsid w:val="00485325"/>
    <w:rsid w:val="004853BE"/>
    <w:rsid w:val="00485476"/>
    <w:rsid w:val="00485593"/>
    <w:rsid w:val="004855CE"/>
    <w:rsid w:val="00485D11"/>
    <w:rsid w:val="004867B0"/>
    <w:rsid w:val="0048692B"/>
    <w:rsid w:val="00486EF4"/>
    <w:rsid w:val="00487474"/>
    <w:rsid w:val="00487D3E"/>
    <w:rsid w:val="00487D77"/>
    <w:rsid w:val="00487E23"/>
    <w:rsid w:val="00487E8A"/>
    <w:rsid w:val="00487F1C"/>
    <w:rsid w:val="00490003"/>
    <w:rsid w:val="00490064"/>
    <w:rsid w:val="00490425"/>
    <w:rsid w:val="00490CC9"/>
    <w:rsid w:val="004914C3"/>
    <w:rsid w:val="0049167C"/>
    <w:rsid w:val="00491733"/>
    <w:rsid w:val="0049189C"/>
    <w:rsid w:val="00491A0C"/>
    <w:rsid w:val="00491C6E"/>
    <w:rsid w:val="00491C88"/>
    <w:rsid w:val="00491F52"/>
    <w:rsid w:val="00491F55"/>
    <w:rsid w:val="00492332"/>
    <w:rsid w:val="004923F3"/>
    <w:rsid w:val="00492766"/>
    <w:rsid w:val="0049285A"/>
    <w:rsid w:val="004928F4"/>
    <w:rsid w:val="004929CD"/>
    <w:rsid w:val="00492C03"/>
    <w:rsid w:val="00492C53"/>
    <w:rsid w:val="00492E2A"/>
    <w:rsid w:val="00492F30"/>
    <w:rsid w:val="00492F36"/>
    <w:rsid w:val="004930F6"/>
    <w:rsid w:val="00493110"/>
    <w:rsid w:val="00493337"/>
    <w:rsid w:val="004935B0"/>
    <w:rsid w:val="00493BD1"/>
    <w:rsid w:val="00493E3F"/>
    <w:rsid w:val="00494907"/>
    <w:rsid w:val="00494944"/>
    <w:rsid w:val="00494BD3"/>
    <w:rsid w:val="00494D55"/>
    <w:rsid w:val="00495051"/>
    <w:rsid w:val="00495281"/>
    <w:rsid w:val="004954BF"/>
    <w:rsid w:val="00495928"/>
    <w:rsid w:val="00495D11"/>
    <w:rsid w:val="00495E2E"/>
    <w:rsid w:val="00495E6F"/>
    <w:rsid w:val="00495E7B"/>
    <w:rsid w:val="0049630D"/>
    <w:rsid w:val="004964E2"/>
    <w:rsid w:val="004966DD"/>
    <w:rsid w:val="0049681D"/>
    <w:rsid w:val="00496A64"/>
    <w:rsid w:val="00496BD4"/>
    <w:rsid w:val="00496CF9"/>
    <w:rsid w:val="00496E6B"/>
    <w:rsid w:val="00496F65"/>
    <w:rsid w:val="00497181"/>
    <w:rsid w:val="00497329"/>
    <w:rsid w:val="00497723"/>
    <w:rsid w:val="0049782E"/>
    <w:rsid w:val="00497AEE"/>
    <w:rsid w:val="00497C45"/>
    <w:rsid w:val="00497C8D"/>
    <w:rsid w:val="00497CF6"/>
    <w:rsid w:val="004A03AA"/>
    <w:rsid w:val="004A03EC"/>
    <w:rsid w:val="004A056F"/>
    <w:rsid w:val="004A05E9"/>
    <w:rsid w:val="004A06BF"/>
    <w:rsid w:val="004A07D1"/>
    <w:rsid w:val="004A09D0"/>
    <w:rsid w:val="004A0C08"/>
    <w:rsid w:val="004A11F8"/>
    <w:rsid w:val="004A1627"/>
    <w:rsid w:val="004A1642"/>
    <w:rsid w:val="004A1702"/>
    <w:rsid w:val="004A1720"/>
    <w:rsid w:val="004A1852"/>
    <w:rsid w:val="004A19BB"/>
    <w:rsid w:val="004A19EE"/>
    <w:rsid w:val="004A1F28"/>
    <w:rsid w:val="004A22B8"/>
    <w:rsid w:val="004A2627"/>
    <w:rsid w:val="004A2A4E"/>
    <w:rsid w:val="004A2B41"/>
    <w:rsid w:val="004A2C11"/>
    <w:rsid w:val="004A2C48"/>
    <w:rsid w:val="004A301E"/>
    <w:rsid w:val="004A3487"/>
    <w:rsid w:val="004A354B"/>
    <w:rsid w:val="004A3CCB"/>
    <w:rsid w:val="004A40E1"/>
    <w:rsid w:val="004A432E"/>
    <w:rsid w:val="004A4634"/>
    <w:rsid w:val="004A4652"/>
    <w:rsid w:val="004A4781"/>
    <w:rsid w:val="004A4C15"/>
    <w:rsid w:val="004A4C8C"/>
    <w:rsid w:val="004A50D0"/>
    <w:rsid w:val="004A517A"/>
    <w:rsid w:val="004A55FA"/>
    <w:rsid w:val="004A57D3"/>
    <w:rsid w:val="004A5864"/>
    <w:rsid w:val="004A58CA"/>
    <w:rsid w:val="004A5CD7"/>
    <w:rsid w:val="004A6113"/>
    <w:rsid w:val="004A650F"/>
    <w:rsid w:val="004A6709"/>
    <w:rsid w:val="004A682A"/>
    <w:rsid w:val="004A68C0"/>
    <w:rsid w:val="004A68EB"/>
    <w:rsid w:val="004A6967"/>
    <w:rsid w:val="004A6BBD"/>
    <w:rsid w:val="004A6BF8"/>
    <w:rsid w:val="004A6C35"/>
    <w:rsid w:val="004A6EB3"/>
    <w:rsid w:val="004A6F85"/>
    <w:rsid w:val="004A7344"/>
    <w:rsid w:val="004A73D0"/>
    <w:rsid w:val="004A7706"/>
    <w:rsid w:val="004A79F3"/>
    <w:rsid w:val="004A7E86"/>
    <w:rsid w:val="004A7F17"/>
    <w:rsid w:val="004A7F4D"/>
    <w:rsid w:val="004B0132"/>
    <w:rsid w:val="004B01B0"/>
    <w:rsid w:val="004B0461"/>
    <w:rsid w:val="004B0869"/>
    <w:rsid w:val="004B089F"/>
    <w:rsid w:val="004B0A7F"/>
    <w:rsid w:val="004B0AC7"/>
    <w:rsid w:val="004B0C76"/>
    <w:rsid w:val="004B0E1C"/>
    <w:rsid w:val="004B0F91"/>
    <w:rsid w:val="004B11DA"/>
    <w:rsid w:val="004B11E1"/>
    <w:rsid w:val="004B1336"/>
    <w:rsid w:val="004B13DA"/>
    <w:rsid w:val="004B18AA"/>
    <w:rsid w:val="004B1A75"/>
    <w:rsid w:val="004B1B14"/>
    <w:rsid w:val="004B1D71"/>
    <w:rsid w:val="004B253A"/>
    <w:rsid w:val="004B2550"/>
    <w:rsid w:val="004B2A10"/>
    <w:rsid w:val="004B2C7E"/>
    <w:rsid w:val="004B2C8D"/>
    <w:rsid w:val="004B2F98"/>
    <w:rsid w:val="004B33B4"/>
    <w:rsid w:val="004B370A"/>
    <w:rsid w:val="004B3AC3"/>
    <w:rsid w:val="004B3CD2"/>
    <w:rsid w:val="004B4101"/>
    <w:rsid w:val="004B4223"/>
    <w:rsid w:val="004B4448"/>
    <w:rsid w:val="004B44D7"/>
    <w:rsid w:val="004B46C2"/>
    <w:rsid w:val="004B47B4"/>
    <w:rsid w:val="004B4C46"/>
    <w:rsid w:val="004B4E8A"/>
    <w:rsid w:val="004B4FBC"/>
    <w:rsid w:val="004B50C0"/>
    <w:rsid w:val="004B51F5"/>
    <w:rsid w:val="004B52AB"/>
    <w:rsid w:val="004B54B2"/>
    <w:rsid w:val="004B5547"/>
    <w:rsid w:val="004B56CA"/>
    <w:rsid w:val="004B58F3"/>
    <w:rsid w:val="004B590B"/>
    <w:rsid w:val="004B615B"/>
    <w:rsid w:val="004B6244"/>
    <w:rsid w:val="004B65E8"/>
    <w:rsid w:val="004B673D"/>
    <w:rsid w:val="004B69E6"/>
    <w:rsid w:val="004B719E"/>
    <w:rsid w:val="004B71AC"/>
    <w:rsid w:val="004B72EE"/>
    <w:rsid w:val="004B74D6"/>
    <w:rsid w:val="004B752F"/>
    <w:rsid w:val="004B7678"/>
    <w:rsid w:val="004B76A7"/>
    <w:rsid w:val="004B796E"/>
    <w:rsid w:val="004B7ADC"/>
    <w:rsid w:val="004B7B4A"/>
    <w:rsid w:val="004B7C3C"/>
    <w:rsid w:val="004C0153"/>
    <w:rsid w:val="004C02D5"/>
    <w:rsid w:val="004C0920"/>
    <w:rsid w:val="004C0F2B"/>
    <w:rsid w:val="004C1414"/>
    <w:rsid w:val="004C151E"/>
    <w:rsid w:val="004C18A9"/>
    <w:rsid w:val="004C1C86"/>
    <w:rsid w:val="004C1D64"/>
    <w:rsid w:val="004C1E6F"/>
    <w:rsid w:val="004C1F88"/>
    <w:rsid w:val="004C1FBF"/>
    <w:rsid w:val="004C24F8"/>
    <w:rsid w:val="004C2549"/>
    <w:rsid w:val="004C2642"/>
    <w:rsid w:val="004C26C4"/>
    <w:rsid w:val="004C280A"/>
    <w:rsid w:val="004C29C0"/>
    <w:rsid w:val="004C2A92"/>
    <w:rsid w:val="004C2CA3"/>
    <w:rsid w:val="004C2E10"/>
    <w:rsid w:val="004C2FD9"/>
    <w:rsid w:val="004C33AA"/>
    <w:rsid w:val="004C3474"/>
    <w:rsid w:val="004C35E4"/>
    <w:rsid w:val="004C386B"/>
    <w:rsid w:val="004C3B2B"/>
    <w:rsid w:val="004C4024"/>
    <w:rsid w:val="004C4032"/>
    <w:rsid w:val="004C4290"/>
    <w:rsid w:val="004C46F1"/>
    <w:rsid w:val="004C4768"/>
    <w:rsid w:val="004C4801"/>
    <w:rsid w:val="004C4886"/>
    <w:rsid w:val="004C4C76"/>
    <w:rsid w:val="004C4F7C"/>
    <w:rsid w:val="004C4FF1"/>
    <w:rsid w:val="004C520D"/>
    <w:rsid w:val="004C52B3"/>
    <w:rsid w:val="004C531D"/>
    <w:rsid w:val="004C53AB"/>
    <w:rsid w:val="004C541F"/>
    <w:rsid w:val="004C5B5F"/>
    <w:rsid w:val="004C5E93"/>
    <w:rsid w:val="004C6239"/>
    <w:rsid w:val="004C675C"/>
    <w:rsid w:val="004C6911"/>
    <w:rsid w:val="004C6DBE"/>
    <w:rsid w:val="004C6DE9"/>
    <w:rsid w:val="004C7137"/>
    <w:rsid w:val="004C714E"/>
    <w:rsid w:val="004C72AB"/>
    <w:rsid w:val="004C7928"/>
    <w:rsid w:val="004C7AD6"/>
    <w:rsid w:val="004D0174"/>
    <w:rsid w:val="004D088E"/>
    <w:rsid w:val="004D0A1B"/>
    <w:rsid w:val="004D0C6D"/>
    <w:rsid w:val="004D0DD5"/>
    <w:rsid w:val="004D0F0B"/>
    <w:rsid w:val="004D128E"/>
    <w:rsid w:val="004D1531"/>
    <w:rsid w:val="004D19FF"/>
    <w:rsid w:val="004D1B44"/>
    <w:rsid w:val="004D1FEA"/>
    <w:rsid w:val="004D211E"/>
    <w:rsid w:val="004D287D"/>
    <w:rsid w:val="004D2AB2"/>
    <w:rsid w:val="004D36A6"/>
    <w:rsid w:val="004D3729"/>
    <w:rsid w:val="004D423D"/>
    <w:rsid w:val="004D44BE"/>
    <w:rsid w:val="004D44D6"/>
    <w:rsid w:val="004D44FD"/>
    <w:rsid w:val="004D46C0"/>
    <w:rsid w:val="004D47FE"/>
    <w:rsid w:val="004D4E12"/>
    <w:rsid w:val="004D50D9"/>
    <w:rsid w:val="004D510D"/>
    <w:rsid w:val="004D513B"/>
    <w:rsid w:val="004D5609"/>
    <w:rsid w:val="004D589A"/>
    <w:rsid w:val="004D6188"/>
    <w:rsid w:val="004D6211"/>
    <w:rsid w:val="004D64C9"/>
    <w:rsid w:val="004D6870"/>
    <w:rsid w:val="004D6AEF"/>
    <w:rsid w:val="004D6BB0"/>
    <w:rsid w:val="004D6C71"/>
    <w:rsid w:val="004D7003"/>
    <w:rsid w:val="004D71EE"/>
    <w:rsid w:val="004D7594"/>
    <w:rsid w:val="004D76EE"/>
    <w:rsid w:val="004D7BFE"/>
    <w:rsid w:val="004E001D"/>
    <w:rsid w:val="004E01EA"/>
    <w:rsid w:val="004E0320"/>
    <w:rsid w:val="004E053E"/>
    <w:rsid w:val="004E059E"/>
    <w:rsid w:val="004E0D78"/>
    <w:rsid w:val="004E0E59"/>
    <w:rsid w:val="004E0E77"/>
    <w:rsid w:val="004E0F17"/>
    <w:rsid w:val="004E0FF2"/>
    <w:rsid w:val="004E104A"/>
    <w:rsid w:val="004E1A53"/>
    <w:rsid w:val="004E1A8B"/>
    <w:rsid w:val="004E1E77"/>
    <w:rsid w:val="004E23F2"/>
    <w:rsid w:val="004E24AE"/>
    <w:rsid w:val="004E2725"/>
    <w:rsid w:val="004E2882"/>
    <w:rsid w:val="004E2BA0"/>
    <w:rsid w:val="004E2C0B"/>
    <w:rsid w:val="004E2E18"/>
    <w:rsid w:val="004E3088"/>
    <w:rsid w:val="004E33E2"/>
    <w:rsid w:val="004E352E"/>
    <w:rsid w:val="004E382F"/>
    <w:rsid w:val="004E394E"/>
    <w:rsid w:val="004E3A74"/>
    <w:rsid w:val="004E46FA"/>
    <w:rsid w:val="004E4D1B"/>
    <w:rsid w:val="004E4DDA"/>
    <w:rsid w:val="004E4DE5"/>
    <w:rsid w:val="004E4EBA"/>
    <w:rsid w:val="004E4EC2"/>
    <w:rsid w:val="004E4F9F"/>
    <w:rsid w:val="004E5710"/>
    <w:rsid w:val="004E5A99"/>
    <w:rsid w:val="004E5C0C"/>
    <w:rsid w:val="004E5C90"/>
    <w:rsid w:val="004E635E"/>
    <w:rsid w:val="004E6814"/>
    <w:rsid w:val="004E69F6"/>
    <w:rsid w:val="004E6CBA"/>
    <w:rsid w:val="004E6F3B"/>
    <w:rsid w:val="004E6F57"/>
    <w:rsid w:val="004F0548"/>
    <w:rsid w:val="004F0938"/>
    <w:rsid w:val="004F0977"/>
    <w:rsid w:val="004F0D4A"/>
    <w:rsid w:val="004F1092"/>
    <w:rsid w:val="004F1643"/>
    <w:rsid w:val="004F1770"/>
    <w:rsid w:val="004F1833"/>
    <w:rsid w:val="004F1DF6"/>
    <w:rsid w:val="004F221F"/>
    <w:rsid w:val="004F2506"/>
    <w:rsid w:val="004F2B96"/>
    <w:rsid w:val="004F2E27"/>
    <w:rsid w:val="004F3019"/>
    <w:rsid w:val="004F31B8"/>
    <w:rsid w:val="004F3331"/>
    <w:rsid w:val="004F3433"/>
    <w:rsid w:val="004F39C0"/>
    <w:rsid w:val="004F40E5"/>
    <w:rsid w:val="004F41B6"/>
    <w:rsid w:val="004F42FC"/>
    <w:rsid w:val="004F4484"/>
    <w:rsid w:val="004F45AA"/>
    <w:rsid w:val="004F4AB7"/>
    <w:rsid w:val="004F4B72"/>
    <w:rsid w:val="004F4CE6"/>
    <w:rsid w:val="004F4F33"/>
    <w:rsid w:val="004F54F4"/>
    <w:rsid w:val="004F5A45"/>
    <w:rsid w:val="004F5AFE"/>
    <w:rsid w:val="004F5B81"/>
    <w:rsid w:val="004F5D3E"/>
    <w:rsid w:val="004F618D"/>
    <w:rsid w:val="004F6226"/>
    <w:rsid w:val="004F65E4"/>
    <w:rsid w:val="004F6690"/>
    <w:rsid w:val="004F6986"/>
    <w:rsid w:val="004F6F41"/>
    <w:rsid w:val="004F72FE"/>
    <w:rsid w:val="004F75DD"/>
    <w:rsid w:val="004F76EB"/>
    <w:rsid w:val="004F77C6"/>
    <w:rsid w:val="004F7A76"/>
    <w:rsid w:val="004F7BF9"/>
    <w:rsid w:val="004F7C01"/>
    <w:rsid w:val="00500125"/>
    <w:rsid w:val="0050060B"/>
    <w:rsid w:val="0050064B"/>
    <w:rsid w:val="00500783"/>
    <w:rsid w:val="00500B3A"/>
    <w:rsid w:val="00500BB8"/>
    <w:rsid w:val="00500CB9"/>
    <w:rsid w:val="00500D82"/>
    <w:rsid w:val="00501081"/>
    <w:rsid w:val="00501299"/>
    <w:rsid w:val="005012DF"/>
    <w:rsid w:val="005014C6"/>
    <w:rsid w:val="00501570"/>
    <w:rsid w:val="00501797"/>
    <w:rsid w:val="005017EF"/>
    <w:rsid w:val="005018B3"/>
    <w:rsid w:val="00501965"/>
    <w:rsid w:val="00501F93"/>
    <w:rsid w:val="00501F97"/>
    <w:rsid w:val="00502246"/>
    <w:rsid w:val="0050228D"/>
    <w:rsid w:val="005027BA"/>
    <w:rsid w:val="00502803"/>
    <w:rsid w:val="005029A6"/>
    <w:rsid w:val="00502C4D"/>
    <w:rsid w:val="00502E57"/>
    <w:rsid w:val="00502E60"/>
    <w:rsid w:val="00502FD8"/>
    <w:rsid w:val="00503070"/>
    <w:rsid w:val="005032C7"/>
    <w:rsid w:val="00503306"/>
    <w:rsid w:val="00503329"/>
    <w:rsid w:val="005033DE"/>
    <w:rsid w:val="005033E2"/>
    <w:rsid w:val="005034C2"/>
    <w:rsid w:val="00503746"/>
    <w:rsid w:val="00503E63"/>
    <w:rsid w:val="0050426C"/>
    <w:rsid w:val="00504823"/>
    <w:rsid w:val="00504879"/>
    <w:rsid w:val="00504FA8"/>
    <w:rsid w:val="005050CD"/>
    <w:rsid w:val="005051F3"/>
    <w:rsid w:val="00505A02"/>
    <w:rsid w:val="005061DC"/>
    <w:rsid w:val="005062CE"/>
    <w:rsid w:val="005063A4"/>
    <w:rsid w:val="00506A50"/>
    <w:rsid w:val="00506A87"/>
    <w:rsid w:val="00506BC4"/>
    <w:rsid w:val="00506C28"/>
    <w:rsid w:val="00506E6F"/>
    <w:rsid w:val="00506EB0"/>
    <w:rsid w:val="0050731C"/>
    <w:rsid w:val="0050738E"/>
    <w:rsid w:val="005076DF"/>
    <w:rsid w:val="005077FE"/>
    <w:rsid w:val="00507C5E"/>
    <w:rsid w:val="00507F1E"/>
    <w:rsid w:val="00510206"/>
    <w:rsid w:val="00510404"/>
    <w:rsid w:val="00510729"/>
    <w:rsid w:val="0051080F"/>
    <w:rsid w:val="00510CDC"/>
    <w:rsid w:val="00510D8F"/>
    <w:rsid w:val="00510DA1"/>
    <w:rsid w:val="00511702"/>
    <w:rsid w:val="005119A3"/>
    <w:rsid w:val="00511AFA"/>
    <w:rsid w:val="00511B7C"/>
    <w:rsid w:val="00512004"/>
    <w:rsid w:val="005123C2"/>
    <w:rsid w:val="005126FE"/>
    <w:rsid w:val="00512A71"/>
    <w:rsid w:val="00513313"/>
    <w:rsid w:val="00513707"/>
    <w:rsid w:val="00513797"/>
    <w:rsid w:val="005138C7"/>
    <w:rsid w:val="00513A7A"/>
    <w:rsid w:val="00513C24"/>
    <w:rsid w:val="00513C8A"/>
    <w:rsid w:val="00514012"/>
    <w:rsid w:val="0051426C"/>
    <w:rsid w:val="00514493"/>
    <w:rsid w:val="005147EB"/>
    <w:rsid w:val="00514945"/>
    <w:rsid w:val="00514BC3"/>
    <w:rsid w:val="00514C8B"/>
    <w:rsid w:val="00514ED5"/>
    <w:rsid w:val="00515005"/>
    <w:rsid w:val="00515923"/>
    <w:rsid w:val="00515D29"/>
    <w:rsid w:val="00515D3B"/>
    <w:rsid w:val="00515F94"/>
    <w:rsid w:val="00516455"/>
    <w:rsid w:val="005166B2"/>
    <w:rsid w:val="005166F7"/>
    <w:rsid w:val="00516795"/>
    <w:rsid w:val="00516899"/>
    <w:rsid w:val="0051690C"/>
    <w:rsid w:val="005169BA"/>
    <w:rsid w:val="00516B7F"/>
    <w:rsid w:val="00516CFC"/>
    <w:rsid w:val="00516D03"/>
    <w:rsid w:val="00516E20"/>
    <w:rsid w:val="00517047"/>
    <w:rsid w:val="00517440"/>
    <w:rsid w:val="0051758E"/>
    <w:rsid w:val="00517A5B"/>
    <w:rsid w:val="00517AF1"/>
    <w:rsid w:val="00517B6C"/>
    <w:rsid w:val="00517CDD"/>
    <w:rsid w:val="00517D2D"/>
    <w:rsid w:val="00517F34"/>
    <w:rsid w:val="00520008"/>
    <w:rsid w:val="005200B6"/>
    <w:rsid w:val="005201C3"/>
    <w:rsid w:val="005207E2"/>
    <w:rsid w:val="0052093E"/>
    <w:rsid w:val="005209BC"/>
    <w:rsid w:val="00520D3F"/>
    <w:rsid w:val="00520D91"/>
    <w:rsid w:val="005210AB"/>
    <w:rsid w:val="005210C6"/>
    <w:rsid w:val="005210D8"/>
    <w:rsid w:val="00521545"/>
    <w:rsid w:val="00521CBB"/>
    <w:rsid w:val="00521FD4"/>
    <w:rsid w:val="005220E6"/>
    <w:rsid w:val="00522331"/>
    <w:rsid w:val="00522876"/>
    <w:rsid w:val="00522C6D"/>
    <w:rsid w:val="00523257"/>
    <w:rsid w:val="005233AD"/>
    <w:rsid w:val="0052355B"/>
    <w:rsid w:val="0052365D"/>
    <w:rsid w:val="00523747"/>
    <w:rsid w:val="005237DA"/>
    <w:rsid w:val="005239F6"/>
    <w:rsid w:val="00523A1D"/>
    <w:rsid w:val="00523A2D"/>
    <w:rsid w:val="0052412E"/>
    <w:rsid w:val="005242F7"/>
    <w:rsid w:val="00524570"/>
    <w:rsid w:val="0052464D"/>
    <w:rsid w:val="005246B3"/>
    <w:rsid w:val="005249C6"/>
    <w:rsid w:val="0052509E"/>
    <w:rsid w:val="00525374"/>
    <w:rsid w:val="0052565B"/>
    <w:rsid w:val="00525846"/>
    <w:rsid w:val="00525AF7"/>
    <w:rsid w:val="00525E45"/>
    <w:rsid w:val="00525FDF"/>
    <w:rsid w:val="005260AB"/>
    <w:rsid w:val="005261B6"/>
    <w:rsid w:val="00526302"/>
    <w:rsid w:val="0052642B"/>
    <w:rsid w:val="005264D9"/>
    <w:rsid w:val="0052656E"/>
    <w:rsid w:val="00526709"/>
    <w:rsid w:val="00526898"/>
    <w:rsid w:val="005269D3"/>
    <w:rsid w:val="00526A11"/>
    <w:rsid w:val="00526ADA"/>
    <w:rsid w:val="00526BEA"/>
    <w:rsid w:val="00526D56"/>
    <w:rsid w:val="00526FF0"/>
    <w:rsid w:val="00527011"/>
    <w:rsid w:val="005271BE"/>
    <w:rsid w:val="005273C1"/>
    <w:rsid w:val="00527450"/>
    <w:rsid w:val="005277AA"/>
    <w:rsid w:val="0052795E"/>
    <w:rsid w:val="00527F65"/>
    <w:rsid w:val="00527FD0"/>
    <w:rsid w:val="00530328"/>
    <w:rsid w:val="005308D1"/>
    <w:rsid w:val="00530D45"/>
    <w:rsid w:val="00530E0B"/>
    <w:rsid w:val="005314E4"/>
    <w:rsid w:val="00531653"/>
    <w:rsid w:val="005317FC"/>
    <w:rsid w:val="0053186A"/>
    <w:rsid w:val="00531959"/>
    <w:rsid w:val="00531966"/>
    <w:rsid w:val="00531EF3"/>
    <w:rsid w:val="005320E4"/>
    <w:rsid w:val="00532118"/>
    <w:rsid w:val="00532348"/>
    <w:rsid w:val="0053242B"/>
    <w:rsid w:val="0053261D"/>
    <w:rsid w:val="00532B79"/>
    <w:rsid w:val="00532E05"/>
    <w:rsid w:val="005331D9"/>
    <w:rsid w:val="0053357D"/>
    <w:rsid w:val="00533770"/>
    <w:rsid w:val="00533BC7"/>
    <w:rsid w:val="00533E01"/>
    <w:rsid w:val="00533EE9"/>
    <w:rsid w:val="00534314"/>
    <w:rsid w:val="005345CE"/>
    <w:rsid w:val="00534847"/>
    <w:rsid w:val="00534898"/>
    <w:rsid w:val="00534B6E"/>
    <w:rsid w:val="00534F88"/>
    <w:rsid w:val="0053534E"/>
    <w:rsid w:val="00535607"/>
    <w:rsid w:val="00535B36"/>
    <w:rsid w:val="0053627F"/>
    <w:rsid w:val="005364FD"/>
    <w:rsid w:val="00536550"/>
    <w:rsid w:val="005365E9"/>
    <w:rsid w:val="005366B4"/>
    <w:rsid w:val="00536C3E"/>
    <w:rsid w:val="00536D82"/>
    <w:rsid w:val="00536DFF"/>
    <w:rsid w:val="00536E86"/>
    <w:rsid w:val="00536EF1"/>
    <w:rsid w:val="005371A1"/>
    <w:rsid w:val="0053725C"/>
    <w:rsid w:val="005376A2"/>
    <w:rsid w:val="0053786B"/>
    <w:rsid w:val="0053791A"/>
    <w:rsid w:val="00537A89"/>
    <w:rsid w:val="00537DEC"/>
    <w:rsid w:val="00537E10"/>
    <w:rsid w:val="00537E78"/>
    <w:rsid w:val="00540233"/>
    <w:rsid w:val="005405F3"/>
    <w:rsid w:val="00540A81"/>
    <w:rsid w:val="00540CDC"/>
    <w:rsid w:val="00540E29"/>
    <w:rsid w:val="00540FBE"/>
    <w:rsid w:val="005410EB"/>
    <w:rsid w:val="00541559"/>
    <w:rsid w:val="0054163E"/>
    <w:rsid w:val="00541679"/>
    <w:rsid w:val="00541B6E"/>
    <w:rsid w:val="00541F9A"/>
    <w:rsid w:val="00542105"/>
    <w:rsid w:val="0054231C"/>
    <w:rsid w:val="00542385"/>
    <w:rsid w:val="0054240F"/>
    <w:rsid w:val="005429FC"/>
    <w:rsid w:val="00542CD2"/>
    <w:rsid w:val="00542D81"/>
    <w:rsid w:val="00542DD2"/>
    <w:rsid w:val="0054309E"/>
    <w:rsid w:val="00543252"/>
    <w:rsid w:val="00543305"/>
    <w:rsid w:val="00543360"/>
    <w:rsid w:val="0054340B"/>
    <w:rsid w:val="0054341A"/>
    <w:rsid w:val="00543557"/>
    <w:rsid w:val="005435B5"/>
    <w:rsid w:val="005437BF"/>
    <w:rsid w:val="0054393D"/>
    <w:rsid w:val="00543D13"/>
    <w:rsid w:val="00543DB4"/>
    <w:rsid w:val="00544266"/>
    <w:rsid w:val="005444E0"/>
    <w:rsid w:val="005446C5"/>
    <w:rsid w:val="00544757"/>
    <w:rsid w:val="00544D1B"/>
    <w:rsid w:val="00544DB0"/>
    <w:rsid w:val="0054506D"/>
    <w:rsid w:val="005450C8"/>
    <w:rsid w:val="0054512E"/>
    <w:rsid w:val="0054541A"/>
    <w:rsid w:val="00545577"/>
    <w:rsid w:val="005455CF"/>
    <w:rsid w:val="00545749"/>
    <w:rsid w:val="00545918"/>
    <w:rsid w:val="00545DF4"/>
    <w:rsid w:val="00545E22"/>
    <w:rsid w:val="00545E3C"/>
    <w:rsid w:val="00545E76"/>
    <w:rsid w:val="00545FB0"/>
    <w:rsid w:val="00546269"/>
    <w:rsid w:val="00546A5D"/>
    <w:rsid w:val="00546D16"/>
    <w:rsid w:val="00546D84"/>
    <w:rsid w:val="00547001"/>
    <w:rsid w:val="00547431"/>
    <w:rsid w:val="0054761B"/>
    <w:rsid w:val="005476B9"/>
    <w:rsid w:val="005476C5"/>
    <w:rsid w:val="00547720"/>
    <w:rsid w:val="00547731"/>
    <w:rsid w:val="00547783"/>
    <w:rsid w:val="0054778E"/>
    <w:rsid w:val="00547A9B"/>
    <w:rsid w:val="00547AF4"/>
    <w:rsid w:val="005500FF"/>
    <w:rsid w:val="005501CF"/>
    <w:rsid w:val="0055035A"/>
    <w:rsid w:val="005505D9"/>
    <w:rsid w:val="0055075E"/>
    <w:rsid w:val="00550DAE"/>
    <w:rsid w:val="00550E83"/>
    <w:rsid w:val="00551118"/>
    <w:rsid w:val="0055143E"/>
    <w:rsid w:val="005515F3"/>
    <w:rsid w:val="00551A6D"/>
    <w:rsid w:val="00551A7A"/>
    <w:rsid w:val="00551B04"/>
    <w:rsid w:val="00551B91"/>
    <w:rsid w:val="005520AD"/>
    <w:rsid w:val="0055240F"/>
    <w:rsid w:val="005527E5"/>
    <w:rsid w:val="00552819"/>
    <w:rsid w:val="00552FCA"/>
    <w:rsid w:val="005532B2"/>
    <w:rsid w:val="00553614"/>
    <w:rsid w:val="00553864"/>
    <w:rsid w:val="005538F2"/>
    <w:rsid w:val="00553D9B"/>
    <w:rsid w:val="00553DFF"/>
    <w:rsid w:val="00553E7E"/>
    <w:rsid w:val="0055414A"/>
    <w:rsid w:val="005542A7"/>
    <w:rsid w:val="005542E9"/>
    <w:rsid w:val="005543A3"/>
    <w:rsid w:val="0055480E"/>
    <w:rsid w:val="00554845"/>
    <w:rsid w:val="00554A79"/>
    <w:rsid w:val="00554BAA"/>
    <w:rsid w:val="00554C47"/>
    <w:rsid w:val="00554EF5"/>
    <w:rsid w:val="00554F46"/>
    <w:rsid w:val="00554FC8"/>
    <w:rsid w:val="00555456"/>
    <w:rsid w:val="00555721"/>
    <w:rsid w:val="0055592E"/>
    <w:rsid w:val="00555E06"/>
    <w:rsid w:val="00555E31"/>
    <w:rsid w:val="00555F42"/>
    <w:rsid w:val="00555FB1"/>
    <w:rsid w:val="00555FE7"/>
    <w:rsid w:val="00556125"/>
    <w:rsid w:val="00556392"/>
    <w:rsid w:val="00556A9B"/>
    <w:rsid w:val="00556BE4"/>
    <w:rsid w:val="00556CB5"/>
    <w:rsid w:val="00556D7C"/>
    <w:rsid w:val="0055770A"/>
    <w:rsid w:val="00557887"/>
    <w:rsid w:val="00557A89"/>
    <w:rsid w:val="005600A9"/>
    <w:rsid w:val="005600F4"/>
    <w:rsid w:val="00560268"/>
    <w:rsid w:val="00560411"/>
    <w:rsid w:val="00560997"/>
    <w:rsid w:val="005609D9"/>
    <w:rsid w:val="00560BF3"/>
    <w:rsid w:val="00560D58"/>
    <w:rsid w:val="005614B4"/>
    <w:rsid w:val="005616DC"/>
    <w:rsid w:val="0056170F"/>
    <w:rsid w:val="00561811"/>
    <w:rsid w:val="00562384"/>
    <w:rsid w:val="0056297B"/>
    <w:rsid w:val="00562AD9"/>
    <w:rsid w:val="00562B43"/>
    <w:rsid w:val="00562D3E"/>
    <w:rsid w:val="00562E2B"/>
    <w:rsid w:val="00563077"/>
    <w:rsid w:val="0056327A"/>
    <w:rsid w:val="005633A0"/>
    <w:rsid w:val="005634C2"/>
    <w:rsid w:val="005637C8"/>
    <w:rsid w:val="00563AD8"/>
    <w:rsid w:val="00563B49"/>
    <w:rsid w:val="00563C05"/>
    <w:rsid w:val="0056441E"/>
    <w:rsid w:val="00564689"/>
    <w:rsid w:val="00564724"/>
    <w:rsid w:val="00564840"/>
    <w:rsid w:val="00564A02"/>
    <w:rsid w:val="00564A4B"/>
    <w:rsid w:val="00564B2C"/>
    <w:rsid w:val="00564BE8"/>
    <w:rsid w:val="00564D15"/>
    <w:rsid w:val="00564EA0"/>
    <w:rsid w:val="00564F70"/>
    <w:rsid w:val="00565476"/>
    <w:rsid w:val="005657BB"/>
    <w:rsid w:val="00565809"/>
    <w:rsid w:val="00565A0A"/>
    <w:rsid w:val="00565A1D"/>
    <w:rsid w:val="00566FE0"/>
    <w:rsid w:val="005673B8"/>
    <w:rsid w:val="005675DA"/>
    <w:rsid w:val="00567699"/>
    <w:rsid w:val="00567791"/>
    <w:rsid w:val="00567ADF"/>
    <w:rsid w:val="0057017F"/>
    <w:rsid w:val="00570497"/>
    <w:rsid w:val="00570572"/>
    <w:rsid w:val="0057069D"/>
    <w:rsid w:val="00570CF5"/>
    <w:rsid w:val="00570D19"/>
    <w:rsid w:val="00570E5B"/>
    <w:rsid w:val="00570E99"/>
    <w:rsid w:val="00571333"/>
    <w:rsid w:val="0057133C"/>
    <w:rsid w:val="00571418"/>
    <w:rsid w:val="005715B5"/>
    <w:rsid w:val="00571636"/>
    <w:rsid w:val="0057165C"/>
    <w:rsid w:val="005716F2"/>
    <w:rsid w:val="005719D6"/>
    <w:rsid w:val="00571BFB"/>
    <w:rsid w:val="00571D4E"/>
    <w:rsid w:val="00571FDB"/>
    <w:rsid w:val="005726FD"/>
    <w:rsid w:val="00572742"/>
    <w:rsid w:val="0057276D"/>
    <w:rsid w:val="00572983"/>
    <w:rsid w:val="00572A34"/>
    <w:rsid w:val="00572CCD"/>
    <w:rsid w:val="00572D09"/>
    <w:rsid w:val="00572D44"/>
    <w:rsid w:val="00573025"/>
    <w:rsid w:val="005731CE"/>
    <w:rsid w:val="005732C0"/>
    <w:rsid w:val="0057398E"/>
    <w:rsid w:val="00573DD6"/>
    <w:rsid w:val="0057407F"/>
    <w:rsid w:val="005745F3"/>
    <w:rsid w:val="005747A8"/>
    <w:rsid w:val="00574898"/>
    <w:rsid w:val="00574946"/>
    <w:rsid w:val="00574B34"/>
    <w:rsid w:val="00574D09"/>
    <w:rsid w:val="0057530C"/>
    <w:rsid w:val="0057532B"/>
    <w:rsid w:val="005755E3"/>
    <w:rsid w:val="00575919"/>
    <w:rsid w:val="005759A4"/>
    <w:rsid w:val="00575B7D"/>
    <w:rsid w:val="00575F58"/>
    <w:rsid w:val="005761AA"/>
    <w:rsid w:val="00576309"/>
    <w:rsid w:val="00576765"/>
    <w:rsid w:val="00576BAD"/>
    <w:rsid w:val="00576EDE"/>
    <w:rsid w:val="00577066"/>
    <w:rsid w:val="0057713C"/>
    <w:rsid w:val="005773BA"/>
    <w:rsid w:val="005773D9"/>
    <w:rsid w:val="00577450"/>
    <w:rsid w:val="0057777A"/>
    <w:rsid w:val="005778E7"/>
    <w:rsid w:val="0057794C"/>
    <w:rsid w:val="00577EEC"/>
    <w:rsid w:val="0058003C"/>
    <w:rsid w:val="005803B9"/>
    <w:rsid w:val="005803E7"/>
    <w:rsid w:val="00580D0A"/>
    <w:rsid w:val="00580D20"/>
    <w:rsid w:val="005810FF"/>
    <w:rsid w:val="00581377"/>
    <w:rsid w:val="0058139C"/>
    <w:rsid w:val="00581496"/>
    <w:rsid w:val="0058177E"/>
    <w:rsid w:val="00581D78"/>
    <w:rsid w:val="00581D8D"/>
    <w:rsid w:val="00581DA3"/>
    <w:rsid w:val="00581EE6"/>
    <w:rsid w:val="00582153"/>
    <w:rsid w:val="00582239"/>
    <w:rsid w:val="00582326"/>
    <w:rsid w:val="00582D64"/>
    <w:rsid w:val="00582DE0"/>
    <w:rsid w:val="00582ED6"/>
    <w:rsid w:val="00583307"/>
    <w:rsid w:val="0058338A"/>
    <w:rsid w:val="0058347D"/>
    <w:rsid w:val="00583516"/>
    <w:rsid w:val="00583646"/>
    <w:rsid w:val="005836C6"/>
    <w:rsid w:val="00583F61"/>
    <w:rsid w:val="00584213"/>
    <w:rsid w:val="005843B6"/>
    <w:rsid w:val="005845F9"/>
    <w:rsid w:val="0058488A"/>
    <w:rsid w:val="00584A88"/>
    <w:rsid w:val="00584B48"/>
    <w:rsid w:val="0058510A"/>
    <w:rsid w:val="0058520F"/>
    <w:rsid w:val="00585227"/>
    <w:rsid w:val="00585288"/>
    <w:rsid w:val="0058528A"/>
    <w:rsid w:val="00585BB7"/>
    <w:rsid w:val="00585BB8"/>
    <w:rsid w:val="00585C26"/>
    <w:rsid w:val="00585D0D"/>
    <w:rsid w:val="00586B37"/>
    <w:rsid w:val="00586B3C"/>
    <w:rsid w:val="00586C82"/>
    <w:rsid w:val="00587140"/>
    <w:rsid w:val="0058746D"/>
    <w:rsid w:val="00587658"/>
    <w:rsid w:val="00587781"/>
    <w:rsid w:val="00587ECD"/>
    <w:rsid w:val="00587F28"/>
    <w:rsid w:val="005900C0"/>
    <w:rsid w:val="005901A6"/>
    <w:rsid w:val="0059037C"/>
    <w:rsid w:val="0059055D"/>
    <w:rsid w:val="005908A0"/>
    <w:rsid w:val="00590908"/>
    <w:rsid w:val="00590DF0"/>
    <w:rsid w:val="00590F0E"/>
    <w:rsid w:val="00591098"/>
    <w:rsid w:val="00591EFF"/>
    <w:rsid w:val="00591FCA"/>
    <w:rsid w:val="00591FFC"/>
    <w:rsid w:val="00592045"/>
    <w:rsid w:val="005920C7"/>
    <w:rsid w:val="00592281"/>
    <w:rsid w:val="005922C3"/>
    <w:rsid w:val="005923FB"/>
    <w:rsid w:val="0059247C"/>
    <w:rsid w:val="0059286E"/>
    <w:rsid w:val="005928B7"/>
    <w:rsid w:val="00592B23"/>
    <w:rsid w:val="00592CE1"/>
    <w:rsid w:val="00592F73"/>
    <w:rsid w:val="00592F9E"/>
    <w:rsid w:val="00593117"/>
    <w:rsid w:val="00593162"/>
    <w:rsid w:val="00593B6C"/>
    <w:rsid w:val="00594750"/>
    <w:rsid w:val="00594857"/>
    <w:rsid w:val="00594911"/>
    <w:rsid w:val="00594D75"/>
    <w:rsid w:val="00594F21"/>
    <w:rsid w:val="00595439"/>
    <w:rsid w:val="005957BA"/>
    <w:rsid w:val="00595847"/>
    <w:rsid w:val="00595AFA"/>
    <w:rsid w:val="00595B87"/>
    <w:rsid w:val="00595B8E"/>
    <w:rsid w:val="00595D92"/>
    <w:rsid w:val="00595ECB"/>
    <w:rsid w:val="00595FA2"/>
    <w:rsid w:val="00596498"/>
    <w:rsid w:val="00596674"/>
    <w:rsid w:val="00596821"/>
    <w:rsid w:val="00596F25"/>
    <w:rsid w:val="00597127"/>
    <w:rsid w:val="005972AD"/>
    <w:rsid w:val="005972BC"/>
    <w:rsid w:val="005972D7"/>
    <w:rsid w:val="00597409"/>
    <w:rsid w:val="0059747F"/>
    <w:rsid w:val="005974E2"/>
    <w:rsid w:val="0059750E"/>
    <w:rsid w:val="00597741"/>
    <w:rsid w:val="00597C0A"/>
    <w:rsid w:val="005A005B"/>
    <w:rsid w:val="005A0514"/>
    <w:rsid w:val="005A0582"/>
    <w:rsid w:val="005A06F1"/>
    <w:rsid w:val="005A0CA5"/>
    <w:rsid w:val="005A116C"/>
    <w:rsid w:val="005A1354"/>
    <w:rsid w:val="005A1443"/>
    <w:rsid w:val="005A1539"/>
    <w:rsid w:val="005A17E6"/>
    <w:rsid w:val="005A18C9"/>
    <w:rsid w:val="005A1961"/>
    <w:rsid w:val="005A1C25"/>
    <w:rsid w:val="005A1E16"/>
    <w:rsid w:val="005A1EC7"/>
    <w:rsid w:val="005A1FDB"/>
    <w:rsid w:val="005A223F"/>
    <w:rsid w:val="005A24B1"/>
    <w:rsid w:val="005A254B"/>
    <w:rsid w:val="005A2979"/>
    <w:rsid w:val="005A2AF9"/>
    <w:rsid w:val="005A2BF0"/>
    <w:rsid w:val="005A2FC0"/>
    <w:rsid w:val="005A318E"/>
    <w:rsid w:val="005A31A2"/>
    <w:rsid w:val="005A31F9"/>
    <w:rsid w:val="005A32BB"/>
    <w:rsid w:val="005A331A"/>
    <w:rsid w:val="005A3472"/>
    <w:rsid w:val="005A3762"/>
    <w:rsid w:val="005A3DCA"/>
    <w:rsid w:val="005A3FA6"/>
    <w:rsid w:val="005A4082"/>
    <w:rsid w:val="005A41EB"/>
    <w:rsid w:val="005A446D"/>
    <w:rsid w:val="005A45D8"/>
    <w:rsid w:val="005A4719"/>
    <w:rsid w:val="005A487E"/>
    <w:rsid w:val="005A49DD"/>
    <w:rsid w:val="005A5080"/>
    <w:rsid w:val="005A5110"/>
    <w:rsid w:val="005A58CB"/>
    <w:rsid w:val="005A5A5F"/>
    <w:rsid w:val="005A5B2E"/>
    <w:rsid w:val="005A5B9D"/>
    <w:rsid w:val="005A5C51"/>
    <w:rsid w:val="005A5CC8"/>
    <w:rsid w:val="005A5DC0"/>
    <w:rsid w:val="005A5E08"/>
    <w:rsid w:val="005A634B"/>
    <w:rsid w:val="005A6724"/>
    <w:rsid w:val="005A69B2"/>
    <w:rsid w:val="005A6A3A"/>
    <w:rsid w:val="005A6D96"/>
    <w:rsid w:val="005A6E45"/>
    <w:rsid w:val="005A7395"/>
    <w:rsid w:val="005A74FC"/>
    <w:rsid w:val="005A7797"/>
    <w:rsid w:val="005A7812"/>
    <w:rsid w:val="005A7A11"/>
    <w:rsid w:val="005B00C1"/>
    <w:rsid w:val="005B02F1"/>
    <w:rsid w:val="005B07BA"/>
    <w:rsid w:val="005B096C"/>
    <w:rsid w:val="005B09A3"/>
    <w:rsid w:val="005B10E2"/>
    <w:rsid w:val="005B10E4"/>
    <w:rsid w:val="005B156F"/>
    <w:rsid w:val="005B17BF"/>
    <w:rsid w:val="005B1886"/>
    <w:rsid w:val="005B1D68"/>
    <w:rsid w:val="005B1F79"/>
    <w:rsid w:val="005B229C"/>
    <w:rsid w:val="005B2748"/>
    <w:rsid w:val="005B276C"/>
    <w:rsid w:val="005B2890"/>
    <w:rsid w:val="005B2919"/>
    <w:rsid w:val="005B3343"/>
    <w:rsid w:val="005B35F2"/>
    <w:rsid w:val="005B3737"/>
    <w:rsid w:val="005B3741"/>
    <w:rsid w:val="005B3AD6"/>
    <w:rsid w:val="005B3CAA"/>
    <w:rsid w:val="005B3F9F"/>
    <w:rsid w:val="005B4432"/>
    <w:rsid w:val="005B4630"/>
    <w:rsid w:val="005B474C"/>
    <w:rsid w:val="005B50FB"/>
    <w:rsid w:val="005B572B"/>
    <w:rsid w:val="005B59F7"/>
    <w:rsid w:val="005B5AC7"/>
    <w:rsid w:val="005B5D58"/>
    <w:rsid w:val="005B5EB4"/>
    <w:rsid w:val="005B6388"/>
    <w:rsid w:val="005B6955"/>
    <w:rsid w:val="005B6BA4"/>
    <w:rsid w:val="005B6F3D"/>
    <w:rsid w:val="005B700F"/>
    <w:rsid w:val="005B71C4"/>
    <w:rsid w:val="005B7A19"/>
    <w:rsid w:val="005B7BA4"/>
    <w:rsid w:val="005B7FDB"/>
    <w:rsid w:val="005C0701"/>
    <w:rsid w:val="005C0D7B"/>
    <w:rsid w:val="005C145A"/>
    <w:rsid w:val="005C165C"/>
    <w:rsid w:val="005C186F"/>
    <w:rsid w:val="005C1984"/>
    <w:rsid w:val="005C19F5"/>
    <w:rsid w:val="005C1B51"/>
    <w:rsid w:val="005C1BC2"/>
    <w:rsid w:val="005C1C97"/>
    <w:rsid w:val="005C1F39"/>
    <w:rsid w:val="005C2239"/>
    <w:rsid w:val="005C27D8"/>
    <w:rsid w:val="005C2BD8"/>
    <w:rsid w:val="005C2F51"/>
    <w:rsid w:val="005C306D"/>
    <w:rsid w:val="005C3352"/>
    <w:rsid w:val="005C3713"/>
    <w:rsid w:val="005C393B"/>
    <w:rsid w:val="005C3B98"/>
    <w:rsid w:val="005C3C72"/>
    <w:rsid w:val="005C3EC5"/>
    <w:rsid w:val="005C4017"/>
    <w:rsid w:val="005C414F"/>
    <w:rsid w:val="005C429F"/>
    <w:rsid w:val="005C450D"/>
    <w:rsid w:val="005C508C"/>
    <w:rsid w:val="005C5166"/>
    <w:rsid w:val="005C521B"/>
    <w:rsid w:val="005C52A3"/>
    <w:rsid w:val="005C53E2"/>
    <w:rsid w:val="005C5634"/>
    <w:rsid w:val="005C565B"/>
    <w:rsid w:val="005C5B56"/>
    <w:rsid w:val="005C5DF3"/>
    <w:rsid w:val="005C5F92"/>
    <w:rsid w:val="005C6396"/>
    <w:rsid w:val="005C66F7"/>
    <w:rsid w:val="005C6759"/>
    <w:rsid w:val="005C6BC1"/>
    <w:rsid w:val="005C6E04"/>
    <w:rsid w:val="005C71CF"/>
    <w:rsid w:val="005C7258"/>
    <w:rsid w:val="005D007C"/>
    <w:rsid w:val="005D0152"/>
    <w:rsid w:val="005D0415"/>
    <w:rsid w:val="005D0638"/>
    <w:rsid w:val="005D0C6A"/>
    <w:rsid w:val="005D0CD7"/>
    <w:rsid w:val="005D103F"/>
    <w:rsid w:val="005D180D"/>
    <w:rsid w:val="005D184D"/>
    <w:rsid w:val="005D1872"/>
    <w:rsid w:val="005D1900"/>
    <w:rsid w:val="005D1B42"/>
    <w:rsid w:val="005D1C5B"/>
    <w:rsid w:val="005D1C5E"/>
    <w:rsid w:val="005D1F20"/>
    <w:rsid w:val="005D2247"/>
    <w:rsid w:val="005D230D"/>
    <w:rsid w:val="005D2431"/>
    <w:rsid w:val="005D2570"/>
    <w:rsid w:val="005D3120"/>
    <w:rsid w:val="005D371C"/>
    <w:rsid w:val="005D38BF"/>
    <w:rsid w:val="005D3964"/>
    <w:rsid w:val="005D4166"/>
    <w:rsid w:val="005D4264"/>
    <w:rsid w:val="005D43E8"/>
    <w:rsid w:val="005D449A"/>
    <w:rsid w:val="005D4593"/>
    <w:rsid w:val="005D465B"/>
    <w:rsid w:val="005D499B"/>
    <w:rsid w:val="005D4B3D"/>
    <w:rsid w:val="005D4DAD"/>
    <w:rsid w:val="005D4DD7"/>
    <w:rsid w:val="005D5367"/>
    <w:rsid w:val="005D57A5"/>
    <w:rsid w:val="005D5898"/>
    <w:rsid w:val="005D5A77"/>
    <w:rsid w:val="005D5B8F"/>
    <w:rsid w:val="005D5C74"/>
    <w:rsid w:val="005D6092"/>
    <w:rsid w:val="005D60A5"/>
    <w:rsid w:val="005D6192"/>
    <w:rsid w:val="005D6284"/>
    <w:rsid w:val="005D637E"/>
    <w:rsid w:val="005D69A5"/>
    <w:rsid w:val="005D69CC"/>
    <w:rsid w:val="005D69D3"/>
    <w:rsid w:val="005D6A1D"/>
    <w:rsid w:val="005D6DF7"/>
    <w:rsid w:val="005D72F4"/>
    <w:rsid w:val="005D76E8"/>
    <w:rsid w:val="005D773F"/>
    <w:rsid w:val="005D7893"/>
    <w:rsid w:val="005D78C5"/>
    <w:rsid w:val="005D7C28"/>
    <w:rsid w:val="005E0C64"/>
    <w:rsid w:val="005E11EA"/>
    <w:rsid w:val="005E1200"/>
    <w:rsid w:val="005E12EE"/>
    <w:rsid w:val="005E17A6"/>
    <w:rsid w:val="005E199C"/>
    <w:rsid w:val="005E1E89"/>
    <w:rsid w:val="005E1F2A"/>
    <w:rsid w:val="005E1FB1"/>
    <w:rsid w:val="005E22BE"/>
    <w:rsid w:val="005E22D6"/>
    <w:rsid w:val="005E231D"/>
    <w:rsid w:val="005E27A3"/>
    <w:rsid w:val="005E28FA"/>
    <w:rsid w:val="005E2A78"/>
    <w:rsid w:val="005E2AB6"/>
    <w:rsid w:val="005E2DFE"/>
    <w:rsid w:val="005E2E03"/>
    <w:rsid w:val="005E308A"/>
    <w:rsid w:val="005E30A8"/>
    <w:rsid w:val="005E3189"/>
    <w:rsid w:val="005E3195"/>
    <w:rsid w:val="005E3A08"/>
    <w:rsid w:val="005E3A28"/>
    <w:rsid w:val="005E3A37"/>
    <w:rsid w:val="005E3DA1"/>
    <w:rsid w:val="005E41CF"/>
    <w:rsid w:val="005E42A0"/>
    <w:rsid w:val="005E4577"/>
    <w:rsid w:val="005E479D"/>
    <w:rsid w:val="005E49A3"/>
    <w:rsid w:val="005E4A0B"/>
    <w:rsid w:val="005E4EE8"/>
    <w:rsid w:val="005E5105"/>
    <w:rsid w:val="005E51D8"/>
    <w:rsid w:val="005E563B"/>
    <w:rsid w:val="005E5A06"/>
    <w:rsid w:val="005E5BEE"/>
    <w:rsid w:val="005E5FCE"/>
    <w:rsid w:val="005E6469"/>
    <w:rsid w:val="005E64EF"/>
    <w:rsid w:val="005E67DC"/>
    <w:rsid w:val="005E6C06"/>
    <w:rsid w:val="005E6C38"/>
    <w:rsid w:val="005E6C8B"/>
    <w:rsid w:val="005E72E5"/>
    <w:rsid w:val="005E745A"/>
    <w:rsid w:val="005E7689"/>
    <w:rsid w:val="005E7767"/>
    <w:rsid w:val="005E789E"/>
    <w:rsid w:val="005E78BD"/>
    <w:rsid w:val="005E7BDE"/>
    <w:rsid w:val="005E7EB2"/>
    <w:rsid w:val="005E7F47"/>
    <w:rsid w:val="005F01C5"/>
    <w:rsid w:val="005F032A"/>
    <w:rsid w:val="005F06CC"/>
    <w:rsid w:val="005F0ACF"/>
    <w:rsid w:val="005F0C28"/>
    <w:rsid w:val="005F1033"/>
    <w:rsid w:val="005F13C7"/>
    <w:rsid w:val="005F1451"/>
    <w:rsid w:val="005F1722"/>
    <w:rsid w:val="005F1FCC"/>
    <w:rsid w:val="005F21AD"/>
    <w:rsid w:val="005F2760"/>
    <w:rsid w:val="005F293C"/>
    <w:rsid w:val="005F2D52"/>
    <w:rsid w:val="005F2F0D"/>
    <w:rsid w:val="005F305A"/>
    <w:rsid w:val="005F3093"/>
    <w:rsid w:val="005F31F4"/>
    <w:rsid w:val="005F3282"/>
    <w:rsid w:val="005F3345"/>
    <w:rsid w:val="005F33EB"/>
    <w:rsid w:val="005F33F7"/>
    <w:rsid w:val="005F3466"/>
    <w:rsid w:val="005F34B5"/>
    <w:rsid w:val="005F36BB"/>
    <w:rsid w:val="005F3A1C"/>
    <w:rsid w:val="005F3A97"/>
    <w:rsid w:val="005F3D90"/>
    <w:rsid w:val="005F3DDC"/>
    <w:rsid w:val="005F3EC0"/>
    <w:rsid w:val="005F4051"/>
    <w:rsid w:val="005F41F9"/>
    <w:rsid w:val="005F420D"/>
    <w:rsid w:val="005F422D"/>
    <w:rsid w:val="005F434A"/>
    <w:rsid w:val="005F43ED"/>
    <w:rsid w:val="005F44A9"/>
    <w:rsid w:val="005F4704"/>
    <w:rsid w:val="005F4749"/>
    <w:rsid w:val="005F52B6"/>
    <w:rsid w:val="005F53B6"/>
    <w:rsid w:val="005F5578"/>
    <w:rsid w:val="005F55F4"/>
    <w:rsid w:val="005F5621"/>
    <w:rsid w:val="005F573B"/>
    <w:rsid w:val="005F5774"/>
    <w:rsid w:val="005F614C"/>
    <w:rsid w:val="005F619F"/>
    <w:rsid w:val="005F6355"/>
    <w:rsid w:val="005F6690"/>
    <w:rsid w:val="005F685B"/>
    <w:rsid w:val="005F69E7"/>
    <w:rsid w:val="005F6C89"/>
    <w:rsid w:val="005F7147"/>
    <w:rsid w:val="005F72FE"/>
    <w:rsid w:val="005F77C1"/>
    <w:rsid w:val="005F78A3"/>
    <w:rsid w:val="005F7A2C"/>
    <w:rsid w:val="005F7AE0"/>
    <w:rsid w:val="005F7EB0"/>
    <w:rsid w:val="00600036"/>
    <w:rsid w:val="0060003C"/>
    <w:rsid w:val="00600187"/>
    <w:rsid w:val="00600857"/>
    <w:rsid w:val="00600CE6"/>
    <w:rsid w:val="00600F1C"/>
    <w:rsid w:val="00600F73"/>
    <w:rsid w:val="006016E0"/>
    <w:rsid w:val="00601D75"/>
    <w:rsid w:val="0060205D"/>
    <w:rsid w:val="0060252A"/>
    <w:rsid w:val="00602539"/>
    <w:rsid w:val="00602697"/>
    <w:rsid w:val="00602DBD"/>
    <w:rsid w:val="00602EBA"/>
    <w:rsid w:val="00602FD9"/>
    <w:rsid w:val="00603142"/>
    <w:rsid w:val="0060324E"/>
    <w:rsid w:val="006032C0"/>
    <w:rsid w:val="00603CDF"/>
    <w:rsid w:val="00603F6D"/>
    <w:rsid w:val="00603F98"/>
    <w:rsid w:val="00603FB3"/>
    <w:rsid w:val="0060424E"/>
    <w:rsid w:val="006043D2"/>
    <w:rsid w:val="006047F9"/>
    <w:rsid w:val="00604903"/>
    <w:rsid w:val="0060496F"/>
    <w:rsid w:val="00604A5D"/>
    <w:rsid w:val="00604D5F"/>
    <w:rsid w:val="00604E48"/>
    <w:rsid w:val="00604F4C"/>
    <w:rsid w:val="00605286"/>
    <w:rsid w:val="00605357"/>
    <w:rsid w:val="0060544A"/>
    <w:rsid w:val="00605487"/>
    <w:rsid w:val="006055FC"/>
    <w:rsid w:val="00605783"/>
    <w:rsid w:val="0060592E"/>
    <w:rsid w:val="00605BBC"/>
    <w:rsid w:val="00605BD8"/>
    <w:rsid w:val="00605C56"/>
    <w:rsid w:val="00605E29"/>
    <w:rsid w:val="00605FEB"/>
    <w:rsid w:val="00606396"/>
    <w:rsid w:val="00606405"/>
    <w:rsid w:val="006066EE"/>
    <w:rsid w:val="00606CDD"/>
    <w:rsid w:val="00606D06"/>
    <w:rsid w:val="00607027"/>
    <w:rsid w:val="00607128"/>
    <w:rsid w:val="006072D1"/>
    <w:rsid w:val="006074CD"/>
    <w:rsid w:val="00607966"/>
    <w:rsid w:val="00607996"/>
    <w:rsid w:val="00607CDA"/>
    <w:rsid w:val="00610077"/>
    <w:rsid w:val="006100AA"/>
    <w:rsid w:val="0061076B"/>
    <w:rsid w:val="00610913"/>
    <w:rsid w:val="00610AC3"/>
    <w:rsid w:val="00610AED"/>
    <w:rsid w:val="00610C82"/>
    <w:rsid w:val="006111CE"/>
    <w:rsid w:val="006119B5"/>
    <w:rsid w:val="00611B98"/>
    <w:rsid w:val="00611CFC"/>
    <w:rsid w:val="00611E43"/>
    <w:rsid w:val="00612229"/>
    <w:rsid w:val="006122A6"/>
    <w:rsid w:val="0061261F"/>
    <w:rsid w:val="006127C1"/>
    <w:rsid w:val="00612B67"/>
    <w:rsid w:val="00612C1E"/>
    <w:rsid w:val="00613466"/>
    <w:rsid w:val="0061356F"/>
    <w:rsid w:val="0061367C"/>
    <w:rsid w:val="00613B73"/>
    <w:rsid w:val="00613BC0"/>
    <w:rsid w:val="00613CB6"/>
    <w:rsid w:val="00613EBD"/>
    <w:rsid w:val="006140EA"/>
    <w:rsid w:val="00614175"/>
    <w:rsid w:val="0061461E"/>
    <w:rsid w:val="006147BE"/>
    <w:rsid w:val="00614949"/>
    <w:rsid w:val="006149D8"/>
    <w:rsid w:val="00614A40"/>
    <w:rsid w:val="00614B59"/>
    <w:rsid w:val="00614E35"/>
    <w:rsid w:val="00615377"/>
    <w:rsid w:val="0061538D"/>
    <w:rsid w:val="0061539B"/>
    <w:rsid w:val="0061565D"/>
    <w:rsid w:val="00615770"/>
    <w:rsid w:val="00615898"/>
    <w:rsid w:val="00615C49"/>
    <w:rsid w:val="00615C57"/>
    <w:rsid w:val="00615D03"/>
    <w:rsid w:val="00615EBF"/>
    <w:rsid w:val="00616010"/>
    <w:rsid w:val="006162F7"/>
    <w:rsid w:val="00616669"/>
    <w:rsid w:val="0061683B"/>
    <w:rsid w:val="006168F1"/>
    <w:rsid w:val="006169B0"/>
    <w:rsid w:val="00616B80"/>
    <w:rsid w:val="00616BD0"/>
    <w:rsid w:val="00616C4D"/>
    <w:rsid w:val="006171A7"/>
    <w:rsid w:val="006172E6"/>
    <w:rsid w:val="00617630"/>
    <w:rsid w:val="0061779B"/>
    <w:rsid w:val="00617ABA"/>
    <w:rsid w:val="00617D19"/>
    <w:rsid w:val="00617E5C"/>
    <w:rsid w:val="0062015D"/>
    <w:rsid w:val="006202FC"/>
    <w:rsid w:val="00620661"/>
    <w:rsid w:val="006209D7"/>
    <w:rsid w:val="00620ADD"/>
    <w:rsid w:val="00620BC6"/>
    <w:rsid w:val="00620D2E"/>
    <w:rsid w:val="006212C3"/>
    <w:rsid w:val="00621BAA"/>
    <w:rsid w:val="00621BCC"/>
    <w:rsid w:val="00621D96"/>
    <w:rsid w:val="00622602"/>
    <w:rsid w:val="0062260A"/>
    <w:rsid w:val="006226FD"/>
    <w:rsid w:val="00622AE6"/>
    <w:rsid w:val="00622F15"/>
    <w:rsid w:val="006233C2"/>
    <w:rsid w:val="00623486"/>
    <w:rsid w:val="00623521"/>
    <w:rsid w:val="006235F7"/>
    <w:rsid w:val="00623762"/>
    <w:rsid w:val="0062379F"/>
    <w:rsid w:val="00623D0C"/>
    <w:rsid w:val="00623E24"/>
    <w:rsid w:val="006240BB"/>
    <w:rsid w:val="00624236"/>
    <w:rsid w:val="0062446C"/>
    <w:rsid w:val="006246C8"/>
    <w:rsid w:val="006247B7"/>
    <w:rsid w:val="00624BBA"/>
    <w:rsid w:val="00624CB8"/>
    <w:rsid w:val="00624DAF"/>
    <w:rsid w:val="00624ED0"/>
    <w:rsid w:val="006251B6"/>
    <w:rsid w:val="0062557B"/>
    <w:rsid w:val="00625F33"/>
    <w:rsid w:val="0062626E"/>
    <w:rsid w:val="0062649A"/>
    <w:rsid w:val="006265F7"/>
    <w:rsid w:val="006268F9"/>
    <w:rsid w:val="00626BC4"/>
    <w:rsid w:val="00627095"/>
    <w:rsid w:val="006271B0"/>
    <w:rsid w:val="006271D8"/>
    <w:rsid w:val="006272E9"/>
    <w:rsid w:val="0062746C"/>
    <w:rsid w:val="006274FF"/>
    <w:rsid w:val="006275F2"/>
    <w:rsid w:val="006276EE"/>
    <w:rsid w:val="00627842"/>
    <w:rsid w:val="00627C3E"/>
    <w:rsid w:val="00627EB3"/>
    <w:rsid w:val="00630052"/>
    <w:rsid w:val="00630634"/>
    <w:rsid w:val="00630A32"/>
    <w:rsid w:val="00630D34"/>
    <w:rsid w:val="00630D58"/>
    <w:rsid w:val="00631163"/>
    <w:rsid w:val="006313C4"/>
    <w:rsid w:val="00631693"/>
    <w:rsid w:val="006319D5"/>
    <w:rsid w:val="006319EA"/>
    <w:rsid w:val="00631A1A"/>
    <w:rsid w:val="00631A69"/>
    <w:rsid w:val="00631B94"/>
    <w:rsid w:val="00631CC7"/>
    <w:rsid w:val="00631D9A"/>
    <w:rsid w:val="00631DFE"/>
    <w:rsid w:val="00631E16"/>
    <w:rsid w:val="00632154"/>
    <w:rsid w:val="00632346"/>
    <w:rsid w:val="00632455"/>
    <w:rsid w:val="00632643"/>
    <w:rsid w:val="006328D7"/>
    <w:rsid w:val="00632975"/>
    <w:rsid w:val="00632AD8"/>
    <w:rsid w:val="00632C8B"/>
    <w:rsid w:val="00633068"/>
    <w:rsid w:val="00633115"/>
    <w:rsid w:val="006333FD"/>
    <w:rsid w:val="00633412"/>
    <w:rsid w:val="00633840"/>
    <w:rsid w:val="006338BC"/>
    <w:rsid w:val="00633E9C"/>
    <w:rsid w:val="00633F4D"/>
    <w:rsid w:val="006342FB"/>
    <w:rsid w:val="006344BE"/>
    <w:rsid w:val="0063475A"/>
    <w:rsid w:val="00634763"/>
    <w:rsid w:val="00634897"/>
    <w:rsid w:val="006348EB"/>
    <w:rsid w:val="006348FC"/>
    <w:rsid w:val="0063494B"/>
    <w:rsid w:val="00634BFF"/>
    <w:rsid w:val="00634DAC"/>
    <w:rsid w:val="00635440"/>
    <w:rsid w:val="0063575E"/>
    <w:rsid w:val="00635906"/>
    <w:rsid w:val="0063591B"/>
    <w:rsid w:val="00635C61"/>
    <w:rsid w:val="00635E3B"/>
    <w:rsid w:val="00635F9D"/>
    <w:rsid w:val="0063604E"/>
    <w:rsid w:val="0063616E"/>
    <w:rsid w:val="006362D8"/>
    <w:rsid w:val="006367A6"/>
    <w:rsid w:val="00636840"/>
    <w:rsid w:val="00636A4C"/>
    <w:rsid w:val="00636BC5"/>
    <w:rsid w:val="00636C79"/>
    <w:rsid w:val="00636DCA"/>
    <w:rsid w:val="00636E75"/>
    <w:rsid w:val="00636F4A"/>
    <w:rsid w:val="00636F5F"/>
    <w:rsid w:val="00636FD7"/>
    <w:rsid w:val="0063758E"/>
    <w:rsid w:val="006375E5"/>
    <w:rsid w:val="006377AA"/>
    <w:rsid w:val="00637B16"/>
    <w:rsid w:val="00637B7C"/>
    <w:rsid w:val="00637DE7"/>
    <w:rsid w:val="00637E9E"/>
    <w:rsid w:val="00637EEA"/>
    <w:rsid w:val="006400A3"/>
    <w:rsid w:val="006400B9"/>
    <w:rsid w:val="00640365"/>
    <w:rsid w:val="0064046F"/>
    <w:rsid w:val="00640548"/>
    <w:rsid w:val="00640E85"/>
    <w:rsid w:val="006410B0"/>
    <w:rsid w:val="0064125B"/>
    <w:rsid w:val="006412E7"/>
    <w:rsid w:val="0064148B"/>
    <w:rsid w:val="00641611"/>
    <w:rsid w:val="00641B2F"/>
    <w:rsid w:val="00641B35"/>
    <w:rsid w:val="00641F8A"/>
    <w:rsid w:val="006422C6"/>
    <w:rsid w:val="00642567"/>
    <w:rsid w:val="00642E16"/>
    <w:rsid w:val="00642E66"/>
    <w:rsid w:val="00642E82"/>
    <w:rsid w:val="0064324C"/>
    <w:rsid w:val="00643677"/>
    <w:rsid w:val="00643752"/>
    <w:rsid w:val="00643816"/>
    <w:rsid w:val="00643880"/>
    <w:rsid w:val="00643D35"/>
    <w:rsid w:val="00643DC0"/>
    <w:rsid w:val="00643F27"/>
    <w:rsid w:val="006440AA"/>
    <w:rsid w:val="0064454C"/>
    <w:rsid w:val="0064457F"/>
    <w:rsid w:val="0064473F"/>
    <w:rsid w:val="00644849"/>
    <w:rsid w:val="00644938"/>
    <w:rsid w:val="00644EFA"/>
    <w:rsid w:val="00644F86"/>
    <w:rsid w:val="00645328"/>
    <w:rsid w:val="006453E4"/>
    <w:rsid w:val="00645A06"/>
    <w:rsid w:val="00645AD8"/>
    <w:rsid w:val="00646033"/>
    <w:rsid w:val="006461FB"/>
    <w:rsid w:val="0064642A"/>
    <w:rsid w:val="00646807"/>
    <w:rsid w:val="00646884"/>
    <w:rsid w:val="006469E5"/>
    <w:rsid w:val="00646FFE"/>
    <w:rsid w:val="006470E0"/>
    <w:rsid w:val="006478C7"/>
    <w:rsid w:val="00647D3B"/>
    <w:rsid w:val="006500F0"/>
    <w:rsid w:val="00650209"/>
    <w:rsid w:val="006506D9"/>
    <w:rsid w:val="0065081E"/>
    <w:rsid w:val="00650935"/>
    <w:rsid w:val="00650B7B"/>
    <w:rsid w:val="006510B6"/>
    <w:rsid w:val="00651203"/>
    <w:rsid w:val="00651515"/>
    <w:rsid w:val="00651691"/>
    <w:rsid w:val="00651834"/>
    <w:rsid w:val="00651A81"/>
    <w:rsid w:val="00651D1D"/>
    <w:rsid w:val="00651EC9"/>
    <w:rsid w:val="006520A0"/>
    <w:rsid w:val="006520C5"/>
    <w:rsid w:val="0065260B"/>
    <w:rsid w:val="00652DC3"/>
    <w:rsid w:val="00652FB4"/>
    <w:rsid w:val="006531CC"/>
    <w:rsid w:val="0065330D"/>
    <w:rsid w:val="0065349C"/>
    <w:rsid w:val="00653575"/>
    <w:rsid w:val="00653A59"/>
    <w:rsid w:val="00653A5B"/>
    <w:rsid w:val="00653AEE"/>
    <w:rsid w:val="00653B47"/>
    <w:rsid w:val="00653DF8"/>
    <w:rsid w:val="00654103"/>
    <w:rsid w:val="006545FB"/>
    <w:rsid w:val="00654645"/>
    <w:rsid w:val="00654886"/>
    <w:rsid w:val="00654A57"/>
    <w:rsid w:val="0065522E"/>
    <w:rsid w:val="006553D2"/>
    <w:rsid w:val="00655481"/>
    <w:rsid w:val="00655648"/>
    <w:rsid w:val="006559D4"/>
    <w:rsid w:val="00655E84"/>
    <w:rsid w:val="006560EE"/>
    <w:rsid w:val="00656112"/>
    <w:rsid w:val="00656116"/>
    <w:rsid w:val="00656150"/>
    <w:rsid w:val="00656490"/>
    <w:rsid w:val="0065674C"/>
    <w:rsid w:val="00656C36"/>
    <w:rsid w:val="00656D3F"/>
    <w:rsid w:val="00656E72"/>
    <w:rsid w:val="00657667"/>
    <w:rsid w:val="00657F9C"/>
    <w:rsid w:val="00660428"/>
    <w:rsid w:val="00660B36"/>
    <w:rsid w:val="00660B4C"/>
    <w:rsid w:val="00660CCF"/>
    <w:rsid w:val="00660D77"/>
    <w:rsid w:val="0066123A"/>
    <w:rsid w:val="00661505"/>
    <w:rsid w:val="006616B3"/>
    <w:rsid w:val="0066176F"/>
    <w:rsid w:val="006617A3"/>
    <w:rsid w:val="006617D5"/>
    <w:rsid w:val="006617D8"/>
    <w:rsid w:val="0066181F"/>
    <w:rsid w:val="00661D12"/>
    <w:rsid w:val="00661DE2"/>
    <w:rsid w:val="00661E6C"/>
    <w:rsid w:val="006621E7"/>
    <w:rsid w:val="0066247D"/>
    <w:rsid w:val="0066264E"/>
    <w:rsid w:val="006627CD"/>
    <w:rsid w:val="006628D0"/>
    <w:rsid w:val="00662B73"/>
    <w:rsid w:val="0066310A"/>
    <w:rsid w:val="00663376"/>
    <w:rsid w:val="006633AF"/>
    <w:rsid w:val="00663427"/>
    <w:rsid w:val="006635FC"/>
    <w:rsid w:val="0066376C"/>
    <w:rsid w:val="00663864"/>
    <w:rsid w:val="00663867"/>
    <w:rsid w:val="006638C1"/>
    <w:rsid w:val="00663967"/>
    <w:rsid w:val="00663B5C"/>
    <w:rsid w:val="00663EA5"/>
    <w:rsid w:val="006640FB"/>
    <w:rsid w:val="006643DB"/>
    <w:rsid w:val="006646CE"/>
    <w:rsid w:val="00664AE6"/>
    <w:rsid w:val="00664B4C"/>
    <w:rsid w:val="00664E24"/>
    <w:rsid w:val="00664E93"/>
    <w:rsid w:val="00664F9E"/>
    <w:rsid w:val="00665111"/>
    <w:rsid w:val="00665210"/>
    <w:rsid w:val="00665357"/>
    <w:rsid w:val="00665438"/>
    <w:rsid w:val="00665793"/>
    <w:rsid w:val="006658FE"/>
    <w:rsid w:val="00665906"/>
    <w:rsid w:val="00665BF3"/>
    <w:rsid w:val="00665D14"/>
    <w:rsid w:val="00666190"/>
    <w:rsid w:val="0066639E"/>
    <w:rsid w:val="006663A8"/>
    <w:rsid w:val="006668A9"/>
    <w:rsid w:val="00666A5A"/>
    <w:rsid w:val="00666B23"/>
    <w:rsid w:val="00666D0D"/>
    <w:rsid w:val="00667185"/>
    <w:rsid w:val="006673E8"/>
    <w:rsid w:val="006675E8"/>
    <w:rsid w:val="00667DDF"/>
    <w:rsid w:val="00667F34"/>
    <w:rsid w:val="00670014"/>
    <w:rsid w:val="006700EA"/>
    <w:rsid w:val="0067088A"/>
    <w:rsid w:val="006708FE"/>
    <w:rsid w:val="00670DBA"/>
    <w:rsid w:val="00670DC3"/>
    <w:rsid w:val="00670DC7"/>
    <w:rsid w:val="0067120C"/>
    <w:rsid w:val="0067124E"/>
    <w:rsid w:val="00671282"/>
    <w:rsid w:val="006713E1"/>
    <w:rsid w:val="0067141F"/>
    <w:rsid w:val="00671980"/>
    <w:rsid w:val="00671EFF"/>
    <w:rsid w:val="00672212"/>
    <w:rsid w:val="00672E5A"/>
    <w:rsid w:val="00673541"/>
    <w:rsid w:val="0067372E"/>
    <w:rsid w:val="00673ACF"/>
    <w:rsid w:val="00673BBB"/>
    <w:rsid w:val="00673C61"/>
    <w:rsid w:val="00673E66"/>
    <w:rsid w:val="0067404E"/>
    <w:rsid w:val="0067437F"/>
    <w:rsid w:val="00674496"/>
    <w:rsid w:val="00674570"/>
    <w:rsid w:val="006746B9"/>
    <w:rsid w:val="006747DB"/>
    <w:rsid w:val="00674AA0"/>
    <w:rsid w:val="00674BC8"/>
    <w:rsid w:val="00674FE0"/>
    <w:rsid w:val="0067521E"/>
    <w:rsid w:val="0067540F"/>
    <w:rsid w:val="0067590A"/>
    <w:rsid w:val="00675E21"/>
    <w:rsid w:val="006761A1"/>
    <w:rsid w:val="006762C0"/>
    <w:rsid w:val="006764F1"/>
    <w:rsid w:val="006766FF"/>
    <w:rsid w:val="00676751"/>
    <w:rsid w:val="00676969"/>
    <w:rsid w:val="006769A4"/>
    <w:rsid w:val="00676B43"/>
    <w:rsid w:val="00676B8E"/>
    <w:rsid w:val="00676C05"/>
    <w:rsid w:val="00676E8E"/>
    <w:rsid w:val="0067708E"/>
    <w:rsid w:val="006772E2"/>
    <w:rsid w:val="00677439"/>
    <w:rsid w:val="00677814"/>
    <w:rsid w:val="00677931"/>
    <w:rsid w:val="00677D23"/>
    <w:rsid w:val="006800AC"/>
    <w:rsid w:val="00680200"/>
    <w:rsid w:val="006803A9"/>
    <w:rsid w:val="006806EC"/>
    <w:rsid w:val="0068082E"/>
    <w:rsid w:val="00680C3B"/>
    <w:rsid w:val="00680C3E"/>
    <w:rsid w:val="00680D9F"/>
    <w:rsid w:val="0068143A"/>
    <w:rsid w:val="0068156A"/>
    <w:rsid w:val="006817B0"/>
    <w:rsid w:val="006817F6"/>
    <w:rsid w:val="00681BB8"/>
    <w:rsid w:val="00681F82"/>
    <w:rsid w:val="00682170"/>
    <w:rsid w:val="00682191"/>
    <w:rsid w:val="006824E0"/>
    <w:rsid w:val="00682806"/>
    <w:rsid w:val="00682811"/>
    <w:rsid w:val="00682BF4"/>
    <w:rsid w:val="00682BF7"/>
    <w:rsid w:val="0068324D"/>
    <w:rsid w:val="006834F7"/>
    <w:rsid w:val="00683872"/>
    <w:rsid w:val="00683B28"/>
    <w:rsid w:val="00683B33"/>
    <w:rsid w:val="00683EAD"/>
    <w:rsid w:val="00684062"/>
    <w:rsid w:val="00684568"/>
    <w:rsid w:val="006845ED"/>
    <w:rsid w:val="00684656"/>
    <w:rsid w:val="00684979"/>
    <w:rsid w:val="00684ECA"/>
    <w:rsid w:val="006850AA"/>
    <w:rsid w:val="00685171"/>
    <w:rsid w:val="006851A9"/>
    <w:rsid w:val="00685E44"/>
    <w:rsid w:val="0068635B"/>
    <w:rsid w:val="00686415"/>
    <w:rsid w:val="006867E8"/>
    <w:rsid w:val="00686B19"/>
    <w:rsid w:val="00686C81"/>
    <w:rsid w:val="00686D14"/>
    <w:rsid w:val="00686EA0"/>
    <w:rsid w:val="00686F1E"/>
    <w:rsid w:val="006870E5"/>
    <w:rsid w:val="006872C0"/>
    <w:rsid w:val="006879EC"/>
    <w:rsid w:val="00687A1F"/>
    <w:rsid w:val="00687AA2"/>
    <w:rsid w:val="006901EE"/>
    <w:rsid w:val="00690411"/>
    <w:rsid w:val="006904AB"/>
    <w:rsid w:val="00690604"/>
    <w:rsid w:val="00690734"/>
    <w:rsid w:val="00690A13"/>
    <w:rsid w:val="00690B33"/>
    <w:rsid w:val="00690C00"/>
    <w:rsid w:val="00690CFF"/>
    <w:rsid w:val="00690E41"/>
    <w:rsid w:val="00691042"/>
    <w:rsid w:val="00691B72"/>
    <w:rsid w:val="00692454"/>
    <w:rsid w:val="0069255C"/>
    <w:rsid w:val="006925F3"/>
    <w:rsid w:val="006928CB"/>
    <w:rsid w:val="00692A4F"/>
    <w:rsid w:val="00692F52"/>
    <w:rsid w:val="006931E7"/>
    <w:rsid w:val="0069386F"/>
    <w:rsid w:val="00693DC1"/>
    <w:rsid w:val="00694008"/>
    <w:rsid w:val="00694167"/>
    <w:rsid w:val="00694523"/>
    <w:rsid w:val="00694752"/>
    <w:rsid w:val="00694826"/>
    <w:rsid w:val="00694A57"/>
    <w:rsid w:val="00694D7F"/>
    <w:rsid w:val="00694DF8"/>
    <w:rsid w:val="00695267"/>
    <w:rsid w:val="0069573B"/>
    <w:rsid w:val="00695772"/>
    <w:rsid w:val="006957D7"/>
    <w:rsid w:val="00695B27"/>
    <w:rsid w:val="00695C3D"/>
    <w:rsid w:val="00695D09"/>
    <w:rsid w:val="00695F89"/>
    <w:rsid w:val="0069631A"/>
    <w:rsid w:val="00696343"/>
    <w:rsid w:val="00696399"/>
    <w:rsid w:val="0069661E"/>
    <w:rsid w:val="00696AAD"/>
    <w:rsid w:val="00696D5D"/>
    <w:rsid w:val="0069736A"/>
    <w:rsid w:val="006974AA"/>
    <w:rsid w:val="006974B4"/>
    <w:rsid w:val="0069760C"/>
    <w:rsid w:val="00697A9B"/>
    <w:rsid w:val="00697E53"/>
    <w:rsid w:val="00697FDC"/>
    <w:rsid w:val="006A0172"/>
    <w:rsid w:val="006A01F3"/>
    <w:rsid w:val="006A038E"/>
    <w:rsid w:val="006A0415"/>
    <w:rsid w:val="006A0547"/>
    <w:rsid w:val="006A064A"/>
    <w:rsid w:val="006A0A46"/>
    <w:rsid w:val="006A0C13"/>
    <w:rsid w:val="006A0C95"/>
    <w:rsid w:val="006A0E7B"/>
    <w:rsid w:val="006A14D0"/>
    <w:rsid w:val="006A16A2"/>
    <w:rsid w:val="006A1730"/>
    <w:rsid w:val="006A188A"/>
    <w:rsid w:val="006A1A88"/>
    <w:rsid w:val="006A1D13"/>
    <w:rsid w:val="006A1ED5"/>
    <w:rsid w:val="006A1F62"/>
    <w:rsid w:val="006A211A"/>
    <w:rsid w:val="006A2417"/>
    <w:rsid w:val="006A27A6"/>
    <w:rsid w:val="006A28E6"/>
    <w:rsid w:val="006A2994"/>
    <w:rsid w:val="006A2A80"/>
    <w:rsid w:val="006A2FF4"/>
    <w:rsid w:val="006A3775"/>
    <w:rsid w:val="006A40DF"/>
    <w:rsid w:val="006A40EB"/>
    <w:rsid w:val="006A4483"/>
    <w:rsid w:val="006A45E9"/>
    <w:rsid w:val="006A51B5"/>
    <w:rsid w:val="006A52BF"/>
    <w:rsid w:val="006A54B0"/>
    <w:rsid w:val="006A5508"/>
    <w:rsid w:val="006A5666"/>
    <w:rsid w:val="006A5747"/>
    <w:rsid w:val="006A5BC0"/>
    <w:rsid w:val="006A5C37"/>
    <w:rsid w:val="006A5EC7"/>
    <w:rsid w:val="006A6086"/>
    <w:rsid w:val="006A610B"/>
    <w:rsid w:val="006A64AD"/>
    <w:rsid w:val="006A65BF"/>
    <w:rsid w:val="006A673C"/>
    <w:rsid w:val="006A6832"/>
    <w:rsid w:val="006A69EC"/>
    <w:rsid w:val="006A6ABC"/>
    <w:rsid w:val="006A6C23"/>
    <w:rsid w:val="006A6E3F"/>
    <w:rsid w:val="006B0131"/>
    <w:rsid w:val="006B029B"/>
    <w:rsid w:val="006B02C5"/>
    <w:rsid w:val="006B0466"/>
    <w:rsid w:val="006B06C3"/>
    <w:rsid w:val="006B090F"/>
    <w:rsid w:val="006B0966"/>
    <w:rsid w:val="006B097E"/>
    <w:rsid w:val="006B09CB"/>
    <w:rsid w:val="006B09D5"/>
    <w:rsid w:val="006B0FD7"/>
    <w:rsid w:val="006B1085"/>
    <w:rsid w:val="006B1618"/>
    <w:rsid w:val="006B1774"/>
    <w:rsid w:val="006B1CAA"/>
    <w:rsid w:val="006B20D6"/>
    <w:rsid w:val="006B223C"/>
    <w:rsid w:val="006B2480"/>
    <w:rsid w:val="006B24B2"/>
    <w:rsid w:val="006B24BF"/>
    <w:rsid w:val="006B271C"/>
    <w:rsid w:val="006B27AB"/>
    <w:rsid w:val="006B2B60"/>
    <w:rsid w:val="006B2C3B"/>
    <w:rsid w:val="006B2CC2"/>
    <w:rsid w:val="006B2DC2"/>
    <w:rsid w:val="006B2E13"/>
    <w:rsid w:val="006B36E1"/>
    <w:rsid w:val="006B3D77"/>
    <w:rsid w:val="006B3F47"/>
    <w:rsid w:val="006B3F8E"/>
    <w:rsid w:val="006B3FF0"/>
    <w:rsid w:val="006B4031"/>
    <w:rsid w:val="006B48D9"/>
    <w:rsid w:val="006B4BDD"/>
    <w:rsid w:val="006B5034"/>
    <w:rsid w:val="006B5290"/>
    <w:rsid w:val="006B536F"/>
    <w:rsid w:val="006B55C1"/>
    <w:rsid w:val="006B5780"/>
    <w:rsid w:val="006B5AD9"/>
    <w:rsid w:val="006B62EF"/>
    <w:rsid w:val="006B69EA"/>
    <w:rsid w:val="006B6AB7"/>
    <w:rsid w:val="006B6B70"/>
    <w:rsid w:val="006B6D17"/>
    <w:rsid w:val="006B6E06"/>
    <w:rsid w:val="006B6F46"/>
    <w:rsid w:val="006B7384"/>
    <w:rsid w:val="006B739F"/>
    <w:rsid w:val="006B7681"/>
    <w:rsid w:val="006B7693"/>
    <w:rsid w:val="006B7846"/>
    <w:rsid w:val="006B7938"/>
    <w:rsid w:val="006B7AE7"/>
    <w:rsid w:val="006C03F9"/>
    <w:rsid w:val="006C0A88"/>
    <w:rsid w:val="006C0CBB"/>
    <w:rsid w:val="006C0E5F"/>
    <w:rsid w:val="006C0FA8"/>
    <w:rsid w:val="006C10D4"/>
    <w:rsid w:val="006C1290"/>
    <w:rsid w:val="006C13B4"/>
    <w:rsid w:val="006C18AA"/>
    <w:rsid w:val="006C18F4"/>
    <w:rsid w:val="006C196B"/>
    <w:rsid w:val="006C1D8C"/>
    <w:rsid w:val="006C1F85"/>
    <w:rsid w:val="006C228D"/>
    <w:rsid w:val="006C2CCD"/>
    <w:rsid w:val="006C2CE5"/>
    <w:rsid w:val="006C2D39"/>
    <w:rsid w:val="006C32A1"/>
    <w:rsid w:val="006C34D0"/>
    <w:rsid w:val="006C39E4"/>
    <w:rsid w:val="006C3E0D"/>
    <w:rsid w:val="006C418D"/>
    <w:rsid w:val="006C48CC"/>
    <w:rsid w:val="006C4904"/>
    <w:rsid w:val="006C4BB8"/>
    <w:rsid w:val="006C4D8E"/>
    <w:rsid w:val="006C5729"/>
    <w:rsid w:val="006C59D4"/>
    <w:rsid w:val="006C5DD7"/>
    <w:rsid w:val="006C5F94"/>
    <w:rsid w:val="006C63F6"/>
    <w:rsid w:val="006C66E2"/>
    <w:rsid w:val="006C723D"/>
    <w:rsid w:val="006C7410"/>
    <w:rsid w:val="006C7AC6"/>
    <w:rsid w:val="006D016C"/>
    <w:rsid w:val="006D0321"/>
    <w:rsid w:val="006D0388"/>
    <w:rsid w:val="006D0707"/>
    <w:rsid w:val="006D076E"/>
    <w:rsid w:val="006D0A5E"/>
    <w:rsid w:val="006D1383"/>
    <w:rsid w:val="006D142B"/>
    <w:rsid w:val="006D2084"/>
    <w:rsid w:val="006D2559"/>
    <w:rsid w:val="006D2847"/>
    <w:rsid w:val="006D2BC7"/>
    <w:rsid w:val="006D2F7C"/>
    <w:rsid w:val="006D3086"/>
    <w:rsid w:val="006D331A"/>
    <w:rsid w:val="006D37EE"/>
    <w:rsid w:val="006D3A95"/>
    <w:rsid w:val="006D3B89"/>
    <w:rsid w:val="006D3D05"/>
    <w:rsid w:val="006D3F42"/>
    <w:rsid w:val="006D42A6"/>
    <w:rsid w:val="006D4784"/>
    <w:rsid w:val="006D4B13"/>
    <w:rsid w:val="006D4C75"/>
    <w:rsid w:val="006D4CD9"/>
    <w:rsid w:val="006D5081"/>
    <w:rsid w:val="006D52E5"/>
    <w:rsid w:val="006D54CB"/>
    <w:rsid w:val="006D5723"/>
    <w:rsid w:val="006D57B3"/>
    <w:rsid w:val="006D57C1"/>
    <w:rsid w:val="006D587B"/>
    <w:rsid w:val="006D5930"/>
    <w:rsid w:val="006D5B61"/>
    <w:rsid w:val="006D5D0C"/>
    <w:rsid w:val="006D5DB5"/>
    <w:rsid w:val="006D5EA8"/>
    <w:rsid w:val="006D5EE3"/>
    <w:rsid w:val="006D602A"/>
    <w:rsid w:val="006D6953"/>
    <w:rsid w:val="006D6ACF"/>
    <w:rsid w:val="006D6DB2"/>
    <w:rsid w:val="006D6EB3"/>
    <w:rsid w:val="006D70A4"/>
    <w:rsid w:val="006D731C"/>
    <w:rsid w:val="006D75A8"/>
    <w:rsid w:val="006D7765"/>
    <w:rsid w:val="006D7C16"/>
    <w:rsid w:val="006D7C33"/>
    <w:rsid w:val="006D7DCE"/>
    <w:rsid w:val="006E01E5"/>
    <w:rsid w:val="006E03EE"/>
    <w:rsid w:val="006E0A0E"/>
    <w:rsid w:val="006E0EF0"/>
    <w:rsid w:val="006E0F49"/>
    <w:rsid w:val="006E105F"/>
    <w:rsid w:val="006E1066"/>
    <w:rsid w:val="006E10DD"/>
    <w:rsid w:val="006E1102"/>
    <w:rsid w:val="006E1584"/>
    <w:rsid w:val="006E17EF"/>
    <w:rsid w:val="006E1B4F"/>
    <w:rsid w:val="006E1BCE"/>
    <w:rsid w:val="006E1E4E"/>
    <w:rsid w:val="006E205A"/>
    <w:rsid w:val="006E2680"/>
    <w:rsid w:val="006E2BA9"/>
    <w:rsid w:val="006E2BEF"/>
    <w:rsid w:val="006E2C24"/>
    <w:rsid w:val="006E2C44"/>
    <w:rsid w:val="006E2DC3"/>
    <w:rsid w:val="006E2E1F"/>
    <w:rsid w:val="006E2E71"/>
    <w:rsid w:val="006E2EE1"/>
    <w:rsid w:val="006E2F02"/>
    <w:rsid w:val="006E31F7"/>
    <w:rsid w:val="006E3215"/>
    <w:rsid w:val="006E375E"/>
    <w:rsid w:val="006E37E9"/>
    <w:rsid w:val="006E37EC"/>
    <w:rsid w:val="006E382A"/>
    <w:rsid w:val="006E389C"/>
    <w:rsid w:val="006E3960"/>
    <w:rsid w:val="006E3DE6"/>
    <w:rsid w:val="006E3E52"/>
    <w:rsid w:val="006E3F5C"/>
    <w:rsid w:val="006E4603"/>
    <w:rsid w:val="006E4BA2"/>
    <w:rsid w:val="006E5122"/>
    <w:rsid w:val="006E5350"/>
    <w:rsid w:val="006E5367"/>
    <w:rsid w:val="006E5AC7"/>
    <w:rsid w:val="006E5B77"/>
    <w:rsid w:val="006E5BA2"/>
    <w:rsid w:val="006E5F9F"/>
    <w:rsid w:val="006E6067"/>
    <w:rsid w:val="006E606B"/>
    <w:rsid w:val="006E6080"/>
    <w:rsid w:val="006E60AE"/>
    <w:rsid w:val="006E6102"/>
    <w:rsid w:val="006E6164"/>
    <w:rsid w:val="006E6549"/>
    <w:rsid w:val="006E656D"/>
    <w:rsid w:val="006E6586"/>
    <w:rsid w:val="006E69D1"/>
    <w:rsid w:val="006E69DA"/>
    <w:rsid w:val="006E6B2B"/>
    <w:rsid w:val="006E6B50"/>
    <w:rsid w:val="006E6C0C"/>
    <w:rsid w:val="006E6C27"/>
    <w:rsid w:val="006E7248"/>
    <w:rsid w:val="006E740C"/>
    <w:rsid w:val="006E74DF"/>
    <w:rsid w:val="006E7965"/>
    <w:rsid w:val="006F0048"/>
    <w:rsid w:val="006F015E"/>
    <w:rsid w:val="006F0209"/>
    <w:rsid w:val="006F0675"/>
    <w:rsid w:val="006F0C7E"/>
    <w:rsid w:val="006F0DB4"/>
    <w:rsid w:val="006F0F1A"/>
    <w:rsid w:val="006F0F3B"/>
    <w:rsid w:val="006F106B"/>
    <w:rsid w:val="006F131D"/>
    <w:rsid w:val="006F1441"/>
    <w:rsid w:val="006F153E"/>
    <w:rsid w:val="006F15AE"/>
    <w:rsid w:val="006F1658"/>
    <w:rsid w:val="006F16EC"/>
    <w:rsid w:val="006F2329"/>
    <w:rsid w:val="006F2763"/>
    <w:rsid w:val="006F29EA"/>
    <w:rsid w:val="006F2ABA"/>
    <w:rsid w:val="006F2E25"/>
    <w:rsid w:val="006F30D4"/>
    <w:rsid w:val="006F34B4"/>
    <w:rsid w:val="006F3581"/>
    <w:rsid w:val="006F3B48"/>
    <w:rsid w:val="006F3BE5"/>
    <w:rsid w:val="006F3C15"/>
    <w:rsid w:val="006F3E1B"/>
    <w:rsid w:val="006F4153"/>
    <w:rsid w:val="006F442A"/>
    <w:rsid w:val="006F46C4"/>
    <w:rsid w:val="006F47B9"/>
    <w:rsid w:val="006F486A"/>
    <w:rsid w:val="006F4A93"/>
    <w:rsid w:val="006F4BFE"/>
    <w:rsid w:val="006F52E7"/>
    <w:rsid w:val="006F5451"/>
    <w:rsid w:val="006F552A"/>
    <w:rsid w:val="006F5A89"/>
    <w:rsid w:val="006F5D5D"/>
    <w:rsid w:val="006F666B"/>
    <w:rsid w:val="006F6FF9"/>
    <w:rsid w:val="006F70D1"/>
    <w:rsid w:val="006F71BC"/>
    <w:rsid w:val="006F761C"/>
    <w:rsid w:val="006F796B"/>
    <w:rsid w:val="006F7B39"/>
    <w:rsid w:val="006F7D4B"/>
    <w:rsid w:val="007000AF"/>
    <w:rsid w:val="00700303"/>
    <w:rsid w:val="007003CD"/>
    <w:rsid w:val="007004FC"/>
    <w:rsid w:val="00700571"/>
    <w:rsid w:val="00701130"/>
    <w:rsid w:val="007013C6"/>
    <w:rsid w:val="00701613"/>
    <w:rsid w:val="007016E7"/>
    <w:rsid w:val="007016E8"/>
    <w:rsid w:val="00701908"/>
    <w:rsid w:val="00701AE0"/>
    <w:rsid w:val="00701BBF"/>
    <w:rsid w:val="00701D94"/>
    <w:rsid w:val="0070234A"/>
    <w:rsid w:val="00702402"/>
    <w:rsid w:val="00702612"/>
    <w:rsid w:val="00702A9E"/>
    <w:rsid w:val="00702B48"/>
    <w:rsid w:val="00702E6C"/>
    <w:rsid w:val="007033EA"/>
    <w:rsid w:val="00703624"/>
    <w:rsid w:val="007039DF"/>
    <w:rsid w:val="00703B4B"/>
    <w:rsid w:val="00703C67"/>
    <w:rsid w:val="00703D76"/>
    <w:rsid w:val="00703DD4"/>
    <w:rsid w:val="00703E1D"/>
    <w:rsid w:val="00703E54"/>
    <w:rsid w:val="0070454C"/>
    <w:rsid w:val="007045DF"/>
    <w:rsid w:val="007048B5"/>
    <w:rsid w:val="00704957"/>
    <w:rsid w:val="00704AB1"/>
    <w:rsid w:val="00704BA8"/>
    <w:rsid w:val="00704FF0"/>
    <w:rsid w:val="0070535F"/>
    <w:rsid w:val="007053DC"/>
    <w:rsid w:val="00705844"/>
    <w:rsid w:val="0070589F"/>
    <w:rsid w:val="00705C8D"/>
    <w:rsid w:val="00705EE6"/>
    <w:rsid w:val="007060E9"/>
    <w:rsid w:val="007061AD"/>
    <w:rsid w:val="00706B81"/>
    <w:rsid w:val="00706E5D"/>
    <w:rsid w:val="007070E3"/>
    <w:rsid w:val="0070719B"/>
    <w:rsid w:val="007074C4"/>
    <w:rsid w:val="007075D8"/>
    <w:rsid w:val="00707733"/>
    <w:rsid w:val="007078D5"/>
    <w:rsid w:val="00707B2F"/>
    <w:rsid w:val="00707D80"/>
    <w:rsid w:val="00707E28"/>
    <w:rsid w:val="00710165"/>
    <w:rsid w:val="007101AF"/>
    <w:rsid w:val="0071041D"/>
    <w:rsid w:val="00710792"/>
    <w:rsid w:val="00710CE6"/>
    <w:rsid w:val="00710EBA"/>
    <w:rsid w:val="0071176E"/>
    <w:rsid w:val="007117E7"/>
    <w:rsid w:val="00711803"/>
    <w:rsid w:val="00711902"/>
    <w:rsid w:val="00711A9A"/>
    <w:rsid w:val="00711BA5"/>
    <w:rsid w:val="00711BE0"/>
    <w:rsid w:val="00711D77"/>
    <w:rsid w:val="00711DF5"/>
    <w:rsid w:val="00712196"/>
    <w:rsid w:val="0071231B"/>
    <w:rsid w:val="007127EC"/>
    <w:rsid w:val="00712A83"/>
    <w:rsid w:val="00712B43"/>
    <w:rsid w:val="00712EE9"/>
    <w:rsid w:val="00712F84"/>
    <w:rsid w:val="0071309F"/>
    <w:rsid w:val="00713187"/>
    <w:rsid w:val="007131A5"/>
    <w:rsid w:val="00713793"/>
    <w:rsid w:val="00713973"/>
    <w:rsid w:val="00713A0D"/>
    <w:rsid w:val="00713F35"/>
    <w:rsid w:val="00714379"/>
    <w:rsid w:val="007144A4"/>
    <w:rsid w:val="00714BE9"/>
    <w:rsid w:val="00714DD7"/>
    <w:rsid w:val="00714E14"/>
    <w:rsid w:val="007151AF"/>
    <w:rsid w:val="00715475"/>
    <w:rsid w:val="007155DB"/>
    <w:rsid w:val="007156FC"/>
    <w:rsid w:val="00715739"/>
    <w:rsid w:val="0071595B"/>
    <w:rsid w:val="007159CD"/>
    <w:rsid w:val="00715B0F"/>
    <w:rsid w:val="0071603E"/>
    <w:rsid w:val="007162E2"/>
    <w:rsid w:val="007166FD"/>
    <w:rsid w:val="00716BD4"/>
    <w:rsid w:val="00716DB2"/>
    <w:rsid w:val="00716EBD"/>
    <w:rsid w:val="00717187"/>
    <w:rsid w:val="0071742B"/>
    <w:rsid w:val="0071763A"/>
    <w:rsid w:val="00717705"/>
    <w:rsid w:val="007177E0"/>
    <w:rsid w:val="0071799F"/>
    <w:rsid w:val="00717CCA"/>
    <w:rsid w:val="00717E1D"/>
    <w:rsid w:val="00717F36"/>
    <w:rsid w:val="00717F96"/>
    <w:rsid w:val="00717FB3"/>
    <w:rsid w:val="007202C6"/>
    <w:rsid w:val="00720342"/>
    <w:rsid w:val="00720930"/>
    <w:rsid w:val="00720C53"/>
    <w:rsid w:val="00720D88"/>
    <w:rsid w:val="007215D4"/>
    <w:rsid w:val="0072164A"/>
    <w:rsid w:val="007216E6"/>
    <w:rsid w:val="007217B8"/>
    <w:rsid w:val="00721C1D"/>
    <w:rsid w:val="00721EA6"/>
    <w:rsid w:val="00721EF5"/>
    <w:rsid w:val="00722200"/>
    <w:rsid w:val="00722245"/>
    <w:rsid w:val="007222B5"/>
    <w:rsid w:val="007222F0"/>
    <w:rsid w:val="0072283D"/>
    <w:rsid w:val="007229A3"/>
    <w:rsid w:val="00722C26"/>
    <w:rsid w:val="00722C55"/>
    <w:rsid w:val="00722C8B"/>
    <w:rsid w:val="00722CA6"/>
    <w:rsid w:val="00722D12"/>
    <w:rsid w:val="007237E9"/>
    <w:rsid w:val="00723915"/>
    <w:rsid w:val="00723986"/>
    <w:rsid w:val="00723BAC"/>
    <w:rsid w:val="00723BFB"/>
    <w:rsid w:val="00723E66"/>
    <w:rsid w:val="00723F8A"/>
    <w:rsid w:val="0072460B"/>
    <w:rsid w:val="007246C7"/>
    <w:rsid w:val="007247CC"/>
    <w:rsid w:val="0072493B"/>
    <w:rsid w:val="00724FAB"/>
    <w:rsid w:val="00725137"/>
    <w:rsid w:val="00725276"/>
    <w:rsid w:val="00725309"/>
    <w:rsid w:val="00725510"/>
    <w:rsid w:val="0072561E"/>
    <w:rsid w:val="0072589F"/>
    <w:rsid w:val="00725E4D"/>
    <w:rsid w:val="00725FC9"/>
    <w:rsid w:val="007268D9"/>
    <w:rsid w:val="00726CC6"/>
    <w:rsid w:val="00726EAD"/>
    <w:rsid w:val="00727197"/>
    <w:rsid w:val="007271AD"/>
    <w:rsid w:val="007273BE"/>
    <w:rsid w:val="007273DA"/>
    <w:rsid w:val="007274FB"/>
    <w:rsid w:val="007277A9"/>
    <w:rsid w:val="00727A87"/>
    <w:rsid w:val="00727C31"/>
    <w:rsid w:val="00727D54"/>
    <w:rsid w:val="00730270"/>
    <w:rsid w:val="0073038B"/>
    <w:rsid w:val="0073052D"/>
    <w:rsid w:val="00730560"/>
    <w:rsid w:val="007305BE"/>
    <w:rsid w:val="00730687"/>
    <w:rsid w:val="007309C1"/>
    <w:rsid w:val="00730C71"/>
    <w:rsid w:val="00730CED"/>
    <w:rsid w:val="00730D3E"/>
    <w:rsid w:val="00730E64"/>
    <w:rsid w:val="00730F28"/>
    <w:rsid w:val="00730F8C"/>
    <w:rsid w:val="00731299"/>
    <w:rsid w:val="00731438"/>
    <w:rsid w:val="007319A5"/>
    <w:rsid w:val="00731B04"/>
    <w:rsid w:val="00732099"/>
    <w:rsid w:val="00732116"/>
    <w:rsid w:val="00732174"/>
    <w:rsid w:val="007321B1"/>
    <w:rsid w:val="0073243C"/>
    <w:rsid w:val="007326EE"/>
    <w:rsid w:val="007327FA"/>
    <w:rsid w:val="007329C6"/>
    <w:rsid w:val="00732A43"/>
    <w:rsid w:val="00732B3E"/>
    <w:rsid w:val="00732DC6"/>
    <w:rsid w:val="00732DFB"/>
    <w:rsid w:val="00732E91"/>
    <w:rsid w:val="00733083"/>
    <w:rsid w:val="0073354F"/>
    <w:rsid w:val="0073398C"/>
    <w:rsid w:val="00733FA0"/>
    <w:rsid w:val="00734090"/>
    <w:rsid w:val="00734600"/>
    <w:rsid w:val="0073469A"/>
    <w:rsid w:val="0073489A"/>
    <w:rsid w:val="0073496D"/>
    <w:rsid w:val="00734A2A"/>
    <w:rsid w:val="00734B31"/>
    <w:rsid w:val="00734BE7"/>
    <w:rsid w:val="00734E1A"/>
    <w:rsid w:val="007351BB"/>
    <w:rsid w:val="007351FC"/>
    <w:rsid w:val="00735406"/>
    <w:rsid w:val="007354F9"/>
    <w:rsid w:val="007354FA"/>
    <w:rsid w:val="00735521"/>
    <w:rsid w:val="00735527"/>
    <w:rsid w:val="007355C6"/>
    <w:rsid w:val="0073589A"/>
    <w:rsid w:val="00735916"/>
    <w:rsid w:val="00735CA1"/>
    <w:rsid w:val="00735EBA"/>
    <w:rsid w:val="00735F90"/>
    <w:rsid w:val="00736086"/>
    <w:rsid w:val="007365C3"/>
    <w:rsid w:val="00736762"/>
    <w:rsid w:val="00736B81"/>
    <w:rsid w:val="00736BE8"/>
    <w:rsid w:val="00737C31"/>
    <w:rsid w:val="00737D3F"/>
    <w:rsid w:val="00737F88"/>
    <w:rsid w:val="007403FF"/>
    <w:rsid w:val="00740651"/>
    <w:rsid w:val="00740720"/>
    <w:rsid w:val="007407DD"/>
    <w:rsid w:val="00740C73"/>
    <w:rsid w:val="00740CE5"/>
    <w:rsid w:val="00741615"/>
    <w:rsid w:val="0074166F"/>
    <w:rsid w:val="007417FD"/>
    <w:rsid w:val="0074196D"/>
    <w:rsid w:val="00741C80"/>
    <w:rsid w:val="00741D57"/>
    <w:rsid w:val="00741D98"/>
    <w:rsid w:val="00741DD2"/>
    <w:rsid w:val="00742144"/>
    <w:rsid w:val="0074226F"/>
    <w:rsid w:val="007423A4"/>
    <w:rsid w:val="007423DB"/>
    <w:rsid w:val="007425A9"/>
    <w:rsid w:val="00742620"/>
    <w:rsid w:val="00742835"/>
    <w:rsid w:val="007428E1"/>
    <w:rsid w:val="00742EEF"/>
    <w:rsid w:val="0074310F"/>
    <w:rsid w:val="00743323"/>
    <w:rsid w:val="0074344B"/>
    <w:rsid w:val="007438F2"/>
    <w:rsid w:val="00743914"/>
    <w:rsid w:val="00743A5F"/>
    <w:rsid w:val="00743AB9"/>
    <w:rsid w:val="00743CB7"/>
    <w:rsid w:val="00743D71"/>
    <w:rsid w:val="00743EDE"/>
    <w:rsid w:val="0074476D"/>
    <w:rsid w:val="0074482D"/>
    <w:rsid w:val="00744AE3"/>
    <w:rsid w:val="00744E13"/>
    <w:rsid w:val="00744ED7"/>
    <w:rsid w:val="00744EE6"/>
    <w:rsid w:val="007451AC"/>
    <w:rsid w:val="00745285"/>
    <w:rsid w:val="007452FC"/>
    <w:rsid w:val="00745405"/>
    <w:rsid w:val="00745457"/>
    <w:rsid w:val="0074561C"/>
    <w:rsid w:val="007456D5"/>
    <w:rsid w:val="00745935"/>
    <w:rsid w:val="00745BD1"/>
    <w:rsid w:val="007462D2"/>
    <w:rsid w:val="0074681D"/>
    <w:rsid w:val="00746B2A"/>
    <w:rsid w:val="00746B5C"/>
    <w:rsid w:val="007470D9"/>
    <w:rsid w:val="00747563"/>
    <w:rsid w:val="00747571"/>
    <w:rsid w:val="0074763C"/>
    <w:rsid w:val="0074775C"/>
    <w:rsid w:val="0074775E"/>
    <w:rsid w:val="00747859"/>
    <w:rsid w:val="007478DB"/>
    <w:rsid w:val="00747A5D"/>
    <w:rsid w:val="00747C54"/>
    <w:rsid w:val="00747C86"/>
    <w:rsid w:val="00747DC2"/>
    <w:rsid w:val="00747F17"/>
    <w:rsid w:val="007501CF"/>
    <w:rsid w:val="00750508"/>
    <w:rsid w:val="00750B54"/>
    <w:rsid w:val="00750CA0"/>
    <w:rsid w:val="007510C7"/>
    <w:rsid w:val="00751111"/>
    <w:rsid w:val="007514A6"/>
    <w:rsid w:val="00751BFE"/>
    <w:rsid w:val="00751C08"/>
    <w:rsid w:val="00751DC8"/>
    <w:rsid w:val="00752039"/>
    <w:rsid w:val="007522A3"/>
    <w:rsid w:val="007527C7"/>
    <w:rsid w:val="0075291E"/>
    <w:rsid w:val="00752A20"/>
    <w:rsid w:val="00752D66"/>
    <w:rsid w:val="00752DB4"/>
    <w:rsid w:val="0075300C"/>
    <w:rsid w:val="00753561"/>
    <w:rsid w:val="007537C4"/>
    <w:rsid w:val="0075406E"/>
    <w:rsid w:val="00754587"/>
    <w:rsid w:val="007545A5"/>
    <w:rsid w:val="00754956"/>
    <w:rsid w:val="00754A17"/>
    <w:rsid w:val="00754B12"/>
    <w:rsid w:val="00754BA5"/>
    <w:rsid w:val="007550B2"/>
    <w:rsid w:val="007551D3"/>
    <w:rsid w:val="0075539D"/>
    <w:rsid w:val="007553E7"/>
    <w:rsid w:val="00755524"/>
    <w:rsid w:val="007555A3"/>
    <w:rsid w:val="00755BA6"/>
    <w:rsid w:val="00755C16"/>
    <w:rsid w:val="007561FB"/>
    <w:rsid w:val="00756436"/>
    <w:rsid w:val="0075643D"/>
    <w:rsid w:val="00756548"/>
    <w:rsid w:val="00756812"/>
    <w:rsid w:val="00756A1F"/>
    <w:rsid w:val="00756B06"/>
    <w:rsid w:val="00756C44"/>
    <w:rsid w:val="00756CE7"/>
    <w:rsid w:val="00756FF0"/>
    <w:rsid w:val="007571B6"/>
    <w:rsid w:val="00757301"/>
    <w:rsid w:val="00757A2B"/>
    <w:rsid w:val="00757C5B"/>
    <w:rsid w:val="007601BC"/>
    <w:rsid w:val="00760910"/>
    <w:rsid w:val="007609B4"/>
    <w:rsid w:val="00760BD3"/>
    <w:rsid w:val="00760E03"/>
    <w:rsid w:val="00761128"/>
    <w:rsid w:val="0076139F"/>
    <w:rsid w:val="007619BA"/>
    <w:rsid w:val="00761BC1"/>
    <w:rsid w:val="00761D35"/>
    <w:rsid w:val="00761E36"/>
    <w:rsid w:val="007629C6"/>
    <w:rsid w:val="00762AB1"/>
    <w:rsid w:val="00762ADE"/>
    <w:rsid w:val="00762AF9"/>
    <w:rsid w:val="00762B81"/>
    <w:rsid w:val="00762C1B"/>
    <w:rsid w:val="00762C21"/>
    <w:rsid w:val="00762E38"/>
    <w:rsid w:val="00762F9F"/>
    <w:rsid w:val="00762FA2"/>
    <w:rsid w:val="00763018"/>
    <w:rsid w:val="0076344F"/>
    <w:rsid w:val="007635E5"/>
    <w:rsid w:val="00763A8E"/>
    <w:rsid w:val="00763E74"/>
    <w:rsid w:val="0076410F"/>
    <w:rsid w:val="00764333"/>
    <w:rsid w:val="007644AE"/>
    <w:rsid w:val="007648E4"/>
    <w:rsid w:val="00764B85"/>
    <w:rsid w:val="00764C19"/>
    <w:rsid w:val="00764D50"/>
    <w:rsid w:val="00765356"/>
    <w:rsid w:val="00765956"/>
    <w:rsid w:val="00765ADE"/>
    <w:rsid w:val="00765F32"/>
    <w:rsid w:val="0076635D"/>
    <w:rsid w:val="007669DC"/>
    <w:rsid w:val="00766B35"/>
    <w:rsid w:val="00766BE2"/>
    <w:rsid w:val="00766DD5"/>
    <w:rsid w:val="00766E66"/>
    <w:rsid w:val="00766E84"/>
    <w:rsid w:val="00767077"/>
    <w:rsid w:val="0076741E"/>
    <w:rsid w:val="00767570"/>
    <w:rsid w:val="00770403"/>
    <w:rsid w:val="00770730"/>
    <w:rsid w:val="0077092D"/>
    <w:rsid w:val="00770B59"/>
    <w:rsid w:val="00770EFC"/>
    <w:rsid w:val="00770FB7"/>
    <w:rsid w:val="007712ED"/>
    <w:rsid w:val="00771332"/>
    <w:rsid w:val="00771376"/>
    <w:rsid w:val="00771496"/>
    <w:rsid w:val="007715D3"/>
    <w:rsid w:val="007716DC"/>
    <w:rsid w:val="0077212B"/>
    <w:rsid w:val="00772C19"/>
    <w:rsid w:val="00772EB1"/>
    <w:rsid w:val="00772F9D"/>
    <w:rsid w:val="00773237"/>
    <w:rsid w:val="007733A5"/>
    <w:rsid w:val="007733E8"/>
    <w:rsid w:val="0077387A"/>
    <w:rsid w:val="00773E52"/>
    <w:rsid w:val="00773EA1"/>
    <w:rsid w:val="007743A5"/>
    <w:rsid w:val="007745EF"/>
    <w:rsid w:val="00774674"/>
    <w:rsid w:val="0077472D"/>
    <w:rsid w:val="00774813"/>
    <w:rsid w:val="00774BE4"/>
    <w:rsid w:val="00774C08"/>
    <w:rsid w:val="00774CDF"/>
    <w:rsid w:val="007758DA"/>
    <w:rsid w:val="00775A37"/>
    <w:rsid w:val="00775DE0"/>
    <w:rsid w:val="00775FE5"/>
    <w:rsid w:val="0077628F"/>
    <w:rsid w:val="0077635A"/>
    <w:rsid w:val="007766C5"/>
    <w:rsid w:val="00776733"/>
    <w:rsid w:val="00776773"/>
    <w:rsid w:val="007767E5"/>
    <w:rsid w:val="007768A1"/>
    <w:rsid w:val="007769C5"/>
    <w:rsid w:val="007769D7"/>
    <w:rsid w:val="00776B31"/>
    <w:rsid w:val="00776BD6"/>
    <w:rsid w:val="0077711A"/>
    <w:rsid w:val="00777276"/>
    <w:rsid w:val="007773B4"/>
    <w:rsid w:val="00777791"/>
    <w:rsid w:val="00777ADB"/>
    <w:rsid w:val="00777B2F"/>
    <w:rsid w:val="00777B5B"/>
    <w:rsid w:val="0078008E"/>
    <w:rsid w:val="007804A9"/>
    <w:rsid w:val="007809EC"/>
    <w:rsid w:val="00780AAD"/>
    <w:rsid w:val="00780B53"/>
    <w:rsid w:val="00780E4E"/>
    <w:rsid w:val="00781227"/>
    <w:rsid w:val="007817A4"/>
    <w:rsid w:val="0078197C"/>
    <w:rsid w:val="00781A70"/>
    <w:rsid w:val="00781B75"/>
    <w:rsid w:val="00781C8F"/>
    <w:rsid w:val="0078265B"/>
    <w:rsid w:val="00782797"/>
    <w:rsid w:val="00782B23"/>
    <w:rsid w:val="00782D4C"/>
    <w:rsid w:val="00782E55"/>
    <w:rsid w:val="00783005"/>
    <w:rsid w:val="007833C0"/>
    <w:rsid w:val="0078342F"/>
    <w:rsid w:val="007834CE"/>
    <w:rsid w:val="00783687"/>
    <w:rsid w:val="007837C0"/>
    <w:rsid w:val="007837E7"/>
    <w:rsid w:val="00783876"/>
    <w:rsid w:val="0078399C"/>
    <w:rsid w:val="00783E2A"/>
    <w:rsid w:val="0078428B"/>
    <w:rsid w:val="00784391"/>
    <w:rsid w:val="0078455C"/>
    <w:rsid w:val="007846C2"/>
    <w:rsid w:val="00784785"/>
    <w:rsid w:val="00784889"/>
    <w:rsid w:val="00784A9F"/>
    <w:rsid w:val="00784AC6"/>
    <w:rsid w:val="00784CD5"/>
    <w:rsid w:val="00784DEB"/>
    <w:rsid w:val="00784FF3"/>
    <w:rsid w:val="00785020"/>
    <w:rsid w:val="007851DB"/>
    <w:rsid w:val="007855B5"/>
    <w:rsid w:val="0078582E"/>
    <w:rsid w:val="00785BAD"/>
    <w:rsid w:val="00785BF9"/>
    <w:rsid w:val="00785CBA"/>
    <w:rsid w:val="00785DBE"/>
    <w:rsid w:val="00785F00"/>
    <w:rsid w:val="00786859"/>
    <w:rsid w:val="00786AEF"/>
    <w:rsid w:val="00786DB6"/>
    <w:rsid w:val="00786E6E"/>
    <w:rsid w:val="00787091"/>
    <w:rsid w:val="0078738D"/>
    <w:rsid w:val="00787807"/>
    <w:rsid w:val="00787AD7"/>
    <w:rsid w:val="00787B45"/>
    <w:rsid w:val="007900E2"/>
    <w:rsid w:val="0079034E"/>
    <w:rsid w:val="00790375"/>
    <w:rsid w:val="00790615"/>
    <w:rsid w:val="007908C2"/>
    <w:rsid w:val="0079095E"/>
    <w:rsid w:val="00790DF4"/>
    <w:rsid w:val="00790F40"/>
    <w:rsid w:val="00790FD3"/>
    <w:rsid w:val="007912E4"/>
    <w:rsid w:val="007915D2"/>
    <w:rsid w:val="00791686"/>
    <w:rsid w:val="00791767"/>
    <w:rsid w:val="0079211C"/>
    <w:rsid w:val="00792924"/>
    <w:rsid w:val="00792B10"/>
    <w:rsid w:val="0079310F"/>
    <w:rsid w:val="007931A1"/>
    <w:rsid w:val="00793708"/>
    <w:rsid w:val="00793A67"/>
    <w:rsid w:val="00793D2A"/>
    <w:rsid w:val="00793D46"/>
    <w:rsid w:val="0079516F"/>
    <w:rsid w:val="00795236"/>
    <w:rsid w:val="007952ED"/>
    <w:rsid w:val="0079550F"/>
    <w:rsid w:val="00795649"/>
    <w:rsid w:val="0079592F"/>
    <w:rsid w:val="00795947"/>
    <w:rsid w:val="00795F71"/>
    <w:rsid w:val="007962A5"/>
    <w:rsid w:val="00796365"/>
    <w:rsid w:val="00796928"/>
    <w:rsid w:val="007969A8"/>
    <w:rsid w:val="007969EF"/>
    <w:rsid w:val="00796D6F"/>
    <w:rsid w:val="00796F14"/>
    <w:rsid w:val="00797074"/>
    <w:rsid w:val="0079721D"/>
    <w:rsid w:val="00797252"/>
    <w:rsid w:val="00797432"/>
    <w:rsid w:val="007974A7"/>
    <w:rsid w:val="00797555"/>
    <w:rsid w:val="00797A0B"/>
    <w:rsid w:val="00797CE5"/>
    <w:rsid w:val="00797D83"/>
    <w:rsid w:val="007A00EB"/>
    <w:rsid w:val="007A0224"/>
    <w:rsid w:val="007A035D"/>
    <w:rsid w:val="007A04D5"/>
    <w:rsid w:val="007A0911"/>
    <w:rsid w:val="007A09D7"/>
    <w:rsid w:val="007A0C8A"/>
    <w:rsid w:val="007A0DFB"/>
    <w:rsid w:val="007A0EE1"/>
    <w:rsid w:val="007A1132"/>
    <w:rsid w:val="007A17A6"/>
    <w:rsid w:val="007A17F4"/>
    <w:rsid w:val="007A1868"/>
    <w:rsid w:val="007A18C7"/>
    <w:rsid w:val="007A1C7C"/>
    <w:rsid w:val="007A1D38"/>
    <w:rsid w:val="007A1D84"/>
    <w:rsid w:val="007A1DD7"/>
    <w:rsid w:val="007A1EFD"/>
    <w:rsid w:val="007A2096"/>
    <w:rsid w:val="007A2377"/>
    <w:rsid w:val="007A2400"/>
    <w:rsid w:val="007A263A"/>
    <w:rsid w:val="007A2833"/>
    <w:rsid w:val="007A290E"/>
    <w:rsid w:val="007A2B89"/>
    <w:rsid w:val="007A2E8D"/>
    <w:rsid w:val="007A2F2A"/>
    <w:rsid w:val="007A375D"/>
    <w:rsid w:val="007A3799"/>
    <w:rsid w:val="007A3958"/>
    <w:rsid w:val="007A3C1E"/>
    <w:rsid w:val="007A3D1C"/>
    <w:rsid w:val="007A3D4B"/>
    <w:rsid w:val="007A421E"/>
    <w:rsid w:val="007A4468"/>
    <w:rsid w:val="007A4920"/>
    <w:rsid w:val="007A4ADE"/>
    <w:rsid w:val="007A4BFA"/>
    <w:rsid w:val="007A4CFC"/>
    <w:rsid w:val="007A4E03"/>
    <w:rsid w:val="007A4ED3"/>
    <w:rsid w:val="007A5014"/>
    <w:rsid w:val="007A521E"/>
    <w:rsid w:val="007A557E"/>
    <w:rsid w:val="007A565A"/>
    <w:rsid w:val="007A56FE"/>
    <w:rsid w:val="007A5734"/>
    <w:rsid w:val="007A57D7"/>
    <w:rsid w:val="007A5834"/>
    <w:rsid w:val="007A5B75"/>
    <w:rsid w:val="007A5BF8"/>
    <w:rsid w:val="007A5CE1"/>
    <w:rsid w:val="007A5DA1"/>
    <w:rsid w:val="007A5F53"/>
    <w:rsid w:val="007A6077"/>
    <w:rsid w:val="007A64AB"/>
    <w:rsid w:val="007A6658"/>
    <w:rsid w:val="007A6975"/>
    <w:rsid w:val="007A6DB8"/>
    <w:rsid w:val="007A6F3F"/>
    <w:rsid w:val="007A6F7D"/>
    <w:rsid w:val="007A7356"/>
    <w:rsid w:val="007A76A9"/>
    <w:rsid w:val="007A792E"/>
    <w:rsid w:val="007A7CF4"/>
    <w:rsid w:val="007A7D5E"/>
    <w:rsid w:val="007B00E0"/>
    <w:rsid w:val="007B0639"/>
    <w:rsid w:val="007B0871"/>
    <w:rsid w:val="007B0997"/>
    <w:rsid w:val="007B10AF"/>
    <w:rsid w:val="007B18DF"/>
    <w:rsid w:val="007B1BD9"/>
    <w:rsid w:val="007B26E2"/>
    <w:rsid w:val="007B2839"/>
    <w:rsid w:val="007B2A5C"/>
    <w:rsid w:val="007B2F0C"/>
    <w:rsid w:val="007B2F9E"/>
    <w:rsid w:val="007B31CC"/>
    <w:rsid w:val="007B340B"/>
    <w:rsid w:val="007B3448"/>
    <w:rsid w:val="007B3647"/>
    <w:rsid w:val="007B36F1"/>
    <w:rsid w:val="007B378A"/>
    <w:rsid w:val="007B416F"/>
    <w:rsid w:val="007B4499"/>
    <w:rsid w:val="007B44BC"/>
    <w:rsid w:val="007B46CC"/>
    <w:rsid w:val="007B47A4"/>
    <w:rsid w:val="007B4841"/>
    <w:rsid w:val="007B4CA3"/>
    <w:rsid w:val="007B4CEA"/>
    <w:rsid w:val="007B4CEF"/>
    <w:rsid w:val="007B4D4F"/>
    <w:rsid w:val="007B4DC9"/>
    <w:rsid w:val="007B4E81"/>
    <w:rsid w:val="007B52E9"/>
    <w:rsid w:val="007B5305"/>
    <w:rsid w:val="007B565F"/>
    <w:rsid w:val="007B5D9C"/>
    <w:rsid w:val="007B5EBC"/>
    <w:rsid w:val="007B6360"/>
    <w:rsid w:val="007B650A"/>
    <w:rsid w:val="007B6744"/>
    <w:rsid w:val="007B6A9E"/>
    <w:rsid w:val="007B6BAD"/>
    <w:rsid w:val="007B6C8C"/>
    <w:rsid w:val="007B7074"/>
    <w:rsid w:val="007B70CE"/>
    <w:rsid w:val="007B7109"/>
    <w:rsid w:val="007B7A63"/>
    <w:rsid w:val="007B7E61"/>
    <w:rsid w:val="007C0356"/>
    <w:rsid w:val="007C039A"/>
    <w:rsid w:val="007C062A"/>
    <w:rsid w:val="007C08BB"/>
    <w:rsid w:val="007C0B6A"/>
    <w:rsid w:val="007C12AC"/>
    <w:rsid w:val="007C1796"/>
    <w:rsid w:val="007C189B"/>
    <w:rsid w:val="007C1A02"/>
    <w:rsid w:val="007C1BE4"/>
    <w:rsid w:val="007C1F1F"/>
    <w:rsid w:val="007C2177"/>
    <w:rsid w:val="007C222C"/>
    <w:rsid w:val="007C2282"/>
    <w:rsid w:val="007C22DB"/>
    <w:rsid w:val="007C231E"/>
    <w:rsid w:val="007C2BE0"/>
    <w:rsid w:val="007C2BE2"/>
    <w:rsid w:val="007C2DD5"/>
    <w:rsid w:val="007C2EFD"/>
    <w:rsid w:val="007C31E1"/>
    <w:rsid w:val="007C31FE"/>
    <w:rsid w:val="007C3339"/>
    <w:rsid w:val="007C372D"/>
    <w:rsid w:val="007C3AFF"/>
    <w:rsid w:val="007C4249"/>
    <w:rsid w:val="007C4280"/>
    <w:rsid w:val="007C434B"/>
    <w:rsid w:val="007C4461"/>
    <w:rsid w:val="007C449B"/>
    <w:rsid w:val="007C44A3"/>
    <w:rsid w:val="007C4750"/>
    <w:rsid w:val="007C4926"/>
    <w:rsid w:val="007C49BC"/>
    <w:rsid w:val="007C4A32"/>
    <w:rsid w:val="007C4A64"/>
    <w:rsid w:val="007C4B39"/>
    <w:rsid w:val="007C506E"/>
    <w:rsid w:val="007C519D"/>
    <w:rsid w:val="007C524F"/>
    <w:rsid w:val="007C54B2"/>
    <w:rsid w:val="007C553B"/>
    <w:rsid w:val="007C5C1B"/>
    <w:rsid w:val="007C5EC8"/>
    <w:rsid w:val="007C6083"/>
    <w:rsid w:val="007C621B"/>
    <w:rsid w:val="007C63C2"/>
    <w:rsid w:val="007C65EE"/>
    <w:rsid w:val="007C6A46"/>
    <w:rsid w:val="007C6AC3"/>
    <w:rsid w:val="007C6CD7"/>
    <w:rsid w:val="007C6E9D"/>
    <w:rsid w:val="007C702E"/>
    <w:rsid w:val="007C7373"/>
    <w:rsid w:val="007C7723"/>
    <w:rsid w:val="007C7AD9"/>
    <w:rsid w:val="007C7D0A"/>
    <w:rsid w:val="007C7D5F"/>
    <w:rsid w:val="007C7E2D"/>
    <w:rsid w:val="007D067F"/>
    <w:rsid w:val="007D0B3F"/>
    <w:rsid w:val="007D0DD6"/>
    <w:rsid w:val="007D0EC6"/>
    <w:rsid w:val="007D1364"/>
    <w:rsid w:val="007D179D"/>
    <w:rsid w:val="007D19C2"/>
    <w:rsid w:val="007D19DE"/>
    <w:rsid w:val="007D1A7B"/>
    <w:rsid w:val="007D1A80"/>
    <w:rsid w:val="007D1C4D"/>
    <w:rsid w:val="007D1D88"/>
    <w:rsid w:val="007D217E"/>
    <w:rsid w:val="007D22B7"/>
    <w:rsid w:val="007D22E0"/>
    <w:rsid w:val="007D2466"/>
    <w:rsid w:val="007D25A3"/>
    <w:rsid w:val="007D2638"/>
    <w:rsid w:val="007D2684"/>
    <w:rsid w:val="007D280C"/>
    <w:rsid w:val="007D365E"/>
    <w:rsid w:val="007D3736"/>
    <w:rsid w:val="007D373B"/>
    <w:rsid w:val="007D38A6"/>
    <w:rsid w:val="007D39E5"/>
    <w:rsid w:val="007D456C"/>
    <w:rsid w:val="007D495A"/>
    <w:rsid w:val="007D49C7"/>
    <w:rsid w:val="007D4BE5"/>
    <w:rsid w:val="007D4F8F"/>
    <w:rsid w:val="007D5558"/>
    <w:rsid w:val="007D56FB"/>
    <w:rsid w:val="007D584D"/>
    <w:rsid w:val="007D58C4"/>
    <w:rsid w:val="007D5D7B"/>
    <w:rsid w:val="007D6241"/>
    <w:rsid w:val="007D62E2"/>
    <w:rsid w:val="007D63D9"/>
    <w:rsid w:val="007D660A"/>
    <w:rsid w:val="007D667A"/>
    <w:rsid w:val="007D69AE"/>
    <w:rsid w:val="007D69E3"/>
    <w:rsid w:val="007D6C40"/>
    <w:rsid w:val="007D6EC8"/>
    <w:rsid w:val="007D6F2B"/>
    <w:rsid w:val="007D6FBB"/>
    <w:rsid w:val="007D71AE"/>
    <w:rsid w:val="007D741E"/>
    <w:rsid w:val="007D74C5"/>
    <w:rsid w:val="007D753E"/>
    <w:rsid w:val="007D78F5"/>
    <w:rsid w:val="007D7A6C"/>
    <w:rsid w:val="007D7B2C"/>
    <w:rsid w:val="007D7B44"/>
    <w:rsid w:val="007D7F74"/>
    <w:rsid w:val="007E01E2"/>
    <w:rsid w:val="007E029F"/>
    <w:rsid w:val="007E02BB"/>
    <w:rsid w:val="007E02D9"/>
    <w:rsid w:val="007E07FA"/>
    <w:rsid w:val="007E0A8B"/>
    <w:rsid w:val="007E0C7F"/>
    <w:rsid w:val="007E0CC4"/>
    <w:rsid w:val="007E10B1"/>
    <w:rsid w:val="007E129A"/>
    <w:rsid w:val="007E195B"/>
    <w:rsid w:val="007E1C9A"/>
    <w:rsid w:val="007E23AE"/>
    <w:rsid w:val="007E246B"/>
    <w:rsid w:val="007E26C3"/>
    <w:rsid w:val="007E27D4"/>
    <w:rsid w:val="007E2A68"/>
    <w:rsid w:val="007E3109"/>
    <w:rsid w:val="007E3343"/>
    <w:rsid w:val="007E33B0"/>
    <w:rsid w:val="007E35C8"/>
    <w:rsid w:val="007E374B"/>
    <w:rsid w:val="007E3CD9"/>
    <w:rsid w:val="007E4166"/>
    <w:rsid w:val="007E4376"/>
    <w:rsid w:val="007E4499"/>
    <w:rsid w:val="007E4691"/>
    <w:rsid w:val="007E46C7"/>
    <w:rsid w:val="007E472E"/>
    <w:rsid w:val="007E492C"/>
    <w:rsid w:val="007E4F21"/>
    <w:rsid w:val="007E5035"/>
    <w:rsid w:val="007E50EC"/>
    <w:rsid w:val="007E53D1"/>
    <w:rsid w:val="007E54E2"/>
    <w:rsid w:val="007E5659"/>
    <w:rsid w:val="007E5F4C"/>
    <w:rsid w:val="007E61E1"/>
    <w:rsid w:val="007E6349"/>
    <w:rsid w:val="007E6824"/>
    <w:rsid w:val="007E690C"/>
    <w:rsid w:val="007E6CBE"/>
    <w:rsid w:val="007E732E"/>
    <w:rsid w:val="007E7775"/>
    <w:rsid w:val="007E7886"/>
    <w:rsid w:val="007E7909"/>
    <w:rsid w:val="007E79D8"/>
    <w:rsid w:val="007E7AA4"/>
    <w:rsid w:val="007E7B1B"/>
    <w:rsid w:val="007E7ED4"/>
    <w:rsid w:val="007F0383"/>
    <w:rsid w:val="007F0414"/>
    <w:rsid w:val="007F0556"/>
    <w:rsid w:val="007F05A3"/>
    <w:rsid w:val="007F05AD"/>
    <w:rsid w:val="007F0703"/>
    <w:rsid w:val="007F1164"/>
    <w:rsid w:val="007F1973"/>
    <w:rsid w:val="007F1E09"/>
    <w:rsid w:val="007F1FE7"/>
    <w:rsid w:val="007F2310"/>
    <w:rsid w:val="007F236C"/>
    <w:rsid w:val="007F2421"/>
    <w:rsid w:val="007F25F5"/>
    <w:rsid w:val="007F267B"/>
    <w:rsid w:val="007F2892"/>
    <w:rsid w:val="007F2AA8"/>
    <w:rsid w:val="007F2E6B"/>
    <w:rsid w:val="007F2F20"/>
    <w:rsid w:val="007F30D2"/>
    <w:rsid w:val="007F3106"/>
    <w:rsid w:val="007F3514"/>
    <w:rsid w:val="007F361D"/>
    <w:rsid w:val="007F3622"/>
    <w:rsid w:val="007F37AB"/>
    <w:rsid w:val="007F38DB"/>
    <w:rsid w:val="007F3C0B"/>
    <w:rsid w:val="007F3F35"/>
    <w:rsid w:val="007F4131"/>
    <w:rsid w:val="007F416B"/>
    <w:rsid w:val="007F4473"/>
    <w:rsid w:val="007F44BB"/>
    <w:rsid w:val="007F4752"/>
    <w:rsid w:val="007F476E"/>
    <w:rsid w:val="007F51BC"/>
    <w:rsid w:val="007F53A9"/>
    <w:rsid w:val="007F5B57"/>
    <w:rsid w:val="007F617E"/>
    <w:rsid w:val="007F64DA"/>
    <w:rsid w:val="007F651F"/>
    <w:rsid w:val="007F6702"/>
    <w:rsid w:val="007F686A"/>
    <w:rsid w:val="007F726B"/>
    <w:rsid w:val="007F72E3"/>
    <w:rsid w:val="007F732B"/>
    <w:rsid w:val="007F7472"/>
    <w:rsid w:val="007F7509"/>
    <w:rsid w:val="007F7668"/>
    <w:rsid w:val="007F7AAF"/>
    <w:rsid w:val="008001A0"/>
    <w:rsid w:val="008003C4"/>
    <w:rsid w:val="0080064C"/>
    <w:rsid w:val="00800A8D"/>
    <w:rsid w:val="008011B1"/>
    <w:rsid w:val="00801502"/>
    <w:rsid w:val="00801616"/>
    <w:rsid w:val="00801DDC"/>
    <w:rsid w:val="00801E97"/>
    <w:rsid w:val="00802006"/>
    <w:rsid w:val="00802EDF"/>
    <w:rsid w:val="0080318B"/>
    <w:rsid w:val="008034ED"/>
    <w:rsid w:val="008034FC"/>
    <w:rsid w:val="00803535"/>
    <w:rsid w:val="008035A1"/>
    <w:rsid w:val="00803819"/>
    <w:rsid w:val="0080406B"/>
    <w:rsid w:val="00804983"/>
    <w:rsid w:val="00804D3F"/>
    <w:rsid w:val="00804DD0"/>
    <w:rsid w:val="00804E56"/>
    <w:rsid w:val="00805125"/>
    <w:rsid w:val="00805E13"/>
    <w:rsid w:val="00806044"/>
    <w:rsid w:val="00806129"/>
    <w:rsid w:val="008061B7"/>
    <w:rsid w:val="008062C2"/>
    <w:rsid w:val="008062E2"/>
    <w:rsid w:val="008067E1"/>
    <w:rsid w:val="00806901"/>
    <w:rsid w:val="008069A3"/>
    <w:rsid w:val="00806AEE"/>
    <w:rsid w:val="00806CB9"/>
    <w:rsid w:val="00807665"/>
    <w:rsid w:val="00807811"/>
    <w:rsid w:val="00807A7C"/>
    <w:rsid w:val="00807B2D"/>
    <w:rsid w:val="00807E92"/>
    <w:rsid w:val="0081019C"/>
    <w:rsid w:val="00810210"/>
    <w:rsid w:val="008102D7"/>
    <w:rsid w:val="00810454"/>
    <w:rsid w:val="00810584"/>
    <w:rsid w:val="008105B0"/>
    <w:rsid w:val="00810939"/>
    <w:rsid w:val="00810E76"/>
    <w:rsid w:val="00810F9F"/>
    <w:rsid w:val="0081126A"/>
    <w:rsid w:val="008114E3"/>
    <w:rsid w:val="0081153A"/>
    <w:rsid w:val="00811AB4"/>
    <w:rsid w:val="00811B69"/>
    <w:rsid w:val="00812056"/>
    <w:rsid w:val="008122AD"/>
    <w:rsid w:val="008122E6"/>
    <w:rsid w:val="008122F1"/>
    <w:rsid w:val="00812559"/>
    <w:rsid w:val="008125B0"/>
    <w:rsid w:val="00812659"/>
    <w:rsid w:val="008128C9"/>
    <w:rsid w:val="0081295F"/>
    <w:rsid w:val="00812ACA"/>
    <w:rsid w:val="00812B80"/>
    <w:rsid w:val="00812DE1"/>
    <w:rsid w:val="00812DEB"/>
    <w:rsid w:val="00812E83"/>
    <w:rsid w:val="00813046"/>
    <w:rsid w:val="008131C0"/>
    <w:rsid w:val="00813629"/>
    <w:rsid w:val="008136E2"/>
    <w:rsid w:val="00813A57"/>
    <w:rsid w:val="00813C60"/>
    <w:rsid w:val="00814014"/>
    <w:rsid w:val="0081423B"/>
    <w:rsid w:val="008144E1"/>
    <w:rsid w:val="008144F4"/>
    <w:rsid w:val="00814540"/>
    <w:rsid w:val="0081487E"/>
    <w:rsid w:val="00814B09"/>
    <w:rsid w:val="00814B51"/>
    <w:rsid w:val="00814CE4"/>
    <w:rsid w:val="00814E55"/>
    <w:rsid w:val="00814EF7"/>
    <w:rsid w:val="00815060"/>
    <w:rsid w:val="00815391"/>
    <w:rsid w:val="00815F92"/>
    <w:rsid w:val="00815FF8"/>
    <w:rsid w:val="00816190"/>
    <w:rsid w:val="008164A9"/>
    <w:rsid w:val="008167F7"/>
    <w:rsid w:val="00816ED3"/>
    <w:rsid w:val="0081729D"/>
    <w:rsid w:val="008172FF"/>
    <w:rsid w:val="008178A4"/>
    <w:rsid w:val="00817AB0"/>
    <w:rsid w:val="00817ADF"/>
    <w:rsid w:val="00817BC4"/>
    <w:rsid w:val="00817D54"/>
    <w:rsid w:val="00817DEC"/>
    <w:rsid w:val="0082003E"/>
    <w:rsid w:val="00820843"/>
    <w:rsid w:val="008208F0"/>
    <w:rsid w:val="00820A14"/>
    <w:rsid w:val="00820E51"/>
    <w:rsid w:val="00820F21"/>
    <w:rsid w:val="0082102F"/>
    <w:rsid w:val="0082114B"/>
    <w:rsid w:val="008213CD"/>
    <w:rsid w:val="00821830"/>
    <w:rsid w:val="00821A3A"/>
    <w:rsid w:val="00821D90"/>
    <w:rsid w:val="00821DFE"/>
    <w:rsid w:val="00822183"/>
    <w:rsid w:val="00822455"/>
    <w:rsid w:val="008226C5"/>
    <w:rsid w:val="008229EB"/>
    <w:rsid w:val="00822E39"/>
    <w:rsid w:val="00822E76"/>
    <w:rsid w:val="00822FBB"/>
    <w:rsid w:val="00822FD2"/>
    <w:rsid w:val="00823192"/>
    <w:rsid w:val="008239D4"/>
    <w:rsid w:val="00823ADA"/>
    <w:rsid w:val="0082433D"/>
    <w:rsid w:val="00824792"/>
    <w:rsid w:val="00824999"/>
    <w:rsid w:val="00824CC4"/>
    <w:rsid w:val="00824E42"/>
    <w:rsid w:val="00824ED9"/>
    <w:rsid w:val="00824FFC"/>
    <w:rsid w:val="008250B4"/>
    <w:rsid w:val="0082521B"/>
    <w:rsid w:val="0082550F"/>
    <w:rsid w:val="00825766"/>
    <w:rsid w:val="00825999"/>
    <w:rsid w:val="00825AA5"/>
    <w:rsid w:val="00825C1E"/>
    <w:rsid w:val="00825E93"/>
    <w:rsid w:val="0082629D"/>
    <w:rsid w:val="00826963"/>
    <w:rsid w:val="00826BF5"/>
    <w:rsid w:val="008270C2"/>
    <w:rsid w:val="0082713D"/>
    <w:rsid w:val="008271A8"/>
    <w:rsid w:val="008272F5"/>
    <w:rsid w:val="00827344"/>
    <w:rsid w:val="00827599"/>
    <w:rsid w:val="0082778B"/>
    <w:rsid w:val="008277F7"/>
    <w:rsid w:val="00827A37"/>
    <w:rsid w:val="00827C6A"/>
    <w:rsid w:val="00827D5B"/>
    <w:rsid w:val="0083006F"/>
    <w:rsid w:val="00830243"/>
    <w:rsid w:val="0083033E"/>
    <w:rsid w:val="00830490"/>
    <w:rsid w:val="00830886"/>
    <w:rsid w:val="00830961"/>
    <w:rsid w:val="008309ED"/>
    <w:rsid w:val="00830CCD"/>
    <w:rsid w:val="00830FC2"/>
    <w:rsid w:val="00830FCE"/>
    <w:rsid w:val="0083124F"/>
    <w:rsid w:val="008312AE"/>
    <w:rsid w:val="0083134D"/>
    <w:rsid w:val="00831466"/>
    <w:rsid w:val="00831592"/>
    <w:rsid w:val="008317A5"/>
    <w:rsid w:val="00831953"/>
    <w:rsid w:val="00831A3E"/>
    <w:rsid w:val="00831B1F"/>
    <w:rsid w:val="00831EDC"/>
    <w:rsid w:val="00832018"/>
    <w:rsid w:val="0083214C"/>
    <w:rsid w:val="008321FB"/>
    <w:rsid w:val="0083224E"/>
    <w:rsid w:val="0083246D"/>
    <w:rsid w:val="008327D7"/>
    <w:rsid w:val="0083285C"/>
    <w:rsid w:val="00832E93"/>
    <w:rsid w:val="00832ED3"/>
    <w:rsid w:val="0083379F"/>
    <w:rsid w:val="00833866"/>
    <w:rsid w:val="00833AA6"/>
    <w:rsid w:val="00833AB9"/>
    <w:rsid w:val="00833C00"/>
    <w:rsid w:val="00833C28"/>
    <w:rsid w:val="00833C9D"/>
    <w:rsid w:val="00833CFC"/>
    <w:rsid w:val="00833F7C"/>
    <w:rsid w:val="0083440C"/>
    <w:rsid w:val="008346B8"/>
    <w:rsid w:val="00834782"/>
    <w:rsid w:val="00834E08"/>
    <w:rsid w:val="00834E15"/>
    <w:rsid w:val="00834E4F"/>
    <w:rsid w:val="008350AD"/>
    <w:rsid w:val="0083563B"/>
    <w:rsid w:val="00835697"/>
    <w:rsid w:val="008358EA"/>
    <w:rsid w:val="00835A49"/>
    <w:rsid w:val="00835B30"/>
    <w:rsid w:val="008362E5"/>
    <w:rsid w:val="008364AB"/>
    <w:rsid w:val="00836639"/>
    <w:rsid w:val="0083674A"/>
    <w:rsid w:val="00836DA7"/>
    <w:rsid w:val="00836F16"/>
    <w:rsid w:val="00837228"/>
    <w:rsid w:val="00837334"/>
    <w:rsid w:val="0083740A"/>
    <w:rsid w:val="0083748A"/>
    <w:rsid w:val="008379A6"/>
    <w:rsid w:val="00837EF6"/>
    <w:rsid w:val="00840560"/>
    <w:rsid w:val="0084086D"/>
    <w:rsid w:val="00840A30"/>
    <w:rsid w:val="00840C45"/>
    <w:rsid w:val="00840C96"/>
    <w:rsid w:val="008412C9"/>
    <w:rsid w:val="008412E4"/>
    <w:rsid w:val="008413CC"/>
    <w:rsid w:val="008413E5"/>
    <w:rsid w:val="0084170B"/>
    <w:rsid w:val="008419F2"/>
    <w:rsid w:val="00841D3F"/>
    <w:rsid w:val="008420C5"/>
    <w:rsid w:val="00842264"/>
    <w:rsid w:val="0084229B"/>
    <w:rsid w:val="00842545"/>
    <w:rsid w:val="00842590"/>
    <w:rsid w:val="008426EA"/>
    <w:rsid w:val="00842F7D"/>
    <w:rsid w:val="008434C4"/>
    <w:rsid w:val="00843541"/>
    <w:rsid w:val="00843773"/>
    <w:rsid w:val="00843900"/>
    <w:rsid w:val="00843987"/>
    <w:rsid w:val="00843A02"/>
    <w:rsid w:val="00843A26"/>
    <w:rsid w:val="00843C53"/>
    <w:rsid w:val="0084404D"/>
    <w:rsid w:val="0084444E"/>
    <w:rsid w:val="00844600"/>
    <w:rsid w:val="008448AC"/>
    <w:rsid w:val="00844973"/>
    <w:rsid w:val="00844A5F"/>
    <w:rsid w:val="00844D32"/>
    <w:rsid w:val="00844E10"/>
    <w:rsid w:val="0084501C"/>
    <w:rsid w:val="00845162"/>
    <w:rsid w:val="0084519A"/>
    <w:rsid w:val="008452FA"/>
    <w:rsid w:val="008453B1"/>
    <w:rsid w:val="00845548"/>
    <w:rsid w:val="00845716"/>
    <w:rsid w:val="0084586C"/>
    <w:rsid w:val="00845D8F"/>
    <w:rsid w:val="00845F50"/>
    <w:rsid w:val="00846259"/>
    <w:rsid w:val="0084651A"/>
    <w:rsid w:val="00846AD5"/>
    <w:rsid w:val="00846AFB"/>
    <w:rsid w:val="00846B1B"/>
    <w:rsid w:val="00846D40"/>
    <w:rsid w:val="00846F3F"/>
    <w:rsid w:val="00847098"/>
    <w:rsid w:val="0084728D"/>
    <w:rsid w:val="00847420"/>
    <w:rsid w:val="0084766F"/>
    <w:rsid w:val="008477DD"/>
    <w:rsid w:val="00847A7F"/>
    <w:rsid w:val="00847AEC"/>
    <w:rsid w:val="00847BE8"/>
    <w:rsid w:val="00847C51"/>
    <w:rsid w:val="00847D66"/>
    <w:rsid w:val="00847E82"/>
    <w:rsid w:val="00850572"/>
    <w:rsid w:val="008507DB"/>
    <w:rsid w:val="00850B1F"/>
    <w:rsid w:val="00850BD6"/>
    <w:rsid w:val="00850D4E"/>
    <w:rsid w:val="00851092"/>
    <w:rsid w:val="00851297"/>
    <w:rsid w:val="008513AE"/>
    <w:rsid w:val="00851405"/>
    <w:rsid w:val="0085177C"/>
    <w:rsid w:val="008519FD"/>
    <w:rsid w:val="00851AAA"/>
    <w:rsid w:val="00851B67"/>
    <w:rsid w:val="00851D00"/>
    <w:rsid w:val="00852139"/>
    <w:rsid w:val="00852153"/>
    <w:rsid w:val="008521DA"/>
    <w:rsid w:val="0085220F"/>
    <w:rsid w:val="00852978"/>
    <w:rsid w:val="00852AB6"/>
    <w:rsid w:val="00852C05"/>
    <w:rsid w:val="00852CCD"/>
    <w:rsid w:val="00852D53"/>
    <w:rsid w:val="00852DFA"/>
    <w:rsid w:val="00852EE5"/>
    <w:rsid w:val="00853418"/>
    <w:rsid w:val="00853429"/>
    <w:rsid w:val="008535F1"/>
    <w:rsid w:val="008539D0"/>
    <w:rsid w:val="00853D63"/>
    <w:rsid w:val="00853F6C"/>
    <w:rsid w:val="00854319"/>
    <w:rsid w:val="008554DA"/>
    <w:rsid w:val="0085567A"/>
    <w:rsid w:val="00855759"/>
    <w:rsid w:val="008557E2"/>
    <w:rsid w:val="0085594A"/>
    <w:rsid w:val="008559CE"/>
    <w:rsid w:val="00855AF9"/>
    <w:rsid w:val="008564FB"/>
    <w:rsid w:val="00856698"/>
    <w:rsid w:val="00856A32"/>
    <w:rsid w:val="00856CBB"/>
    <w:rsid w:val="00857194"/>
    <w:rsid w:val="0085725A"/>
    <w:rsid w:val="008572A7"/>
    <w:rsid w:val="0085732F"/>
    <w:rsid w:val="00857C9C"/>
    <w:rsid w:val="00857D3A"/>
    <w:rsid w:val="00860497"/>
    <w:rsid w:val="008608A3"/>
    <w:rsid w:val="00860C58"/>
    <w:rsid w:val="00861417"/>
    <w:rsid w:val="008618AD"/>
    <w:rsid w:val="00861AF4"/>
    <w:rsid w:val="00861BDA"/>
    <w:rsid w:val="0086243C"/>
    <w:rsid w:val="00862651"/>
    <w:rsid w:val="00862AE1"/>
    <w:rsid w:val="00862BD9"/>
    <w:rsid w:val="0086390A"/>
    <w:rsid w:val="00863C29"/>
    <w:rsid w:val="00863E8F"/>
    <w:rsid w:val="00863EA9"/>
    <w:rsid w:val="00864319"/>
    <w:rsid w:val="008644AB"/>
    <w:rsid w:val="0086466A"/>
    <w:rsid w:val="008646CF"/>
    <w:rsid w:val="00864E55"/>
    <w:rsid w:val="008650E6"/>
    <w:rsid w:val="00865D6A"/>
    <w:rsid w:val="00865DDB"/>
    <w:rsid w:val="00865ECE"/>
    <w:rsid w:val="008661DE"/>
    <w:rsid w:val="00866462"/>
    <w:rsid w:val="008664F1"/>
    <w:rsid w:val="00866AC2"/>
    <w:rsid w:val="00866BFD"/>
    <w:rsid w:val="00866CA4"/>
    <w:rsid w:val="00867159"/>
    <w:rsid w:val="008673D7"/>
    <w:rsid w:val="00867716"/>
    <w:rsid w:val="0086787D"/>
    <w:rsid w:val="00867A6A"/>
    <w:rsid w:val="00867CE6"/>
    <w:rsid w:val="00867D32"/>
    <w:rsid w:val="00870359"/>
    <w:rsid w:val="008706A9"/>
    <w:rsid w:val="008709EC"/>
    <w:rsid w:val="00870B5E"/>
    <w:rsid w:val="00870DE1"/>
    <w:rsid w:val="00870E3B"/>
    <w:rsid w:val="00870F68"/>
    <w:rsid w:val="00871066"/>
    <w:rsid w:val="008716D1"/>
    <w:rsid w:val="008717C0"/>
    <w:rsid w:val="00871BA5"/>
    <w:rsid w:val="00871BF7"/>
    <w:rsid w:val="00871D58"/>
    <w:rsid w:val="00872589"/>
    <w:rsid w:val="00872654"/>
    <w:rsid w:val="00872845"/>
    <w:rsid w:val="00872C42"/>
    <w:rsid w:val="00872D3D"/>
    <w:rsid w:val="00872E5E"/>
    <w:rsid w:val="0087318D"/>
    <w:rsid w:val="008731D0"/>
    <w:rsid w:val="00873288"/>
    <w:rsid w:val="00873392"/>
    <w:rsid w:val="0087340C"/>
    <w:rsid w:val="008735E5"/>
    <w:rsid w:val="00873A31"/>
    <w:rsid w:val="00874146"/>
    <w:rsid w:val="0087430E"/>
    <w:rsid w:val="008745E9"/>
    <w:rsid w:val="00874701"/>
    <w:rsid w:val="00874802"/>
    <w:rsid w:val="00874A3F"/>
    <w:rsid w:val="00874DAA"/>
    <w:rsid w:val="00874E01"/>
    <w:rsid w:val="00875187"/>
    <w:rsid w:val="0087518A"/>
    <w:rsid w:val="00875324"/>
    <w:rsid w:val="008757EA"/>
    <w:rsid w:val="00875860"/>
    <w:rsid w:val="00875BC5"/>
    <w:rsid w:val="00875C70"/>
    <w:rsid w:val="00875D65"/>
    <w:rsid w:val="00875F08"/>
    <w:rsid w:val="00876B2D"/>
    <w:rsid w:val="00877156"/>
    <w:rsid w:val="0087730A"/>
    <w:rsid w:val="00877318"/>
    <w:rsid w:val="0087741A"/>
    <w:rsid w:val="00877E63"/>
    <w:rsid w:val="0088003E"/>
    <w:rsid w:val="008800F8"/>
    <w:rsid w:val="00880306"/>
    <w:rsid w:val="0088062A"/>
    <w:rsid w:val="008809B0"/>
    <w:rsid w:val="00880A16"/>
    <w:rsid w:val="00880A72"/>
    <w:rsid w:val="00880F6D"/>
    <w:rsid w:val="008815B7"/>
    <w:rsid w:val="00881644"/>
    <w:rsid w:val="00881769"/>
    <w:rsid w:val="008817B6"/>
    <w:rsid w:val="0088187F"/>
    <w:rsid w:val="00881949"/>
    <w:rsid w:val="00881B5A"/>
    <w:rsid w:val="00881C57"/>
    <w:rsid w:val="00881D38"/>
    <w:rsid w:val="00881DB0"/>
    <w:rsid w:val="00881E07"/>
    <w:rsid w:val="00881F00"/>
    <w:rsid w:val="00881F4F"/>
    <w:rsid w:val="008821E3"/>
    <w:rsid w:val="008821EC"/>
    <w:rsid w:val="00882783"/>
    <w:rsid w:val="008827C6"/>
    <w:rsid w:val="008828C2"/>
    <w:rsid w:val="00882AC0"/>
    <w:rsid w:val="00882FED"/>
    <w:rsid w:val="00883217"/>
    <w:rsid w:val="00883239"/>
    <w:rsid w:val="008836BE"/>
    <w:rsid w:val="008836D6"/>
    <w:rsid w:val="00883764"/>
    <w:rsid w:val="00883ABD"/>
    <w:rsid w:val="00883C90"/>
    <w:rsid w:val="00883FA1"/>
    <w:rsid w:val="0088456F"/>
    <w:rsid w:val="008846ED"/>
    <w:rsid w:val="008847A4"/>
    <w:rsid w:val="00884B27"/>
    <w:rsid w:val="00884B69"/>
    <w:rsid w:val="00884E96"/>
    <w:rsid w:val="00884E9B"/>
    <w:rsid w:val="008850CA"/>
    <w:rsid w:val="008852B0"/>
    <w:rsid w:val="008858F6"/>
    <w:rsid w:val="00885A74"/>
    <w:rsid w:val="00885A80"/>
    <w:rsid w:val="00885A8F"/>
    <w:rsid w:val="00885F96"/>
    <w:rsid w:val="0088625C"/>
    <w:rsid w:val="008862EA"/>
    <w:rsid w:val="00886523"/>
    <w:rsid w:val="008867E2"/>
    <w:rsid w:val="00886EED"/>
    <w:rsid w:val="00887156"/>
    <w:rsid w:val="00887222"/>
    <w:rsid w:val="00887423"/>
    <w:rsid w:val="008879F4"/>
    <w:rsid w:val="00887B58"/>
    <w:rsid w:val="00887DC7"/>
    <w:rsid w:val="00887FBB"/>
    <w:rsid w:val="00890055"/>
    <w:rsid w:val="0089098D"/>
    <w:rsid w:val="00890A61"/>
    <w:rsid w:val="008910E4"/>
    <w:rsid w:val="008910E9"/>
    <w:rsid w:val="008911AD"/>
    <w:rsid w:val="00891475"/>
    <w:rsid w:val="00891566"/>
    <w:rsid w:val="0089166A"/>
    <w:rsid w:val="00891E37"/>
    <w:rsid w:val="00892120"/>
    <w:rsid w:val="008921D0"/>
    <w:rsid w:val="0089227C"/>
    <w:rsid w:val="00892442"/>
    <w:rsid w:val="008925E1"/>
    <w:rsid w:val="008925FE"/>
    <w:rsid w:val="008929EB"/>
    <w:rsid w:val="00892A6F"/>
    <w:rsid w:val="00892A7C"/>
    <w:rsid w:val="00892D3F"/>
    <w:rsid w:val="008932DA"/>
    <w:rsid w:val="00893399"/>
    <w:rsid w:val="008935A1"/>
    <w:rsid w:val="00893A73"/>
    <w:rsid w:val="00893B6E"/>
    <w:rsid w:val="00893C60"/>
    <w:rsid w:val="00894151"/>
    <w:rsid w:val="00894282"/>
    <w:rsid w:val="00894638"/>
    <w:rsid w:val="0089465E"/>
    <w:rsid w:val="008946D6"/>
    <w:rsid w:val="00894996"/>
    <w:rsid w:val="00894DC0"/>
    <w:rsid w:val="00895111"/>
    <w:rsid w:val="008957B5"/>
    <w:rsid w:val="00895834"/>
    <w:rsid w:val="008959EC"/>
    <w:rsid w:val="00895A51"/>
    <w:rsid w:val="008962CD"/>
    <w:rsid w:val="008968E0"/>
    <w:rsid w:val="0089695F"/>
    <w:rsid w:val="00897167"/>
    <w:rsid w:val="0089719A"/>
    <w:rsid w:val="00897774"/>
    <w:rsid w:val="00897E32"/>
    <w:rsid w:val="008A071E"/>
    <w:rsid w:val="008A07D2"/>
    <w:rsid w:val="008A07FD"/>
    <w:rsid w:val="008A0C6B"/>
    <w:rsid w:val="008A109C"/>
    <w:rsid w:val="008A15C1"/>
    <w:rsid w:val="008A1931"/>
    <w:rsid w:val="008A1B07"/>
    <w:rsid w:val="008A1BF7"/>
    <w:rsid w:val="008A201E"/>
    <w:rsid w:val="008A2252"/>
    <w:rsid w:val="008A28AC"/>
    <w:rsid w:val="008A2A47"/>
    <w:rsid w:val="008A2A98"/>
    <w:rsid w:val="008A2E0E"/>
    <w:rsid w:val="008A3115"/>
    <w:rsid w:val="008A32DA"/>
    <w:rsid w:val="008A34F6"/>
    <w:rsid w:val="008A354D"/>
    <w:rsid w:val="008A363E"/>
    <w:rsid w:val="008A3B5C"/>
    <w:rsid w:val="008A3D2A"/>
    <w:rsid w:val="008A3FD9"/>
    <w:rsid w:val="008A40E9"/>
    <w:rsid w:val="008A4577"/>
    <w:rsid w:val="008A45C7"/>
    <w:rsid w:val="008A46AC"/>
    <w:rsid w:val="008A496D"/>
    <w:rsid w:val="008A4CEC"/>
    <w:rsid w:val="008A4D44"/>
    <w:rsid w:val="008A4E94"/>
    <w:rsid w:val="008A5000"/>
    <w:rsid w:val="008A5150"/>
    <w:rsid w:val="008A5515"/>
    <w:rsid w:val="008A551D"/>
    <w:rsid w:val="008A5652"/>
    <w:rsid w:val="008A5CD2"/>
    <w:rsid w:val="008A5D3B"/>
    <w:rsid w:val="008A5F01"/>
    <w:rsid w:val="008A5FC4"/>
    <w:rsid w:val="008A6026"/>
    <w:rsid w:val="008A6535"/>
    <w:rsid w:val="008A6700"/>
    <w:rsid w:val="008A673B"/>
    <w:rsid w:val="008A6B65"/>
    <w:rsid w:val="008A6D7B"/>
    <w:rsid w:val="008A7654"/>
    <w:rsid w:val="008A7956"/>
    <w:rsid w:val="008A7A8E"/>
    <w:rsid w:val="008A7B54"/>
    <w:rsid w:val="008A7EAE"/>
    <w:rsid w:val="008B00F3"/>
    <w:rsid w:val="008B0341"/>
    <w:rsid w:val="008B0358"/>
    <w:rsid w:val="008B04EE"/>
    <w:rsid w:val="008B068F"/>
    <w:rsid w:val="008B084D"/>
    <w:rsid w:val="008B0AA7"/>
    <w:rsid w:val="008B0CD0"/>
    <w:rsid w:val="008B0D5D"/>
    <w:rsid w:val="008B0EC1"/>
    <w:rsid w:val="008B127E"/>
    <w:rsid w:val="008B1CDF"/>
    <w:rsid w:val="008B1F91"/>
    <w:rsid w:val="008B21EC"/>
    <w:rsid w:val="008B243B"/>
    <w:rsid w:val="008B24D7"/>
    <w:rsid w:val="008B2578"/>
    <w:rsid w:val="008B2A52"/>
    <w:rsid w:val="008B2AF8"/>
    <w:rsid w:val="008B2E10"/>
    <w:rsid w:val="008B2FE0"/>
    <w:rsid w:val="008B3164"/>
    <w:rsid w:val="008B3212"/>
    <w:rsid w:val="008B3941"/>
    <w:rsid w:val="008B3DC6"/>
    <w:rsid w:val="008B3F09"/>
    <w:rsid w:val="008B3F8D"/>
    <w:rsid w:val="008B4426"/>
    <w:rsid w:val="008B4685"/>
    <w:rsid w:val="008B4A13"/>
    <w:rsid w:val="008B4AA5"/>
    <w:rsid w:val="008B4DBB"/>
    <w:rsid w:val="008B4E08"/>
    <w:rsid w:val="008B501E"/>
    <w:rsid w:val="008B522E"/>
    <w:rsid w:val="008B575D"/>
    <w:rsid w:val="008B5932"/>
    <w:rsid w:val="008B5BD1"/>
    <w:rsid w:val="008B5CBF"/>
    <w:rsid w:val="008B5D5F"/>
    <w:rsid w:val="008B621F"/>
    <w:rsid w:val="008B623F"/>
    <w:rsid w:val="008B6336"/>
    <w:rsid w:val="008B6581"/>
    <w:rsid w:val="008B678E"/>
    <w:rsid w:val="008B6874"/>
    <w:rsid w:val="008B692C"/>
    <w:rsid w:val="008B694E"/>
    <w:rsid w:val="008B6BC4"/>
    <w:rsid w:val="008B6C72"/>
    <w:rsid w:val="008B6D36"/>
    <w:rsid w:val="008B6E12"/>
    <w:rsid w:val="008B7174"/>
    <w:rsid w:val="008B751E"/>
    <w:rsid w:val="008B7675"/>
    <w:rsid w:val="008B783A"/>
    <w:rsid w:val="008B7D26"/>
    <w:rsid w:val="008C036A"/>
    <w:rsid w:val="008C04EB"/>
    <w:rsid w:val="008C0593"/>
    <w:rsid w:val="008C09C6"/>
    <w:rsid w:val="008C0C9B"/>
    <w:rsid w:val="008C0DCF"/>
    <w:rsid w:val="008C15A5"/>
    <w:rsid w:val="008C15EB"/>
    <w:rsid w:val="008C17AF"/>
    <w:rsid w:val="008C1818"/>
    <w:rsid w:val="008C1B65"/>
    <w:rsid w:val="008C1DC2"/>
    <w:rsid w:val="008C1E45"/>
    <w:rsid w:val="008C1F0A"/>
    <w:rsid w:val="008C200F"/>
    <w:rsid w:val="008C223B"/>
    <w:rsid w:val="008C26AD"/>
    <w:rsid w:val="008C2725"/>
    <w:rsid w:val="008C274B"/>
    <w:rsid w:val="008C2E8B"/>
    <w:rsid w:val="008C2EB8"/>
    <w:rsid w:val="008C2FDC"/>
    <w:rsid w:val="008C34E7"/>
    <w:rsid w:val="008C3627"/>
    <w:rsid w:val="008C3663"/>
    <w:rsid w:val="008C3931"/>
    <w:rsid w:val="008C3963"/>
    <w:rsid w:val="008C3986"/>
    <w:rsid w:val="008C3FD6"/>
    <w:rsid w:val="008C4023"/>
    <w:rsid w:val="008C40B9"/>
    <w:rsid w:val="008C47AE"/>
    <w:rsid w:val="008C47D1"/>
    <w:rsid w:val="008C48A7"/>
    <w:rsid w:val="008C4983"/>
    <w:rsid w:val="008C4BB4"/>
    <w:rsid w:val="008C4E5A"/>
    <w:rsid w:val="008C4EF1"/>
    <w:rsid w:val="008C5251"/>
    <w:rsid w:val="008C52B8"/>
    <w:rsid w:val="008C52F4"/>
    <w:rsid w:val="008C56F3"/>
    <w:rsid w:val="008C5E8F"/>
    <w:rsid w:val="008C6802"/>
    <w:rsid w:val="008C68A6"/>
    <w:rsid w:val="008C6BBF"/>
    <w:rsid w:val="008C6CC7"/>
    <w:rsid w:val="008C6F2E"/>
    <w:rsid w:val="008C733C"/>
    <w:rsid w:val="008C743D"/>
    <w:rsid w:val="008C76A7"/>
    <w:rsid w:val="008C7752"/>
    <w:rsid w:val="008C7AA9"/>
    <w:rsid w:val="008C7CF4"/>
    <w:rsid w:val="008C7F4E"/>
    <w:rsid w:val="008D05C8"/>
    <w:rsid w:val="008D0A12"/>
    <w:rsid w:val="008D0CE4"/>
    <w:rsid w:val="008D0E4F"/>
    <w:rsid w:val="008D10B2"/>
    <w:rsid w:val="008D10E9"/>
    <w:rsid w:val="008D11B3"/>
    <w:rsid w:val="008D187C"/>
    <w:rsid w:val="008D1ABD"/>
    <w:rsid w:val="008D1E9A"/>
    <w:rsid w:val="008D208B"/>
    <w:rsid w:val="008D217C"/>
    <w:rsid w:val="008D231C"/>
    <w:rsid w:val="008D28A3"/>
    <w:rsid w:val="008D2903"/>
    <w:rsid w:val="008D2C44"/>
    <w:rsid w:val="008D2EC3"/>
    <w:rsid w:val="008D3116"/>
    <w:rsid w:val="008D35EB"/>
    <w:rsid w:val="008D3687"/>
    <w:rsid w:val="008D377A"/>
    <w:rsid w:val="008D3919"/>
    <w:rsid w:val="008D3D47"/>
    <w:rsid w:val="008D3D9E"/>
    <w:rsid w:val="008D3F83"/>
    <w:rsid w:val="008D4001"/>
    <w:rsid w:val="008D4225"/>
    <w:rsid w:val="008D4613"/>
    <w:rsid w:val="008D485D"/>
    <w:rsid w:val="008D4C13"/>
    <w:rsid w:val="008D4DEA"/>
    <w:rsid w:val="008D4E5E"/>
    <w:rsid w:val="008D5385"/>
    <w:rsid w:val="008D55B2"/>
    <w:rsid w:val="008D57C9"/>
    <w:rsid w:val="008D5E13"/>
    <w:rsid w:val="008D60DE"/>
    <w:rsid w:val="008D60F6"/>
    <w:rsid w:val="008D663E"/>
    <w:rsid w:val="008D67C3"/>
    <w:rsid w:val="008D7898"/>
    <w:rsid w:val="008D7AA4"/>
    <w:rsid w:val="008D7CB9"/>
    <w:rsid w:val="008D7DF3"/>
    <w:rsid w:val="008E07EB"/>
    <w:rsid w:val="008E0B97"/>
    <w:rsid w:val="008E0BA8"/>
    <w:rsid w:val="008E0DE9"/>
    <w:rsid w:val="008E0E3D"/>
    <w:rsid w:val="008E0F66"/>
    <w:rsid w:val="008E0FCC"/>
    <w:rsid w:val="008E11CB"/>
    <w:rsid w:val="008E11D8"/>
    <w:rsid w:val="008E1A2D"/>
    <w:rsid w:val="008E1B23"/>
    <w:rsid w:val="008E1B84"/>
    <w:rsid w:val="008E1DE4"/>
    <w:rsid w:val="008E1E08"/>
    <w:rsid w:val="008E1E7B"/>
    <w:rsid w:val="008E21BF"/>
    <w:rsid w:val="008E2347"/>
    <w:rsid w:val="008E26D3"/>
    <w:rsid w:val="008E2F87"/>
    <w:rsid w:val="008E3170"/>
    <w:rsid w:val="008E31D0"/>
    <w:rsid w:val="008E33D7"/>
    <w:rsid w:val="008E35E2"/>
    <w:rsid w:val="008E35FF"/>
    <w:rsid w:val="008E36CF"/>
    <w:rsid w:val="008E3F0E"/>
    <w:rsid w:val="008E401C"/>
    <w:rsid w:val="008E44F3"/>
    <w:rsid w:val="008E4599"/>
    <w:rsid w:val="008E4D2A"/>
    <w:rsid w:val="008E4D42"/>
    <w:rsid w:val="008E4D77"/>
    <w:rsid w:val="008E4DC1"/>
    <w:rsid w:val="008E5311"/>
    <w:rsid w:val="008E58B5"/>
    <w:rsid w:val="008E5A7E"/>
    <w:rsid w:val="008E5B44"/>
    <w:rsid w:val="008E5D73"/>
    <w:rsid w:val="008E5DA8"/>
    <w:rsid w:val="008E5FBD"/>
    <w:rsid w:val="008E61B1"/>
    <w:rsid w:val="008E6514"/>
    <w:rsid w:val="008E6902"/>
    <w:rsid w:val="008E6BD4"/>
    <w:rsid w:val="008E6C1D"/>
    <w:rsid w:val="008E6D8A"/>
    <w:rsid w:val="008E6ECD"/>
    <w:rsid w:val="008E7A52"/>
    <w:rsid w:val="008E7AEC"/>
    <w:rsid w:val="008E7B5C"/>
    <w:rsid w:val="008E7B8D"/>
    <w:rsid w:val="008E7D42"/>
    <w:rsid w:val="008E7DEC"/>
    <w:rsid w:val="008F01A2"/>
    <w:rsid w:val="008F0265"/>
    <w:rsid w:val="008F03F0"/>
    <w:rsid w:val="008F05A6"/>
    <w:rsid w:val="008F05CD"/>
    <w:rsid w:val="008F09BD"/>
    <w:rsid w:val="008F0AD5"/>
    <w:rsid w:val="008F0AD6"/>
    <w:rsid w:val="008F0C43"/>
    <w:rsid w:val="008F0F21"/>
    <w:rsid w:val="008F109D"/>
    <w:rsid w:val="008F10D1"/>
    <w:rsid w:val="008F1521"/>
    <w:rsid w:val="008F15F1"/>
    <w:rsid w:val="008F1D0E"/>
    <w:rsid w:val="008F1ECA"/>
    <w:rsid w:val="008F2163"/>
    <w:rsid w:val="008F22F4"/>
    <w:rsid w:val="008F2491"/>
    <w:rsid w:val="008F26EF"/>
    <w:rsid w:val="008F291F"/>
    <w:rsid w:val="008F3024"/>
    <w:rsid w:val="008F32C4"/>
    <w:rsid w:val="008F371E"/>
    <w:rsid w:val="008F3AE2"/>
    <w:rsid w:val="008F3DC9"/>
    <w:rsid w:val="008F3E20"/>
    <w:rsid w:val="008F3F8B"/>
    <w:rsid w:val="008F40AB"/>
    <w:rsid w:val="008F48C1"/>
    <w:rsid w:val="008F4B02"/>
    <w:rsid w:val="008F4D53"/>
    <w:rsid w:val="008F4DAA"/>
    <w:rsid w:val="008F4FDA"/>
    <w:rsid w:val="008F532C"/>
    <w:rsid w:val="008F54E3"/>
    <w:rsid w:val="008F554E"/>
    <w:rsid w:val="008F56AD"/>
    <w:rsid w:val="008F56AF"/>
    <w:rsid w:val="008F5EE0"/>
    <w:rsid w:val="008F5FD0"/>
    <w:rsid w:val="008F6027"/>
    <w:rsid w:val="008F621A"/>
    <w:rsid w:val="008F6380"/>
    <w:rsid w:val="008F64A9"/>
    <w:rsid w:val="008F65D4"/>
    <w:rsid w:val="008F687B"/>
    <w:rsid w:val="008F68CF"/>
    <w:rsid w:val="008F68D7"/>
    <w:rsid w:val="008F69E2"/>
    <w:rsid w:val="008F6A42"/>
    <w:rsid w:val="008F6C8E"/>
    <w:rsid w:val="008F6CF5"/>
    <w:rsid w:val="008F6D48"/>
    <w:rsid w:val="008F7087"/>
    <w:rsid w:val="008F787E"/>
    <w:rsid w:val="008F7909"/>
    <w:rsid w:val="008F7CB5"/>
    <w:rsid w:val="008F7E2D"/>
    <w:rsid w:val="0090031D"/>
    <w:rsid w:val="0090057B"/>
    <w:rsid w:val="00900594"/>
    <w:rsid w:val="009005AB"/>
    <w:rsid w:val="00900720"/>
    <w:rsid w:val="00900737"/>
    <w:rsid w:val="00900D87"/>
    <w:rsid w:val="00901250"/>
    <w:rsid w:val="00901758"/>
    <w:rsid w:val="00901781"/>
    <w:rsid w:val="00901914"/>
    <w:rsid w:val="0090198B"/>
    <w:rsid w:val="00901D75"/>
    <w:rsid w:val="00901FE4"/>
    <w:rsid w:val="009021D6"/>
    <w:rsid w:val="00902556"/>
    <w:rsid w:val="00902601"/>
    <w:rsid w:val="0090277B"/>
    <w:rsid w:val="0090279F"/>
    <w:rsid w:val="00902C14"/>
    <w:rsid w:val="00902C19"/>
    <w:rsid w:val="00902C8F"/>
    <w:rsid w:val="00902D25"/>
    <w:rsid w:val="00902FF9"/>
    <w:rsid w:val="00903139"/>
    <w:rsid w:val="00903140"/>
    <w:rsid w:val="009032F0"/>
    <w:rsid w:val="00903482"/>
    <w:rsid w:val="0090358B"/>
    <w:rsid w:val="009036EF"/>
    <w:rsid w:val="00903E77"/>
    <w:rsid w:val="0090408B"/>
    <w:rsid w:val="009043C2"/>
    <w:rsid w:val="009046D8"/>
    <w:rsid w:val="00904CA6"/>
    <w:rsid w:val="00904D33"/>
    <w:rsid w:val="00904DED"/>
    <w:rsid w:val="00904FCA"/>
    <w:rsid w:val="00905090"/>
    <w:rsid w:val="0090552E"/>
    <w:rsid w:val="009055F0"/>
    <w:rsid w:val="00905723"/>
    <w:rsid w:val="009058B1"/>
    <w:rsid w:val="0090594B"/>
    <w:rsid w:val="00905FD8"/>
    <w:rsid w:val="009065CD"/>
    <w:rsid w:val="009066EA"/>
    <w:rsid w:val="00906830"/>
    <w:rsid w:val="00906951"/>
    <w:rsid w:val="00906A5E"/>
    <w:rsid w:val="00906B24"/>
    <w:rsid w:val="00906F73"/>
    <w:rsid w:val="00907386"/>
    <w:rsid w:val="009073A5"/>
    <w:rsid w:val="009074EB"/>
    <w:rsid w:val="0090781D"/>
    <w:rsid w:val="0090786B"/>
    <w:rsid w:val="00910148"/>
    <w:rsid w:val="00910525"/>
    <w:rsid w:val="00910853"/>
    <w:rsid w:val="00910AA3"/>
    <w:rsid w:val="00910B6E"/>
    <w:rsid w:val="00911090"/>
    <w:rsid w:val="009110C3"/>
    <w:rsid w:val="00911B99"/>
    <w:rsid w:val="00911C85"/>
    <w:rsid w:val="00911EFF"/>
    <w:rsid w:val="009120DB"/>
    <w:rsid w:val="00912471"/>
    <w:rsid w:val="00912504"/>
    <w:rsid w:val="00912606"/>
    <w:rsid w:val="0091260A"/>
    <w:rsid w:val="0091266F"/>
    <w:rsid w:val="00912794"/>
    <w:rsid w:val="00912EDE"/>
    <w:rsid w:val="0091305A"/>
    <w:rsid w:val="00913181"/>
    <w:rsid w:val="0091321A"/>
    <w:rsid w:val="00913569"/>
    <w:rsid w:val="00913659"/>
    <w:rsid w:val="0091381E"/>
    <w:rsid w:val="00913D24"/>
    <w:rsid w:val="00913DD1"/>
    <w:rsid w:val="00913E6D"/>
    <w:rsid w:val="009142AF"/>
    <w:rsid w:val="009144F8"/>
    <w:rsid w:val="0091481F"/>
    <w:rsid w:val="00914911"/>
    <w:rsid w:val="0091575C"/>
    <w:rsid w:val="0091635F"/>
    <w:rsid w:val="0091648A"/>
    <w:rsid w:val="00916721"/>
    <w:rsid w:val="00916942"/>
    <w:rsid w:val="00916D89"/>
    <w:rsid w:val="00917029"/>
    <w:rsid w:val="00917577"/>
    <w:rsid w:val="00917742"/>
    <w:rsid w:val="00917C4D"/>
    <w:rsid w:val="00917F8B"/>
    <w:rsid w:val="0092014C"/>
    <w:rsid w:val="009203F9"/>
    <w:rsid w:val="009206BD"/>
    <w:rsid w:val="009207F0"/>
    <w:rsid w:val="00920876"/>
    <w:rsid w:val="00920878"/>
    <w:rsid w:val="00920B66"/>
    <w:rsid w:val="00920B97"/>
    <w:rsid w:val="00920C2C"/>
    <w:rsid w:val="00920D9F"/>
    <w:rsid w:val="009211A2"/>
    <w:rsid w:val="00921348"/>
    <w:rsid w:val="00921838"/>
    <w:rsid w:val="00921BE4"/>
    <w:rsid w:val="00921F93"/>
    <w:rsid w:val="009221D6"/>
    <w:rsid w:val="009223CD"/>
    <w:rsid w:val="009224D4"/>
    <w:rsid w:val="009224DB"/>
    <w:rsid w:val="009226AA"/>
    <w:rsid w:val="00922B55"/>
    <w:rsid w:val="00923012"/>
    <w:rsid w:val="009230CE"/>
    <w:rsid w:val="0092311F"/>
    <w:rsid w:val="009234F0"/>
    <w:rsid w:val="0092358A"/>
    <w:rsid w:val="009235D2"/>
    <w:rsid w:val="00923832"/>
    <w:rsid w:val="009239E5"/>
    <w:rsid w:val="00923A7C"/>
    <w:rsid w:val="00923E02"/>
    <w:rsid w:val="00923F2D"/>
    <w:rsid w:val="0092409D"/>
    <w:rsid w:val="009241BD"/>
    <w:rsid w:val="009242CD"/>
    <w:rsid w:val="009246A4"/>
    <w:rsid w:val="00924D19"/>
    <w:rsid w:val="00924D2B"/>
    <w:rsid w:val="00924EC6"/>
    <w:rsid w:val="00925129"/>
    <w:rsid w:val="00925464"/>
    <w:rsid w:val="00925792"/>
    <w:rsid w:val="009259BC"/>
    <w:rsid w:val="00925AC6"/>
    <w:rsid w:val="00925D06"/>
    <w:rsid w:val="0092609C"/>
    <w:rsid w:val="00926100"/>
    <w:rsid w:val="0092642D"/>
    <w:rsid w:val="009265C5"/>
    <w:rsid w:val="00926622"/>
    <w:rsid w:val="00926778"/>
    <w:rsid w:val="009271A5"/>
    <w:rsid w:val="00927442"/>
    <w:rsid w:val="009275E0"/>
    <w:rsid w:val="00927BC4"/>
    <w:rsid w:val="00927C7B"/>
    <w:rsid w:val="009300DC"/>
    <w:rsid w:val="0093011A"/>
    <w:rsid w:val="009309A0"/>
    <w:rsid w:val="00930A72"/>
    <w:rsid w:val="00930FE5"/>
    <w:rsid w:val="0093172B"/>
    <w:rsid w:val="009319AB"/>
    <w:rsid w:val="00931E5A"/>
    <w:rsid w:val="009320BE"/>
    <w:rsid w:val="00932329"/>
    <w:rsid w:val="009324C2"/>
    <w:rsid w:val="00932628"/>
    <w:rsid w:val="009326C0"/>
    <w:rsid w:val="009326CA"/>
    <w:rsid w:val="0093285C"/>
    <w:rsid w:val="00932E84"/>
    <w:rsid w:val="00933112"/>
    <w:rsid w:val="00933534"/>
    <w:rsid w:val="00933CD8"/>
    <w:rsid w:val="00934051"/>
    <w:rsid w:val="009340E9"/>
    <w:rsid w:val="0093474C"/>
    <w:rsid w:val="0093493E"/>
    <w:rsid w:val="00934DE1"/>
    <w:rsid w:val="00935161"/>
    <w:rsid w:val="00935456"/>
    <w:rsid w:val="009358F7"/>
    <w:rsid w:val="00935B1A"/>
    <w:rsid w:val="00935B87"/>
    <w:rsid w:val="00935EDD"/>
    <w:rsid w:val="00936704"/>
    <w:rsid w:val="00936B0F"/>
    <w:rsid w:val="00936B74"/>
    <w:rsid w:val="00936BAD"/>
    <w:rsid w:val="00936ED1"/>
    <w:rsid w:val="00937053"/>
    <w:rsid w:val="0093738B"/>
    <w:rsid w:val="009374C6"/>
    <w:rsid w:val="0093782F"/>
    <w:rsid w:val="00937C02"/>
    <w:rsid w:val="00937F26"/>
    <w:rsid w:val="00937F5A"/>
    <w:rsid w:val="009400C7"/>
    <w:rsid w:val="00940432"/>
    <w:rsid w:val="009406DD"/>
    <w:rsid w:val="00940B1C"/>
    <w:rsid w:val="00940D1A"/>
    <w:rsid w:val="00940EF0"/>
    <w:rsid w:val="00941069"/>
    <w:rsid w:val="0094136B"/>
    <w:rsid w:val="00941BBA"/>
    <w:rsid w:val="00941D7B"/>
    <w:rsid w:val="009421C2"/>
    <w:rsid w:val="009422F5"/>
    <w:rsid w:val="009425EF"/>
    <w:rsid w:val="009428EC"/>
    <w:rsid w:val="00942A34"/>
    <w:rsid w:val="00942ED0"/>
    <w:rsid w:val="009430C1"/>
    <w:rsid w:val="00943557"/>
    <w:rsid w:val="009436B7"/>
    <w:rsid w:val="009436C0"/>
    <w:rsid w:val="0094372A"/>
    <w:rsid w:val="00943912"/>
    <w:rsid w:val="00943A4B"/>
    <w:rsid w:val="00943A70"/>
    <w:rsid w:val="00943B94"/>
    <w:rsid w:val="00943BDE"/>
    <w:rsid w:val="009443EE"/>
    <w:rsid w:val="009445A3"/>
    <w:rsid w:val="009445E3"/>
    <w:rsid w:val="00944A7D"/>
    <w:rsid w:val="00944FD1"/>
    <w:rsid w:val="0094514D"/>
    <w:rsid w:val="00945190"/>
    <w:rsid w:val="00945478"/>
    <w:rsid w:val="0094566E"/>
    <w:rsid w:val="00945997"/>
    <w:rsid w:val="00945D0F"/>
    <w:rsid w:val="00945D6E"/>
    <w:rsid w:val="0094620F"/>
    <w:rsid w:val="00946354"/>
    <w:rsid w:val="00946753"/>
    <w:rsid w:val="00946A7A"/>
    <w:rsid w:val="00946B57"/>
    <w:rsid w:val="009470A2"/>
    <w:rsid w:val="0094760A"/>
    <w:rsid w:val="009476AE"/>
    <w:rsid w:val="00947C9A"/>
    <w:rsid w:val="00947E43"/>
    <w:rsid w:val="009501AB"/>
    <w:rsid w:val="0095050A"/>
    <w:rsid w:val="009505A1"/>
    <w:rsid w:val="00950925"/>
    <w:rsid w:val="00950C60"/>
    <w:rsid w:val="00950F1C"/>
    <w:rsid w:val="00951419"/>
    <w:rsid w:val="00951ADC"/>
    <w:rsid w:val="00951B69"/>
    <w:rsid w:val="00951D6F"/>
    <w:rsid w:val="009525D9"/>
    <w:rsid w:val="0095261D"/>
    <w:rsid w:val="0095266F"/>
    <w:rsid w:val="0095288D"/>
    <w:rsid w:val="00953154"/>
    <w:rsid w:val="00953178"/>
    <w:rsid w:val="00953561"/>
    <w:rsid w:val="0095364D"/>
    <w:rsid w:val="00953806"/>
    <w:rsid w:val="00953B3E"/>
    <w:rsid w:val="00953C94"/>
    <w:rsid w:val="00953DD1"/>
    <w:rsid w:val="00953DD8"/>
    <w:rsid w:val="00953EA2"/>
    <w:rsid w:val="00953FDC"/>
    <w:rsid w:val="00954249"/>
    <w:rsid w:val="0095433D"/>
    <w:rsid w:val="009543FB"/>
    <w:rsid w:val="009547F1"/>
    <w:rsid w:val="00954B68"/>
    <w:rsid w:val="00954B8B"/>
    <w:rsid w:val="00954C6F"/>
    <w:rsid w:val="00955002"/>
    <w:rsid w:val="00955104"/>
    <w:rsid w:val="009551B1"/>
    <w:rsid w:val="009559DE"/>
    <w:rsid w:val="00955A9C"/>
    <w:rsid w:val="00955DF1"/>
    <w:rsid w:val="00955ED8"/>
    <w:rsid w:val="00956062"/>
    <w:rsid w:val="009561E3"/>
    <w:rsid w:val="009563CF"/>
    <w:rsid w:val="0095651F"/>
    <w:rsid w:val="00956622"/>
    <w:rsid w:val="0095662A"/>
    <w:rsid w:val="0095688E"/>
    <w:rsid w:val="00956A0E"/>
    <w:rsid w:val="00956AC1"/>
    <w:rsid w:val="00956D75"/>
    <w:rsid w:val="00956EAC"/>
    <w:rsid w:val="00956ED2"/>
    <w:rsid w:val="009571D9"/>
    <w:rsid w:val="00957399"/>
    <w:rsid w:val="009578D2"/>
    <w:rsid w:val="00957B9F"/>
    <w:rsid w:val="00957C33"/>
    <w:rsid w:val="00957E93"/>
    <w:rsid w:val="00960132"/>
    <w:rsid w:val="00960161"/>
    <w:rsid w:val="00960177"/>
    <w:rsid w:val="00960269"/>
    <w:rsid w:val="00960445"/>
    <w:rsid w:val="0096063B"/>
    <w:rsid w:val="00960CF4"/>
    <w:rsid w:val="00960F2A"/>
    <w:rsid w:val="009615FD"/>
    <w:rsid w:val="00961649"/>
    <w:rsid w:val="009619F6"/>
    <w:rsid w:val="00961AD9"/>
    <w:rsid w:val="00961AE9"/>
    <w:rsid w:val="00961D94"/>
    <w:rsid w:val="0096216D"/>
    <w:rsid w:val="0096242B"/>
    <w:rsid w:val="00962707"/>
    <w:rsid w:val="00962AB1"/>
    <w:rsid w:val="00962C42"/>
    <w:rsid w:val="00963192"/>
    <w:rsid w:val="00963201"/>
    <w:rsid w:val="00963673"/>
    <w:rsid w:val="00963EE1"/>
    <w:rsid w:val="009642A7"/>
    <w:rsid w:val="00964343"/>
    <w:rsid w:val="009645F1"/>
    <w:rsid w:val="009648AC"/>
    <w:rsid w:val="00964B59"/>
    <w:rsid w:val="00964D46"/>
    <w:rsid w:val="00964D99"/>
    <w:rsid w:val="00964DB7"/>
    <w:rsid w:val="00965304"/>
    <w:rsid w:val="00965878"/>
    <w:rsid w:val="00965966"/>
    <w:rsid w:val="00965B5D"/>
    <w:rsid w:val="00965C48"/>
    <w:rsid w:val="00965EEA"/>
    <w:rsid w:val="009663D1"/>
    <w:rsid w:val="009667C8"/>
    <w:rsid w:val="00966B4F"/>
    <w:rsid w:val="0096740F"/>
    <w:rsid w:val="0096768C"/>
    <w:rsid w:val="009677F5"/>
    <w:rsid w:val="00967C9C"/>
    <w:rsid w:val="00967DA5"/>
    <w:rsid w:val="009707D3"/>
    <w:rsid w:val="00971055"/>
    <w:rsid w:val="00971632"/>
    <w:rsid w:val="0097164F"/>
    <w:rsid w:val="00971C3A"/>
    <w:rsid w:val="00972055"/>
    <w:rsid w:val="00972915"/>
    <w:rsid w:val="00972962"/>
    <w:rsid w:val="009729F8"/>
    <w:rsid w:val="00972B0F"/>
    <w:rsid w:val="00972C9E"/>
    <w:rsid w:val="00972D46"/>
    <w:rsid w:val="00972D9F"/>
    <w:rsid w:val="00972E19"/>
    <w:rsid w:val="00973048"/>
    <w:rsid w:val="009732AB"/>
    <w:rsid w:val="0097340C"/>
    <w:rsid w:val="009734C0"/>
    <w:rsid w:val="00973512"/>
    <w:rsid w:val="00973FB8"/>
    <w:rsid w:val="009742B5"/>
    <w:rsid w:val="00974AFD"/>
    <w:rsid w:val="00974E7D"/>
    <w:rsid w:val="00974F41"/>
    <w:rsid w:val="00975001"/>
    <w:rsid w:val="009750D8"/>
    <w:rsid w:val="009757A6"/>
    <w:rsid w:val="00975B4C"/>
    <w:rsid w:val="009761A3"/>
    <w:rsid w:val="00976310"/>
    <w:rsid w:val="009764CE"/>
    <w:rsid w:val="0097691F"/>
    <w:rsid w:val="009769C2"/>
    <w:rsid w:val="00976CDD"/>
    <w:rsid w:val="00976D4C"/>
    <w:rsid w:val="00976F5A"/>
    <w:rsid w:val="0097706D"/>
    <w:rsid w:val="00977251"/>
    <w:rsid w:val="009772A5"/>
    <w:rsid w:val="00977A37"/>
    <w:rsid w:val="00977F66"/>
    <w:rsid w:val="00977FBC"/>
    <w:rsid w:val="00980209"/>
    <w:rsid w:val="00980237"/>
    <w:rsid w:val="00980265"/>
    <w:rsid w:val="0098026C"/>
    <w:rsid w:val="0098060F"/>
    <w:rsid w:val="0098072D"/>
    <w:rsid w:val="009808E7"/>
    <w:rsid w:val="00980A7E"/>
    <w:rsid w:val="00980B64"/>
    <w:rsid w:val="00980E6B"/>
    <w:rsid w:val="00980FB0"/>
    <w:rsid w:val="00981698"/>
    <w:rsid w:val="00982085"/>
    <w:rsid w:val="009823D1"/>
    <w:rsid w:val="009823DD"/>
    <w:rsid w:val="00982BD8"/>
    <w:rsid w:val="00982C57"/>
    <w:rsid w:val="00982C99"/>
    <w:rsid w:val="00982E91"/>
    <w:rsid w:val="00983039"/>
    <w:rsid w:val="009830EB"/>
    <w:rsid w:val="009832AD"/>
    <w:rsid w:val="0098362A"/>
    <w:rsid w:val="0098375A"/>
    <w:rsid w:val="00983CAD"/>
    <w:rsid w:val="0098439A"/>
    <w:rsid w:val="0098450E"/>
    <w:rsid w:val="009847B8"/>
    <w:rsid w:val="0098495A"/>
    <w:rsid w:val="00984A8B"/>
    <w:rsid w:val="00985224"/>
    <w:rsid w:val="009854E6"/>
    <w:rsid w:val="009855C9"/>
    <w:rsid w:val="00985610"/>
    <w:rsid w:val="00985EB6"/>
    <w:rsid w:val="00985FCF"/>
    <w:rsid w:val="00986072"/>
    <w:rsid w:val="00986174"/>
    <w:rsid w:val="00986270"/>
    <w:rsid w:val="009868FB"/>
    <w:rsid w:val="0098694C"/>
    <w:rsid w:val="00986B5C"/>
    <w:rsid w:val="00986C4D"/>
    <w:rsid w:val="00986CF3"/>
    <w:rsid w:val="00986FD4"/>
    <w:rsid w:val="009871DC"/>
    <w:rsid w:val="009874D8"/>
    <w:rsid w:val="00987590"/>
    <w:rsid w:val="009876EB"/>
    <w:rsid w:val="009879BF"/>
    <w:rsid w:val="00987B7B"/>
    <w:rsid w:val="009900E2"/>
    <w:rsid w:val="009903A2"/>
    <w:rsid w:val="0099043F"/>
    <w:rsid w:val="009904BA"/>
    <w:rsid w:val="00990639"/>
    <w:rsid w:val="00990980"/>
    <w:rsid w:val="00990AE3"/>
    <w:rsid w:val="00990BE3"/>
    <w:rsid w:val="00990CF6"/>
    <w:rsid w:val="0099157C"/>
    <w:rsid w:val="009916C1"/>
    <w:rsid w:val="00991924"/>
    <w:rsid w:val="009925CA"/>
    <w:rsid w:val="009926A6"/>
    <w:rsid w:val="009927F0"/>
    <w:rsid w:val="00992BC1"/>
    <w:rsid w:val="00992DB6"/>
    <w:rsid w:val="00992E12"/>
    <w:rsid w:val="00993266"/>
    <w:rsid w:val="009937EA"/>
    <w:rsid w:val="00993E9C"/>
    <w:rsid w:val="009945DF"/>
    <w:rsid w:val="0099486E"/>
    <w:rsid w:val="00994E9D"/>
    <w:rsid w:val="00995169"/>
    <w:rsid w:val="009956E3"/>
    <w:rsid w:val="0099586B"/>
    <w:rsid w:val="009959A3"/>
    <w:rsid w:val="009959FD"/>
    <w:rsid w:val="00995AE5"/>
    <w:rsid w:val="0099607C"/>
    <w:rsid w:val="009962DD"/>
    <w:rsid w:val="009963CE"/>
    <w:rsid w:val="009963EC"/>
    <w:rsid w:val="009966A0"/>
    <w:rsid w:val="0099677C"/>
    <w:rsid w:val="00996914"/>
    <w:rsid w:val="00996BF2"/>
    <w:rsid w:val="00996DB2"/>
    <w:rsid w:val="00996DD6"/>
    <w:rsid w:val="00997112"/>
    <w:rsid w:val="00997436"/>
    <w:rsid w:val="00997615"/>
    <w:rsid w:val="009978F9"/>
    <w:rsid w:val="009A0360"/>
    <w:rsid w:val="009A03C7"/>
    <w:rsid w:val="009A04B2"/>
    <w:rsid w:val="009A05CC"/>
    <w:rsid w:val="009A05E1"/>
    <w:rsid w:val="009A0ECF"/>
    <w:rsid w:val="009A0F8F"/>
    <w:rsid w:val="009A10D8"/>
    <w:rsid w:val="009A1232"/>
    <w:rsid w:val="009A1255"/>
    <w:rsid w:val="009A12D0"/>
    <w:rsid w:val="009A13E4"/>
    <w:rsid w:val="009A1736"/>
    <w:rsid w:val="009A1855"/>
    <w:rsid w:val="009A1882"/>
    <w:rsid w:val="009A1D76"/>
    <w:rsid w:val="009A1DB7"/>
    <w:rsid w:val="009A1FD7"/>
    <w:rsid w:val="009A2251"/>
    <w:rsid w:val="009A227B"/>
    <w:rsid w:val="009A25EA"/>
    <w:rsid w:val="009A2B04"/>
    <w:rsid w:val="009A2DCF"/>
    <w:rsid w:val="009A2FE0"/>
    <w:rsid w:val="009A332D"/>
    <w:rsid w:val="009A33D4"/>
    <w:rsid w:val="009A3941"/>
    <w:rsid w:val="009A3B49"/>
    <w:rsid w:val="009A3C98"/>
    <w:rsid w:val="009A42C9"/>
    <w:rsid w:val="009A4DB9"/>
    <w:rsid w:val="009A4F7C"/>
    <w:rsid w:val="009A5544"/>
    <w:rsid w:val="009A5919"/>
    <w:rsid w:val="009A626E"/>
    <w:rsid w:val="009A643D"/>
    <w:rsid w:val="009A67B6"/>
    <w:rsid w:val="009A6D3A"/>
    <w:rsid w:val="009A6F77"/>
    <w:rsid w:val="009A7060"/>
    <w:rsid w:val="009A7301"/>
    <w:rsid w:val="009A7504"/>
    <w:rsid w:val="009A757E"/>
    <w:rsid w:val="009A79FD"/>
    <w:rsid w:val="009A7A8E"/>
    <w:rsid w:val="009A7CBA"/>
    <w:rsid w:val="009A7D76"/>
    <w:rsid w:val="009A7DEF"/>
    <w:rsid w:val="009B01E8"/>
    <w:rsid w:val="009B0482"/>
    <w:rsid w:val="009B04A8"/>
    <w:rsid w:val="009B06BB"/>
    <w:rsid w:val="009B0702"/>
    <w:rsid w:val="009B07B2"/>
    <w:rsid w:val="009B0B9B"/>
    <w:rsid w:val="009B0C32"/>
    <w:rsid w:val="009B0E8B"/>
    <w:rsid w:val="009B119F"/>
    <w:rsid w:val="009B158F"/>
    <w:rsid w:val="009B19D1"/>
    <w:rsid w:val="009B1B9A"/>
    <w:rsid w:val="009B1D14"/>
    <w:rsid w:val="009B2123"/>
    <w:rsid w:val="009B212E"/>
    <w:rsid w:val="009B279B"/>
    <w:rsid w:val="009B27C8"/>
    <w:rsid w:val="009B2886"/>
    <w:rsid w:val="009B2981"/>
    <w:rsid w:val="009B2C95"/>
    <w:rsid w:val="009B3050"/>
    <w:rsid w:val="009B3369"/>
    <w:rsid w:val="009B33F8"/>
    <w:rsid w:val="009B37D4"/>
    <w:rsid w:val="009B397A"/>
    <w:rsid w:val="009B3A85"/>
    <w:rsid w:val="009B3BDE"/>
    <w:rsid w:val="009B3C92"/>
    <w:rsid w:val="009B3ECA"/>
    <w:rsid w:val="009B3F13"/>
    <w:rsid w:val="009B406D"/>
    <w:rsid w:val="009B4206"/>
    <w:rsid w:val="009B4758"/>
    <w:rsid w:val="009B4763"/>
    <w:rsid w:val="009B49B2"/>
    <w:rsid w:val="009B4DAD"/>
    <w:rsid w:val="009B4F39"/>
    <w:rsid w:val="009B506B"/>
    <w:rsid w:val="009B575E"/>
    <w:rsid w:val="009B583F"/>
    <w:rsid w:val="009B5E58"/>
    <w:rsid w:val="009B5F1E"/>
    <w:rsid w:val="009B61AF"/>
    <w:rsid w:val="009B6201"/>
    <w:rsid w:val="009B62B9"/>
    <w:rsid w:val="009B67B6"/>
    <w:rsid w:val="009B69E8"/>
    <w:rsid w:val="009B6A33"/>
    <w:rsid w:val="009B6E26"/>
    <w:rsid w:val="009B740D"/>
    <w:rsid w:val="009B76D1"/>
    <w:rsid w:val="009C028E"/>
    <w:rsid w:val="009C0704"/>
    <w:rsid w:val="009C0739"/>
    <w:rsid w:val="009C09F7"/>
    <w:rsid w:val="009C0B1C"/>
    <w:rsid w:val="009C0BE6"/>
    <w:rsid w:val="009C0F77"/>
    <w:rsid w:val="009C15F6"/>
    <w:rsid w:val="009C1796"/>
    <w:rsid w:val="009C197C"/>
    <w:rsid w:val="009C20F0"/>
    <w:rsid w:val="009C239F"/>
    <w:rsid w:val="009C262D"/>
    <w:rsid w:val="009C2847"/>
    <w:rsid w:val="009C296E"/>
    <w:rsid w:val="009C2DAA"/>
    <w:rsid w:val="009C2DBC"/>
    <w:rsid w:val="009C2ECF"/>
    <w:rsid w:val="009C3270"/>
    <w:rsid w:val="009C339D"/>
    <w:rsid w:val="009C33C5"/>
    <w:rsid w:val="009C34D9"/>
    <w:rsid w:val="009C3565"/>
    <w:rsid w:val="009C3870"/>
    <w:rsid w:val="009C3B61"/>
    <w:rsid w:val="009C3CA0"/>
    <w:rsid w:val="009C4538"/>
    <w:rsid w:val="009C49DF"/>
    <w:rsid w:val="009C4AA3"/>
    <w:rsid w:val="009C4C0C"/>
    <w:rsid w:val="009C560A"/>
    <w:rsid w:val="009C5822"/>
    <w:rsid w:val="009C5A82"/>
    <w:rsid w:val="009C6594"/>
    <w:rsid w:val="009C6854"/>
    <w:rsid w:val="009C696F"/>
    <w:rsid w:val="009C6B76"/>
    <w:rsid w:val="009C6BF0"/>
    <w:rsid w:val="009C6CE0"/>
    <w:rsid w:val="009C74E2"/>
    <w:rsid w:val="009C7524"/>
    <w:rsid w:val="009C7871"/>
    <w:rsid w:val="009C7AD3"/>
    <w:rsid w:val="009C7CC6"/>
    <w:rsid w:val="009C7E92"/>
    <w:rsid w:val="009D0012"/>
    <w:rsid w:val="009D01C0"/>
    <w:rsid w:val="009D0465"/>
    <w:rsid w:val="009D05DF"/>
    <w:rsid w:val="009D0A7F"/>
    <w:rsid w:val="009D0B4B"/>
    <w:rsid w:val="009D0CA0"/>
    <w:rsid w:val="009D0EC3"/>
    <w:rsid w:val="009D1074"/>
    <w:rsid w:val="009D126B"/>
    <w:rsid w:val="009D16D2"/>
    <w:rsid w:val="009D17FF"/>
    <w:rsid w:val="009D1867"/>
    <w:rsid w:val="009D18A6"/>
    <w:rsid w:val="009D1CF8"/>
    <w:rsid w:val="009D2393"/>
    <w:rsid w:val="009D274D"/>
    <w:rsid w:val="009D288F"/>
    <w:rsid w:val="009D2A42"/>
    <w:rsid w:val="009D2D77"/>
    <w:rsid w:val="009D30A9"/>
    <w:rsid w:val="009D36D5"/>
    <w:rsid w:val="009D3835"/>
    <w:rsid w:val="009D3A09"/>
    <w:rsid w:val="009D3E97"/>
    <w:rsid w:val="009D3F92"/>
    <w:rsid w:val="009D4071"/>
    <w:rsid w:val="009D4500"/>
    <w:rsid w:val="009D4AB9"/>
    <w:rsid w:val="009D4B90"/>
    <w:rsid w:val="009D5798"/>
    <w:rsid w:val="009D5B4C"/>
    <w:rsid w:val="009D5F41"/>
    <w:rsid w:val="009D62CD"/>
    <w:rsid w:val="009D647B"/>
    <w:rsid w:val="009D6685"/>
    <w:rsid w:val="009D67CC"/>
    <w:rsid w:val="009D6FB9"/>
    <w:rsid w:val="009D7030"/>
    <w:rsid w:val="009D780F"/>
    <w:rsid w:val="009D7923"/>
    <w:rsid w:val="009D7AC4"/>
    <w:rsid w:val="009D7B14"/>
    <w:rsid w:val="009D7BCE"/>
    <w:rsid w:val="009D7E42"/>
    <w:rsid w:val="009D7EF8"/>
    <w:rsid w:val="009E00CF"/>
    <w:rsid w:val="009E06CD"/>
    <w:rsid w:val="009E08FE"/>
    <w:rsid w:val="009E0987"/>
    <w:rsid w:val="009E0AD6"/>
    <w:rsid w:val="009E0CBC"/>
    <w:rsid w:val="009E0DA1"/>
    <w:rsid w:val="009E112C"/>
    <w:rsid w:val="009E14BB"/>
    <w:rsid w:val="009E15AA"/>
    <w:rsid w:val="009E15D6"/>
    <w:rsid w:val="009E16F6"/>
    <w:rsid w:val="009E1785"/>
    <w:rsid w:val="009E1AD0"/>
    <w:rsid w:val="009E1C29"/>
    <w:rsid w:val="009E1CE1"/>
    <w:rsid w:val="009E1FCE"/>
    <w:rsid w:val="009E2109"/>
    <w:rsid w:val="009E21A7"/>
    <w:rsid w:val="009E2448"/>
    <w:rsid w:val="009E269A"/>
    <w:rsid w:val="009E2B8B"/>
    <w:rsid w:val="009E2C7E"/>
    <w:rsid w:val="009E2D72"/>
    <w:rsid w:val="009E2FAB"/>
    <w:rsid w:val="009E315D"/>
    <w:rsid w:val="009E35D5"/>
    <w:rsid w:val="009E3764"/>
    <w:rsid w:val="009E385A"/>
    <w:rsid w:val="009E3B59"/>
    <w:rsid w:val="009E40C2"/>
    <w:rsid w:val="009E437B"/>
    <w:rsid w:val="009E4A99"/>
    <w:rsid w:val="009E4C46"/>
    <w:rsid w:val="009E4DBD"/>
    <w:rsid w:val="009E5148"/>
    <w:rsid w:val="009E51D1"/>
    <w:rsid w:val="009E526F"/>
    <w:rsid w:val="009E53BA"/>
    <w:rsid w:val="009E5714"/>
    <w:rsid w:val="009E5A8E"/>
    <w:rsid w:val="009E5B87"/>
    <w:rsid w:val="009E62F4"/>
    <w:rsid w:val="009E6C22"/>
    <w:rsid w:val="009E6DD5"/>
    <w:rsid w:val="009E6DDA"/>
    <w:rsid w:val="009E70F5"/>
    <w:rsid w:val="009E7315"/>
    <w:rsid w:val="009E793E"/>
    <w:rsid w:val="009E79E0"/>
    <w:rsid w:val="009E7AAC"/>
    <w:rsid w:val="009E7AD1"/>
    <w:rsid w:val="009E7C98"/>
    <w:rsid w:val="009E7FE8"/>
    <w:rsid w:val="009F0833"/>
    <w:rsid w:val="009F08EA"/>
    <w:rsid w:val="009F0E53"/>
    <w:rsid w:val="009F103D"/>
    <w:rsid w:val="009F10B1"/>
    <w:rsid w:val="009F12B0"/>
    <w:rsid w:val="009F139A"/>
    <w:rsid w:val="009F15CC"/>
    <w:rsid w:val="009F199D"/>
    <w:rsid w:val="009F19A2"/>
    <w:rsid w:val="009F1B2A"/>
    <w:rsid w:val="009F1C01"/>
    <w:rsid w:val="009F1DB9"/>
    <w:rsid w:val="009F2333"/>
    <w:rsid w:val="009F24ED"/>
    <w:rsid w:val="009F2D97"/>
    <w:rsid w:val="009F2EFE"/>
    <w:rsid w:val="009F3299"/>
    <w:rsid w:val="009F32CF"/>
    <w:rsid w:val="009F35AA"/>
    <w:rsid w:val="009F3637"/>
    <w:rsid w:val="009F395B"/>
    <w:rsid w:val="009F3CAB"/>
    <w:rsid w:val="009F3CE7"/>
    <w:rsid w:val="009F4449"/>
    <w:rsid w:val="009F44B1"/>
    <w:rsid w:val="009F4850"/>
    <w:rsid w:val="009F4970"/>
    <w:rsid w:val="009F498F"/>
    <w:rsid w:val="009F4BAD"/>
    <w:rsid w:val="009F4C20"/>
    <w:rsid w:val="009F52E7"/>
    <w:rsid w:val="009F553C"/>
    <w:rsid w:val="009F56BE"/>
    <w:rsid w:val="009F58D1"/>
    <w:rsid w:val="009F5966"/>
    <w:rsid w:val="009F5B33"/>
    <w:rsid w:val="009F5C68"/>
    <w:rsid w:val="009F606B"/>
    <w:rsid w:val="009F641E"/>
    <w:rsid w:val="009F6447"/>
    <w:rsid w:val="009F6454"/>
    <w:rsid w:val="009F64F6"/>
    <w:rsid w:val="009F659A"/>
    <w:rsid w:val="009F6832"/>
    <w:rsid w:val="009F6840"/>
    <w:rsid w:val="009F6A54"/>
    <w:rsid w:val="009F6B08"/>
    <w:rsid w:val="009F6D4E"/>
    <w:rsid w:val="009F7600"/>
    <w:rsid w:val="009F7964"/>
    <w:rsid w:val="009F7BA3"/>
    <w:rsid w:val="009F7D49"/>
    <w:rsid w:val="009F7DC1"/>
    <w:rsid w:val="009F7EAD"/>
    <w:rsid w:val="00A00180"/>
    <w:rsid w:val="00A00345"/>
    <w:rsid w:val="00A005DE"/>
    <w:rsid w:val="00A009CA"/>
    <w:rsid w:val="00A00C5F"/>
    <w:rsid w:val="00A00D74"/>
    <w:rsid w:val="00A013CF"/>
    <w:rsid w:val="00A01544"/>
    <w:rsid w:val="00A01595"/>
    <w:rsid w:val="00A01654"/>
    <w:rsid w:val="00A0183C"/>
    <w:rsid w:val="00A018A1"/>
    <w:rsid w:val="00A01B32"/>
    <w:rsid w:val="00A01C2D"/>
    <w:rsid w:val="00A01D12"/>
    <w:rsid w:val="00A02288"/>
    <w:rsid w:val="00A02482"/>
    <w:rsid w:val="00A025D6"/>
    <w:rsid w:val="00A02E78"/>
    <w:rsid w:val="00A03109"/>
    <w:rsid w:val="00A035B7"/>
    <w:rsid w:val="00A039DE"/>
    <w:rsid w:val="00A03CDD"/>
    <w:rsid w:val="00A049F9"/>
    <w:rsid w:val="00A04D37"/>
    <w:rsid w:val="00A04ED0"/>
    <w:rsid w:val="00A04FA9"/>
    <w:rsid w:val="00A04FD2"/>
    <w:rsid w:val="00A0510A"/>
    <w:rsid w:val="00A051F5"/>
    <w:rsid w:val="00A055C2"/>
    <w:rsid w:val="00A05C66"/>
    <w:rsid w:val="00A05D7C"/>
    <w:rsid w:val="00A05F5A"/>
    <w:rsid w:val="00A05FDC"/>
    <w:rsid w:val="00A062E5"/>
    <w:rsid w:val="00A0644A"/>
    <w:rsid w:val="00A0644C"/>
    <w:rsid w:val="00A064DB"/>
    <w:rsid w:val="00A06555"/>
    <w:rsid w:val="00A0658D"/>
    <w:rsid w:val="00A0666B"/>
    <w:rsid w:val="00A069D0"/>
    <w:rsid w:val="00A06BA2"/>
    <w:rsid w:val="00A06BED"/>
    <w:rsid w:val="00A06CD9"/>
    <w:rsid w:val="00A06D14"/>
    <w:rsid w:val="00A06F3D"/>
    <w:rsid w:val="00A07140"/>
    <w:rsid w:val="00A0736D"/>
    <w:rsid w:val="00A07552"/>
    <w:rsid w:val="00A0771F"/>
    <w:rsid w:val="00A078D8"/>
    <w:rsid w:val="00A102D8"/>
    <w:rsid w:val="00A10469"/>
    <w:rsid w:val="00A104DB"/>
    <w:rsid w:val="00A10656"/>
    <w:rsid w:val="00A10A58"/>
    <w:rsid w:val="00A10C03"/>
    <w:rsid w:val="00A10DF9"/>
    <w:rsid w:val="00A10FC8"/>
    <w:rsid w:val="00A11159"/>
    <w:rsid w:val="00A11233"/>
    <w:rsid w:val="00A112CC"/>
    <w:rsid w:val="00A119F6"/>
    <w:rsid w:val="00A11B37"/>
    <w:rsid w:val="00A11D65"/>
    <w:rsid w:val="00A11E02"/>
    <w:rsid w:val="00A11FB5"/>
    <w:rsid w:val="00A1202D"/>
    <w:rsid w:val="00A1218F"/>
    <w:rsid w:val="00A12196"/>
    <w:rsid w:val="00A124A3"/>
    <w:rsid w:val="00A127E2"/>
    <w:rsid w:val="00A12843"/>
    <w:rsid w:val="00A12BC9"/>
    <w:rsid w:val="00A131A9"/>
    <w:rsid w:val="00A1325A"/>
    <w:rsid w:val="00A132DC"/>
    <w:rsid w:val="00A1338C"/>
    <w:rsid w:val="00A13520"/>
    <w:rsid w:val="00A13743"/>
    <w:rsid w:val="00A13951"/>
    <w:rsid w:val="00A13B09"/>
    <w:rsid w:val="00A13C53"/>
    <w:rsid w:val="00A13CF1"/>
    <w:rsid w:val="00A14010"/>
    <w:rsid w:val="00A1487E"/>
    <w:rsid w:val="00A14F94"/>
    <w:rsid w:val="00A14FE1"/>
    <w:rsid w:val="00A15262"/>
    <w:rsid w:val="00A15336"/>
    <w:rsid w:val="00A158C6"/>
    <w:rsid w:val="00A15949"/>
    <w:rsid w:val="00A15BB9"/>
    <w:rsid w:val="00A160CA"/>
    <w:rsid w:val="00A16433"/>
    <w:rsid w:val="00A1651D"/>
    <w:rsid w:val="00A16551"/>
    <w:rsid w:val="00A16612"/>
    <w:rsid w:val="00A167A9"/>
    <w:rsid w:val="00A16B80"/>
    <w:rsid w:val="00A16D4F"/>
    <w:rsid w:val="00A16D7B"/>
    <w:rsid w:val="00A16D8C"/>
    <w:rsid w:val="00A16E2E"/>
    <w:rsid w:val="00A16E6F"/>
    <w:rsid w:val="00A1778D"/>
    <w:rsid w:val="00A17999"/>
    <w:rsid w:val="00A17A8F"/>
    <w:rsid w:val="00A17D93"/>
    <w:rsid w:val="00A20041"/>
    <w:rsid w:val="00A20C42"/>
    <w:rsid w:val="00A20C81"/>
    <w:rsid w:val="00A20DBB"/>
    <w:rsid w:val="00A20E8A"/>
    <w:rsid w:val="00A20EE8"/>
    <w:rsid w:val="00A211EB"/>
    <w:rsid w:val="00A21329"/>
    <w:rsid w:val="00A214C1"/>
    <w:rsid w:val="00A215EA"/>
    <w:rsid w:val="00A21807"/>
    <w:rsid w:val="00A21C5C"/>
    <w:rsid w:val="00A21D7C"/>
    <w:rsid w:val="00A21E4E"/>
    <w:rsid w:val="00A21EA4"/>
    <w:rsid w:val="00A21EC9"/>
    <w:rsid w:val="00A21F49"/>
    <w:rsid w:val="00A22141"/>
    <w:rsid w:val="00A22361"/>
    <w:rsid w:val="00A22386"/>
    <w:rsid w:val="00A223B1"/>
    <w:rsid w:val="00A22469"/>
    <w:rsid w:val="00A22720"/>
    <w:rsid w:val="00A229A2"/>
    <w:rsid w:val="00A22E43"/>
    <w:rsid w:val="00A22EBF"/>
    <w:rsid w:val="00A22FEB"/>
    <w:rsid w:val="00A231A7"/>
    <w:rsid w:val="00A234C0"/>
    <w:rsid w:val="00A23549"/>
    <w:rsid w:val="00A236AB"/>
    <w:rsid w:val="00A238E8"/>
    <w:rsid w:val="00A23940"/>
    <w:rsid w:val="00A239A3"/>
    <w:rsid w:val="00A239D3"/>
    <w:rsid w:val="00A239D4"/>
    <w:rsid w:val="00A23FE5"/>
    <w:rsid w:val="00A2405B"/>
    <w:rsid w:val="00A241BC"/>
    <w:rsid w:val="00A24320"/>
    <w:rsid w:val="00A2463E"/>
    <w:rsid w:val="00A249DF"/>
    <w:rsid w:val="00A24C04"/>
    <w:rsid w:val="00A24CFA"/>
    <w:rsid w:val="00A24FA8"/>
    <w:rsid w:val="00A25148"/>
    <w:rsid w:val="00A254D9"/>
    <w:rsid w:val="00A256F2"/>
    <w:rsid w:val="00A25923"/>
    <w:rsid w:val="00A25ABB"/>
    <w:rsid w:val="00A2608E"/>
    <w:rsid w:val="00A26371"/>
    <w:rsid w:val="00A27358"/>
    <w:rsid w:val="00A2768A"/>
    <w:rsid w:val="00A278AD"/>
    <w:rsid w:val="00A27ADB"/>
    <w:rsid w:val="00A27B9F"/>
    <w:rsid w:val="00A27C06"/>
    <w:rsid w:val="00A27D94"/>
    <w:rsid w:val="00A27DAF"/>
    <w:rsid w:val="00A27DF4"/>
    <w:rsid w:val="00A27E87"/>
    <w:rsid w:val="00A27F55"/>
    <w:rsid w:val="00A27F8E"/>
    <w:rsid w:val="00A301DD"/>
    <w:rsid w:val="00A30688"/>
    <w:rsid w:val="00A30826"/>
    <w:rsid w:val="00A30829"/>
    <w:rsid w:val="00A30A99"/>
    <w:rsid w:val="00A31017"/>
    <w:rsid w:val="00A31359"/>
    <w:rsid w:val="00A31619"/>
    <w:rsid w:val="00A31788"/>
    <w:rsid w:val="00A31A5C"/>
    <w:rsid w:val="00A31E3B"/>
    <w:rsid w:val="00A31E53"/>
    <w:rsid w:val="00A323DF"/>
    <w:rsid w:val="00A325E5"/>
    <w:rsid w:val="00A327BC"/>
    <w:rsid w:val="00A32851"/>
    <w:rsid w:val="00A32E65"/>
    <w:rsid w:val="00A3319C"/>
    <w:rsid w:val="00A333AF"/>
    <w:rsid w:val="00A33591"/>
    <w:rsid w:val="00A33660"/>
    <w:rsid w:val="00A3378D"/>
    <w:rsid w:val="00A3389D"/>
    <w:rsid w:val="00A338A1"/>
    <w:rsid w:val="00A33B46"/>
    <w:rsid w:val="00A34702"/>
    <w:rsid w:val="00A34C30"/>
    <w:rsid w:val="00A352FA"/>
    <w:rsid w:val="00A35635"/>
    <w:rsid w:val="00A3565E"/>
    <w:rsid w:val="00A35A61"/>
    <w:rsid w:val="00A35CE4"/>
    <w:rsid w:val="00A368C9"/>
    <w:rsid w:val="00A369FD"/>
    <w:rsid w:val="00A36E4A"/>
    <w:rsid w:val="00A37132"/>
    <w:rsid w:val="00A371E8"/>
    <w:rsid w:val="00A372F8"/>
    <w:rsid w:val="00A373BA"/>
    <w:rsid w:val="00A3741B"/>
    <w:rsid w:val="00A3777B"/>
    <w:rsid w:val="00A377B6"/>
    <w:rsid w:val="00A37EBE"/>
    <w:rsid w:val="00A40052"/>
    <w:rsid w:val="00A40800"/>
    <w:rsid w:val="00A40CD7"/>
    <w:rsid w:val="00A40EB6"/>
    <w:rsid w:val="00A4189A"/>
    <w:rsid w:val="00A41937"/>
    <w:rsid w:val="00A41A59"/>
    <w:rsid w:val="00A41A92"/>
    <w:rsid w:val="00A41BB2"/>
    <w:rsid w:val="00A41BE7"/>
    <w:rsid w:val="00A41EA6"/>
    <w:rsid w:val="00A42378"/>
    <w:rsid w:val="00A42476"/>
    <w:rsid w:val="00A42611"/>
    <w:rsid w:val="00A42873"/>
    <w:rsid w:val="00A4299E"/>
    <w:rsid w:val="00A43094"/>
    <w:rsid w:val="00A4313A"/>
    <w:rsid w:val="00A433A1"/>
    <w:rsid w:val="00A43414"/>
    <w:rsid w:val="00A43524"/>
    <w:rsid w:val="00A4355B"/>
    <w:rsid w:val="00A43583"/>
    <w:rsid w:val="00A435EF"/>
    <w:rsid w:val="00A43A88"/>
    <w:rsid w:val="00A43B6B"/>
    <w:rsid w:val="00A43BF6"/>
    <w:rsid w:val="00A43DF5"/>
    <w:rsid w:val="00A4444A"/>
    <w:rsid w:val="00A4492C"/>
    <w:rsid w:val="00A44A19"/>
    <w:rsid w:val="00A44E2E"/>
    <w:rsid w:val="00A45028"/>
    <w:rsid w:val="00A45594"/>
    <w:rsid w:val="00A457B2"/>
    <w:rsid w:val="00A46468"/>
    <w:rsid w:val="00A46590"/>
    <w:rsid w:val="00A465FA"/>
    <w:rsid w:val="00A46FCC"/>
    <w:rsid w:val="00A47727"/>
    <w:rsid w:val="00A47CCC"/>
    <w:rsid w:val="00A47E92"/>
    <w:rsid w:val="00A50259"/>
    <w:rsid w:val="00A50A10"/>
    <w:rsid w:val="00A50A3B"/>
    <w:rsid w:val="00A51022"/>
    <w:rsid w:val="00A511B6"/>
    <w:rsid w:val="00A513B9"/>
    <w:rsid w:val="00A517CD"/>
    <w:rsid w:val="00A51960"/>
    <w:rsid w:val="00A51B6C"/>
    <w:rsid w:val="00A51C49"/>
    <w:rsid w:val="00A51C82"/>
    <w:rsid w:val="00A51C91"/>
    <w:rsid w:val="00A51D87"/>
    <w:rsid w:val="00A51D94"/>
    <w:rsid w:val="00A51FF4"/>
    <w:rsid w:val="00A520CE"/>
    <w:rsid w:val="00A52432"/>
    <w:rsid w:val="00A52694"/>
    <w:rsid w:val="00A52EFF"/>
    <w:rsid w:val="00A5344D"/>
    <w:rsid w:val="00A535B2"/>
    <w:rsid w:val="00A537C5"/>
    <w:rsid w:val="00A5395E"/>
    <w:rsid w:val="00A53F9C"/>
    <w:rsid w:val="00A54053"/>
    <w:rsid w:val="00A54216"/>
    <w:rsid w:val="00A5465E"/>
    <w:rsid w:val="00A547AE"/>
    <w:rsid w:val="00A54847"/>
    <w:rsid w:val="00A5484A"/>
    <w:rsid w:val="00A549B3"/>
    <w:rsid w:val="00A549C2"/>
    <w:rsid w:val="00A54B26"/>
    <w:rsid w:val="00A55084"/>
    <w:rsid w:val="00A5568C"/>
    <w:rsid w:val="00A556AB"/>
    <w:rsid w:val="00A5584A"/>
    <w:rsid w:val="00A55B08"/>
    <w:rsid w:val="00A55B0A"/>
    <w:rsid w:val="00A55CD0"/>
    <w:rsid w:val="00A55E9E"/>
    <w:rsid w:val="00A560F7"/>
    <w:rsid w:val="00A564F4"/>
    <w:rsid w:val="00A56669"/>
    <w:rsid w:val="00A56AC5"/>
    <w:rsid w:val="00A56D3C"/>
    <w:rsid w:val="00A56E00"/>
    <w:rsid w:val="00A56F75"/>
    <w:rsid w:val="00A5770D"/>
    <w:rsid w:val="00A57764"/>
    <w:rsid w:val="00A579E0"/>
    <w:rsid w:val="00A602C8"/>
    <w:rsid w:val="00A606AE"/>
    <w:rsid w:val="00A60BDE"/>
    <w:rsid w:val="00A60C85"/>
    <w:rsid w:val="00A60CAA"/>
    <w:rsid w:val="00A60E6D"/>
    <w:rsid w:val="00A6122D"/>
    <w:rsid w:val="00A6138B"/>
    <w:rsid w:val="00A61397"/>
    <w:rsid w:val="00A61587"/>
    <w:rsid w:val="00A61708"/>
    <w:rsid w:val="00A6177A"/>
    <w:rsid w:val="00A6188C"/>
    <w:rsid w:val="00A61A5B"/>
    <w:rsid w:val="00A61A70"/>
    <w:rsid w:val="00A61E54"/>
    <w:rsid w:val="00A620C2"/>
    <w:rsid w:val="00A62133"/>
    <w:rsid w:val="00A62328"/>
    <w:rsid w:val="00A62455"/>
    <w:rsid w:val="00A6293B"/>
    <w:rsid w:val="00A62ED4"/>
    <w:rsid w:val="00A63267"/>
    <w:rsid w:val="00A632BC"/>
    <w:rsid w:val="00A633E5"/>
    <w:rsid w:val="00A634E7"/>
    <w:rsid w:val="00A63867"/>
    <w:rsid w:val="00A639BA"/>
    <w:rsid w:val="00A63C39"/>
    <w:rsid w:val="00A63C8A"/>
    <w:rsid w:val="00A63CE0"/>
    <w:rsid w:val="00A63E0A"/>
    <w:rsid w:val="00A63E0D"/>
    <w:rsid w:val="00A63FCD"/>
    <w:rsid w:val="00A64043"/>
    <w:rsid w:val="00A643BA"/>
    <w:rsid w:val="00A644C2"/>
    <w:rsid w:val="00A64703"/>
    <w:rsid w:val="00A647C7"/>
    <w:rsid w:val="00A648C3"/>
    <w:rsid w:val="00A6497B"/>
    <w:rsid w:val="00A649FC"/>
    <w:rsid w:val="00A64B48"/>
    <w:rsid w:val="00A64B73"/>
    <w:rsid w:val="00A65411"/>
    <w:rsid w:val="00A655BC"/>
    <w:rsid w:val="00A6575D"/>
    <w:rsid w:val="00A65C7A"/>
    <w:rsid w:val="00A65CBF"/>
    <w:rsid w:val="00A663D2"/>
    <w:rsid w:val="00A66689"/>
    <w:rsid w:val="00A66920"/>
    <w:rsid w:val="00A66BA9"/>
    <w:rsid w:val="00A66BCF"/>
    <w:rsid w:val="00A66EB6"/>
    <w:rsid w:val="00A66EE0"/>
    <w:rsid w:val="00A67078"/>
    <w:rsid w:val="00A6713D"/>
    <w:rsid w:val="00A67163"/>
    <w:rsid w:val="00A6719E"/>
    <w:rsid w:val="00A67233"/>
    <w:rsid w:val="00A672A0"/>
    <w:rsid w:val="00A672AE"/>
    <w:rsid w:val="00A67312"/>
    <w:rsid w:val="00A674C7"/>
    <w:rsid w:val="00A6763B"/>
    <w:rsid w:val="00A676E1"/>
    <w:rsid w:val="00A67980"/>
    <w:rsid w:val="00A67A25"/>
    <w:rsid w:val="00A67A5A"/>
    <w:rsid w:val="00A67D8D"/>
    <w:rsid w:val="00A67E9A"/>
    <w:rsid w:val="00A67FCF"/>
    <w:rsid w:val="00A70076"/>
    <w:rsid w:val="00A70179"/>
    <w:rsid w:val="00A702DD"/>
    <w:rsid w:val="00A70647"/>
    <w:rsid w:val="00A70838"/>
    <w:rsid w:val="00A70A68"/>
    <w:rsid w:val="00A70F67"/>
    <w:rsid w:val="00A71071"/>
    <w:rsid w:val="00A710D3"/>
    <w:rsid w:val="00A71133"/>
    <w:rsid w:val="00A71577"/>
    <w:rsid w:val="00A7164C"/>
    <w:rsid w:val="00A71D3A"/>
    <w:rsid w:val="00A71D4F"/>
    <w:rsid w:val="00A71F94"/>
    <w:rsid w:val="00A71FAE"/>
    <w:rsid w:val="00A72037"/>
    <w:rsid w:val="00A727AF"/>
    <w:rsid w:val="00A72C9F"/>
    <w:rsid w:val="00A72E2A"/>
    <w:rsid w:val="00A73025"/>
    <w:rsid w:val="00A730BB"/>
    <w:rsid w:val="00A73273"/>
    <w:rsid w:val="00A73692"/>
    <w:rsid w:val="00A73925"/>
    <w:rsid w:val="00A73998"/>
    <w:rsid w:val="00A73FD0"/>
    <w:rsid w:val="00A74919"/>
    <w:rsid w:val="00A74AAE"/>
    <w:rsid w:val="00A74C92"/>
    <w:rsid w:val="00A74D16"/>
    <w:rsid w:val="00A74F4B"/>
    <w:rsid w:val="00A74F75"/>
    <w:rsid w:val="00A75013"/>
    <w:rsid w:val="00A75100"/>
    <w:rsid w:val="00A7522B"/>
    <w:rsid w:val="00A75257"/>
    <w:rsid w:val="00A75A6E"/>
    <w:rsid w:val="00A75ABA"/>
    <w:rsid w:val="00A75C67"/>
    <w:rsid w:val="00A75EC9"/>
    <w:rsid w:val="00A76512"/>
    <w:rsid w:val="00A765A6"/>
    <w:rsid w:val="00A76981"/>
    <w:rsid w:val="00A76A39"/>
    <w:rsid w:val="00A76B20"/>
    <w:rsid w:val="00A76CBB"/>
    <w:rsid w:val="00A76D56"/>
    <w:rsid w:val="00A76F27"/>
    <w:rsid w:val="00A7728C"/>
    <w:rsid w:val="00A774C3"/>
    <w:rsid w:val="00A7795F"/>
    <w:rsid w:val="00A77F33"/>
    <w:rsid w:val="00A8020D"/>
    <w:rsid w:val="00A80423"/>
    <w:rsid w:val="00A8066F"/>
    <w:rsid w:val="00A809BF"/>
    <w:rsid w:val="00A80ACB"/>
    <w:rsid w:val="00A80D81"/>
    <w:rsid w:val="00A80F77"/>
    <w:rsid w:val="00A813DF"/>
    <w:rsid w:val="00A8141D"/>
    <w:rsid w:val="00A81455"/>
    <w:rsid w:val="00A816F5"/>
    <w:rsid w:val="00A81EA2"/>
    <w:rsid w:val="00A82224"/>
    <w:rsid w:val="00A825B6"/>
    <w:rsid w:val="00A828C3"/>
    <w:rsid w:val="00A8299A"/>
    <w:rsid w:val="00A82D9F"/>
    <w:rsid w:val="00A82DE9"/>
    <w:rsid w:val="00A82EDF"/>
    <w:rsid w:val="00A83059"/>
    <w:rsid w:val="00A83092"/>
    <w:rsid w:val="00A834CB"/>
    <w:rsid w:val="00A83523"/>
    <w:rsid w:val="00A83A03"/>
    <w:rsid w:val="00A83C71"/>
    <w:rsid w:val="00A83D13"/>
    <w:rsid w:val="00A841CD"/>
    <w:rsid w:val="00A8425B"/>
    <w:rsid w:val="00A842AA"/>
    <w:rsid w:val="00A84348"/>
    <w:rsid w:val="00A845E8"/>
    <w:rsid w:val="00A84697"/>
    <w:rsid w:val="00A84B64"/>
    <w:rsid w:val="00A84BD2"/>
    <w:rsid w:val="00A84C26"/>
    <w:rsid w:val="00A84FBC"/>
    <w:rsid w:val="00A8501C"/>
    <w:rsid w:val="00A8507F"/>
    <w:rsid w:val="00A85149"/>
    <w:rsid w:val="00A851A6"/>
    <w:rsid w:val="00A851B2"/>
    <w:rsid w:val="00A85302"/>
    <w:rsid w:val="00A853F1"/>
    <w:rsid w:val="00A855DF"/>
    <w:rsid w:val="00A8585D"/>
    <w:rsid w:val="00A85963"/>
    <w:rsid w:val="00A85AB5"/>
    <w:rsid w:val="00A85ADF"/>
    <w:rsid w:val="00A85BA0"/>
    <w:rsid w:val="00A85E51"/>
    <w:rsid w:val="00A85F6D"/>
    <w:rsid w:val="00A8616F"/>
    <w:rsid w:val="00A86175"/>
    <w:rsid w:val="00A86700"/>
    <w:rsid w:val="00A86831"/>
    <w:rsid w:val="00A874F7"/>
    <w:rsid w:val="00A87543"/>
    <w:rsid w:val="00A87853"/>
    <w:rsid w:val="00A87BB4"/>
    <w:rsid w:val="00A87CA9"/>
    <w:rsid w:val="00A87E26"/>
    <w:rsid w:val="00A87E68"/>
    <w:rsid w:val="00A87ECC"/>
    <w:rsid w:val="00A87FDF"/>
    <w:rsid w:val="00A900B5"/>
    <w:rsid w:val="00A901EC"/>
    <w:rsid w:val="00A9024C"/>
    <w:rsid w:val="00A9035C"/>
    <w:rsid w:val="00A9059D"/>
    <w:rsid w:val="00A905AB"/>
    <w:rsid w:val="00A9068B"/>
    <w:rsid w:val="00A907AA"/>
    <w:rsid w:val="00A9087A"/>
    <w:rsid w:val="00A9091B"/>
    <w:rsid w:val="00A90B61"/>
    <w:rsid w:val="00A90C79"/>
    <w:rsid w:val="00A90EA3"/>
    <w:rsid w:val="00A913A4"/>
    <w:rsid w:val="00A9159D"/>
    <w:rsid w:val="00A91A2F"/>
    <w:rsid w:val="00A91ACE"/>
    <w:rsid w:val="00A91CDF"/>
    <w:rsid w:val="00A91CF2"/>
    <w:rsid w:val="00A91D4F"/>
    <w:rsid w:val="00A91E0A"/>
    <w:rsid w:val="00A9200E"/>
    <w:rsid w:val="00A924A4"/>
    <w:rsid w:val="00A9257B"/>
    <w:rsid w:val="00A92EEB"/>
    <w:rsid w:val="00A92F08"/>
    <w:rsid w:val="00A9314A"/>
    <w:rsid w:val="00A932E8"/>
    <w:rsid w:val="00A936B2"/>
    <w:rsid w:val="00A93735"/>
    <w:rsid w:val="00A938E5"/>
    <w:rsid w:val="00A93CAF"/>
    <w:rsid w:val="00A93F5A"/>
    <w:rsid w:val="00A9404F"/>
    <w:rsid w:val="00A9425E"/>
    <w:rsid w:val="00A94542"/>
    <w:rsid w:val="00A945F7"/>
    <w:rsid w:val="00A9482D"/>
    <w:rsid w:val="00A94900"/>
    <w:rsid w:val="00A95219"/>
    <w:rsid w:val="00A952A2"/>
    <w:rsid w:val="00A95496"/>
    <w:rsid w:val="00A95746"/>
    <w:rsid w:val="00A95934"/>
    <w:rsid w:val="00A95A27"/>
    <w:rsid w:val="00A96098"/>
    <w:rsid w:val="00A9647D"/>
    <w:rsid w:val="00A96643"/>
    <w:rsid w:val="00A96DA0"/>
    <w:rsid w:val="00A9711D"/>
    <w:rsid w:val="00A974A2"/>
    <w:rsid w:val="00A976EE"/>
    <w:rsid w:val="00A97818"/>
    <w:rsid w:val="00A97894"/>
    <w:rsid w:val="00A97A50"/>
    <w:rsid w:val="00A97C09"/>
    <w:rsid w:val="00A97F6E"/>
    <w:rsid w:val="00AA00B9"/>
    <w:rsid w:val="00AA01F1"/>
    <w:rsid w:val="00AA0582"/>
    <w:rsid w:val="00AA0647"/>
    <w:rsid w:val="00AA0A1F"/>
    <w:rsid w:val="00AA0A64"/>
    <w:rsid w:val="00AA0AE2"/>
    <w:rsid w:val="00AA0F91"/>
    <w:rsid w:val="00AA1022"/>
    <w:rsid w:val="00AA10B7"/>
    <w:rsid w:val="00AA116E"/>
    <w:rsid w:val="00AA1247"/>
    <w:rsid w:val="00AA1268"/>
    <w:rsid w:val="00AA1379"/>
    <w:rsid w:val="00AA144C"/>
    <w:rsid w:val="00AA151F"/>
    <w:rsid w:val="00AA1586"/>
    <w:rsid w:val="00AA1756"/>
    <w:rsid w:val="00AA1C2A"/>
    <w:rsid w:val="00AA1CBD"/>
    <w:rsid w:val="00AA1DF8"/>
    <w:rsid w:val="00AA1E16"/>
    <w:rsid w:val="00AA2404"/>
    <w:rsid w:val="00AA25FE"/>
    <w:rsid w:val="00AA2EFE"/>
    <w:rsid w:val="00AA2F75"/>
    <w:rsid w:val="00AA3070"/>
    <w:rsid w:val="00AA35D6"/>
    <w:rsid w:val="00AA36C4"/>
    <w:rsid w:val="00AA39CD"/>
    <w:rsid w:val="00AA414D"/>
    <w:rsid w:val="00AA42EC"/>
    <w:rsid w:val="00AA46F0"/>
    <w:rsid w:val="00AA4EFA"/>
    <w:rsid w:val="00AA505C"/>
    <w:rsid w:val="00AA51E3"/>
    <w:rsid w:val="00AA5381"/>
    <w:rsid w:val="00AA53F4"/>
    <w:rsid w:val="00AA540E"/>
    <w:rsid w:val="00AA5609"/>
    <w:rsid w:val="00AA5A3A"/>
    <w:rsid w:val="00AA5BE0"/>
    <w:rsid w:val="00AA5D6F"/>
    <w:rsid w:val="00AA6110"/>
    <w:rsid w:val="00AA6143"/>
    <w:rsid w:val="00AA6460"/>
    <w:rsid w:val="00AA6D26"/>
    <w:rsid w:val="00AA6DE1"/>
    <w:rsid w:val="00AA6E13"/>
    <w:rsid w:val="00AA6F76"/>
    <w:rsid w:val="00AA6FE5"/>
    <w:rsid w:val="00AA713E"/>
    <w:rsid w:val="00AA72C7"/>
    <w:rsid w:val="00AA73A6"/>
    <w:rsid w:val="00AA7923"/>
    <w:rsid w:val="00AA798A"/>
    <w:rsid w:val="00AA7A79"/>
    <w:rsid w:val="00AA7ACA"/>
    <w:rsid w:val="00AA7E09"/>
    <w:rsid w:val="00AA7E23"/>
    <w:rsid w:val="00AA7F11"/>
    <w:rsid w:val="00AA7F47"/>
    <w:rsid w:val="00AB0194"/>
    <w:rsid w:val="00AB03D6"/>
    <w:rsid w:val="00AB063A"/>
    <w:rsid w:val="00AB07A1"/>
    <w:rsid w:val="00AB0859"/>
    <w:rsid w:val="00AB0D3C"/>
    <w:rsid w:val="00AB13A8"/>
    <w:rsid w:val="00AB17C4"/>
    <w:rsid w:val="00AB1E1E"/>
    <w:rsid w:val="00AB1EC2"/>
    <w:rsid w:val="00AB2017"/>
    <w:rsid w:val="00AB20D9"/>
    <w:rsid w:val="00AB2813"/>
    <w:rsid w:val="00AB282D"/>
    <w:rsid w:val="00AB2C26"/>
    <w:rsid w:val="00AB2F09"/>
    <w:rsid w:val="00AB30E1"/>
    <w:rsid w:val="00AB3588"/>
    <w:rsid w:val="00AB3884"/>
    <w:rsid w:val="00AB3FBC"/>
    <w:rsid w:val="00AB3FD1"/>
    <w:rsid w:val="00AB41B3"/>
    <w:rsid w:val="00AB42D1"/>
    <w:rsid w:val="00AB42F9"/>
    <w:rsid w:val="00AB4440"/>
    <w:rsid w:val="00AB4954"/>
    <w:rsid w:val="00AB4A05"/>
    <w:rsid w:val="00AB4A52"/>
    <w:rsid w:val="00AB4ACC"/>
    <w:rsid w:val="00AB4C51"/>
    <w:rsid w:val="00AB4D29"/>
    <w:rsid w:val="00AB4D35"/>
    <w:rsid w:val="00AB4F9E"/>
    <w:rsid w:val="00AB52DF"/>
    <w:rsid w:val="00AB52F3"/>
    <w:rsid w:val="00AB541C"/>
    <w:rsid w:val="00AB55C0"/>
    <w:rsid w:val="00AB56E2"/>
    <w:rsid w:val="00AB56ED"/>
    <w:rsid w:val="00AB5777"/>
    <w:rsid w:val="00AB57F6"/>
    <w:rsid w:val="00AB5BA3"/>
    <w:rsid w:val="00AB607D"/>
    <w:rsid w:val="00AB6A06"/>
    <w:rsid w:val="00AB6DDA"/>
    <w:rsid w:val="00AB6EAC"/>
    <w:rsid w:val="00AB6EC4"/>
    <w:rsid w:val="00AB754F"/>
    <w:rsid w:val="00AB76DB"/>
    <w:rsid w:val="00AB7996"/>
    <w:rsid w:val="00AB7CD3"/>
    <w:rsid w:val="00AB7D2D"/>
    <w:rsid w:val="00AC0028"/>
    <w:rsid w:val="00AC0087"/>
    <w:rsid w:val="00AC03EA"/>
    <w:rsid w:val="00AC07B5"/>
    <w:rsid w:val="00AC07E9"/>
    <w:rsid w:val="00AC0A89"/>
    <w:rsid w:val="00AC1251"/>
    <w:rsid w:val="00AC1623"/>
    <w:rsid w:val="00AC17B0"/>
    <w:rsid w:val="00AC1E1A"/>
    <w:rsid w:val="00AC20C3"/>
    <w:rsid w:val="00AC20DF"/>
    <w:rsid w:val="00AC21DD"/>
    <w:rsid w:val="00AC2245"/>
    <w:rsid w:val="00AC224D"/>
    <w:rsid w:val="00AC227F"/>
    <w:rsid w:val="00AC25D0"/>
    <w:rsid w:val="00AC28E6"/>
    <w:rsid w:val="00AC29F8"/>
    <w:rsid w:val="00AC2A7D"/>
    <w:rsid w:val="00AC2E5A"/>
    <w:rsid w:val="00AC2ED5"/>
    <w:rsid w:val="00AC2FA8"/>
    <w:rsid w:val="00AC2FC9"/>
    <w:rsid w:val="00AC3237"/>
    <w:rsid w:val="00AC338D"/>
    <w:rsid w:val="00AC3625"/>
    <w:rsid w:val="00AC3660"/>
    <w:rsid w:val="00AC374C"/>
    <w:rsid w:val="00AC4098"/>
    <w:rsid w:val="00AC4151"/>
    <w:rsid w:val="00AC4311"/>
    <w:rsid w:val="00AC4330"/>
    <w:rsid w:val="00AC446A"/>
    <w:rsid w:val="00AC477B"/>
    <w:rsid w:val="00AC4DE0"/>
    <w:rsid w:val="00AC4F57"/>
    <w:rsid w:val="00AC54EA"/>
    <w:rsid w:val="00AC5912"/>
    <w:rsid w:val="00AC5938"/>
    <w:rsid w:val="00AC5B4F"/>
    <w:rsid w:val="00AC5C50"/>
    <w:rsid w:val="00AC5CFD"/>
    <w:rsid w:val="00AC5EBB"/>
    <w:rsid w:val="00AC64F9"/>
    <w:rsid w:val="00AC6595"/>
    <w:rsid w:val="00AC6A8D"/>
    <w:rsid w:val="00AC6EBD"/>
    <w:rsid w:val="00AC705C"/>
    <w:rsid w:val="00AC708C"/>
    <w:rsid w:val="00AC738D"/>
    <w:rsid w:val="00AC751F"/>
    <w:rsid w:val="00AC75E4"/>
    <w:rsid w:val="00AC7865"/>
    <w:rsid w:val="00AC7D7B"/>
    <w:rsid w:val="00AC7DB9"/>
    <w:rsid w:val="00AC7FCF"/>
    <w:rsid w:val="00AD03BE"/>
    <w:rsid w:val="00AD04C7"/>
    <w:rsid w:val="00AD0572"/>
    <w:rsid w:val="00AD0676"/>
    <w:rsid w:val="00AD06B5"/>
    <w:rsid w:val="00AD070F"/>
    <w:rsid w:val="00AD0FA3"/>
    <w:rsid w:val="00AD16AE"/>
    <w:rsid w:val="00AD1790"/>
    <w:rsid w:val="00AD17C4"/>
    <w:rsid w:val="00AD17CE"/>
    <w:rsid w:val="00AD1C45"/>
    <w:rsid w:val="00AD1CFF"/>
    <w:rsid w:val="00AD1FD8"/>
    <w:rsid w:val="00AD2009"/>
    <w:rsid w:val="00AD238A"/>
    <w:rsid w:val="00AD24C1"/>
    <w:rsid w:val="00AD29CB"/>
    <w:rsid w:val="00AD29E9"/>
    <w:rsid w:val="00AD2B66"/>
    <w:rsid w:val="00AD2E13"/>
    <w:rsid w:val="00AD2E14"/>
    <w:rsid w:val="00AD2E57"/>
    <w:rsid w:val="00AD3C6F"/>
    <w:rsid w:val="00AD3D68"/>
    <w:rsid w:val="00AD470D"/>
    <w:rsid w:val="00AD4837"/>
    <w:rsid w:val="00AD4895"/>
    <w:rsid w:val="00AD5362"/>
    <w:rsid w:val="00AD53ED"/>
    <w:rsid w:val="00AD576B"/>
    <w:rsid w:val="00AD57AB"/>
    <w:rsid w:val="00AD5BB8"/>
    <w:rsid w:val="00AD5E90"/>
    <w:rsid w:val="00AD5FA4"/>
    <w:rsid w:val="00AD6703"/>
    <w:rsid w:val="00AD6C1A"/>
    <w:rsid w:val="00AD6C48"/>
    <w:rsid w:val="00AD6D8B"/>
    <w:rsid w:val="00AD6E38"/>
    <w:rsid w:val="00AD6E3E"/>
    <w:rsid w:val="00AD6F61"/>
    <w:rsid w:val="00AD6F7F"/>
    <w:rsid w:val="00AD70FF"/>
    <w:rsid w:val="00AD7242"/>
    <w:rsid w:val="00AD7271"/>
    <w:rsid w:val="00AD760B"/>
    <w:rsid w:val="00AD7726"/>
    <w:rsid w:val="00AD7AE8"/>
    <w:rsid w:val="00AD7E64"/>
    <w:rsid w:val="00AE02A7"/>
    <w:rsid w:val="00AE03FA"/>
    <w:rsid w:val="00AE06AA"/>
    <w:rsid w:val="00AE09FB"/>
    <w:rsid w:val="00AE0BEF"/>
    <w:rsid w:val="00AE0BFF"/>
    <w:rsid w:val="00AE0C8F"/>
    <w:rsid w:val="00AE0E19"/>
    <w:rsid w:val="00AE1158"/>
    <w:rsid w:val="00AE121C"/>
    <w:rsid w:val="00AE15B7"/>
    <w:rsid w:val="00AE19C5"/>
    <w:rsid w:val="00AE19F8"/>
    <w:rsid w:val="00AE26FB"/>
    <w:rsid w:val="00AE2C4D"/>
    <w:rsid w:val="00AE2D7F"/>
    <w:rsid w:val="00AE2E54"/>
    <w:rsid w:val="00AE305A"/>
    <w:rsid w:val="00AE37EC"/>
    <w:rsid w:val="00AE3A99"/>
    <w:rsid w:val="00AE3D1A"/>
    <w:rsid w:val="00AE3DF7"/>
    <w:rsid w:val="00AE40E3"/>
    <w:rsid w:val="00AE4211"/>
    <w:rsid w:val="00AE42DA"/>
    <w:rsid w:val="00AE42FE"/>
    <w:rsid w:val="00AE48B6"/>
    <w:rsid w:val="00AE4CDB"/>
    <w:rsid w:val="00AE5016"/>
    <w:rsid w:val="00AE5061"/>
    <w:rsid w:val="00AE5205"/>
    <w:rsid w:val="00AE544D"/>
    <w:rsid w:val="00AE5592"/>
    <w:rsid w:val="00AE5960"/>
    <w:rsid w:val="00AE5F58"/>
    <w:rsid w:val="00AE5F96"/>
    <w:rsid w:val="00AE6488"/>
    <w:rsid w:val="00AE65D9"/>
    <w:rsid w:val="00AE6F43"/>
    <w:rsid w:val="00AE7232"/>
    <w:rsid w:val="00AE729B"/>
    <w:rsid w:val="00AE7317"/>
    <w:rsid w:val="00AE7368"/>
    <w:rsid w:val="00AE79FF"/>
    <w:rsid w:val="00AE7B99"/>
    <w:rsid w:val="00AF020A"/>
    <w:rsid w:val="00AF04D4"/>
    <w:rsid w:val="00AF0559"/>
    <w:rsid w:val="00AF05FA"/>
    <w:rsid w:val="00AF0627"/>
    <w:rsid w:val="00AF0D76"/>
    <w:rsid w:val="00AF1136"/>
    <w:rsid w:val="00AF1306"/>
    <w:rsid w:val="00AF1402"/>
    <w:rsid w:val="00AF1621"/>
    <w:rsid w:val="00AF1826"/>
    <w:rsid w:val="00AF18DD"/>
    <w:rsid w:val="00AF196A"/>
    <w:rsid w:val="00AF1D58"/>
    <w:rsid w:val="00AF1E0E"/>
    <w:rsid w:val="00AF221F"/>
    <w:rsid w:val="00AF2302"/>
    <w:rsid w:val="00AF230E"/>
    <w:rsid w:val="00AF2439"/>
    <w:rsid w:val="00AF2507"/>
    <w:rsid w:val="00AF2703"/>
    <w:rsid w:val="00AF27D9"/>
    <w:rsid w:val="00AF297F"/>
    <w:rsid w:val="00AF2D58"/>
    <w:rsid w:val="00AF31EE"/>
    <w:rsid w:val="00AF3690"/>
    <w:rsid w:val="00AF38C5"/>
    <w:rsid w:val="00AF3C54"/>
    <w:rsid w:val="00AF403C"/>
    <w:rsid w:val="00AF4119"/>
    <w:rsid w:val="00AF42BF"/>
    <w:rsid w:val="00AF4342"/>
    <w:rsid w:val="00AF4B12"/>
    <w:rsid w:val="00AF4C50"/>
    <w:rsid w:val="00AF4DEA"/>
    <w:rsid w:val="00AF4E63"/>
    <w:rsid w:val="00AF506C"/>
    <w:rsid w:val="00AF522B"/>
    <w:rsid w:val="00AF54A1"/>
    <w:rsid w:val="00AF57E8"/>
    <w:rsid w:val="00AF5969"/>
    <w:rsid w:val="00AF5E68"/>
    <w:rsid w:val="00AF63AC"/>
    <w:rsid w:val="00AF6740"/>
    <w:rsid w:val="00AF69FE"/>
    <w:rsid w:val="00AF6B6E"/>
    <w:rsid w:val="00AF6CCC"/>
    <w:rsid w:val="00AF6F27"/>
    <w:rsid w:val="00AF7249"/>
    <w:rsid w:val="00AF733C"/>
    <w:rsid w:val="00AF73AE"/>
    <w:rsid w:val="00AF74F4"/>
    <w:rsid w:val="00AF7A7B"/>
    <w:rsid w:val="00AF7AC2"/>
    <w:rsid w:val="00AF7C0D"/>
    <w:rsid w:val="00AF7E09"/>
    <w:rsid w:val="00B00014"/>
    <w:rsid w:val="00B00016"/>
    <w:rsid w:val="00B0029D"/>
    <w:rsid w:val="00B002C4"/>
    <w:rsid w:val="00B00FF6"/>
    <w:rsid w:val="00B010A7"/>
    <w:rsid w:val="00B01295"/>
    <w:rsid w:val="00B014B4"/>
    <w:rsid w:val="00B01A81"/>
    <w:rsid w:val="00B02115"/>
    <w:rsid w:val="00B027ED"/>
    <w:rsid w:val="00B02A7D"/>
    <w:rsid w:val="00B02AF3"/>
    <w:rsid w:val="00B02C4B"/>
    <w:rsid w:val="00B02D69"/>
    <w:rsid w:val="00B0311D"/>
    <w:rsid w:val="00B0319D"/>
    <w:rsid w:val="00B031BC"/>
    <w:rsid w:val="00B03330"/>
    <w:rsid w:val="00B0343F"/>
    <w:rsid w:val="00B036BB"/>
    <w:rsid w:val="00B037D3"/>
    <w:rsid w:val="00B03814"/>
    <w:rsid w:val="00B03A4C"/>
    <w:rsid w:val="00B040E0"/>
    <w:rsid w:val="00B04124"/>
    <w:rsid w:val="00B04494"/>
    <w:rsid w:val="00B04759"/>
    <w:rsid w:val="00B04857"/>
    <w:rsid w:val="00B049F2"/>
    <w:rsid w:val="00B04A6D"/>
    <w:rsid w:val="00B04FA5"/>
    <w:rsid w:val="00B052B2"/>
    <w:rsid w:val="00B058C3"/>
    <w:rsid w:val="00B05A50"/>
    <w:rsid w:val="00B05B00"/>
    <w:rsid w:val="00B05C4B"/>
    <w:rsid w:val="00B05E05"/>
    <w:rsid w:val="00B05E29"/>
    <w:rsid w:val="00B05E85"/>
    <w:rsid w:val="00B05F60"/>
    <w:rsid w:val="00B06089"/>
    <w:rsid w:val="00B0614D"/>
    <w:rsid w:val="00B063EF"/>
    <w:rsid w:val="00B06410"/>
    <w:rsid w:val="00B0652D"/>
    <w:rsid w:val="00B06C02"/>
    <w:rsid w:val="00B06C32"/>
    <w:rsid w:val="00B06CFD"/>
    <w:rsid w:val="00B06EFA"/>
    <w:rsid w:val="00B07A64"/>
    <w:rsid w:val="00B07AE2"/>
    <w:rsid w:val="00B07B36"/>
    <w:rsid w:val="00B07EAC"/>
    <w:rsid w:val="00B07F1A"/>
    <w:rsid w:val="00B07F67"/>
    <w:rsid w:val="00B10172"/>
    <w:rsid w:val="00B10173"/>
    <w:rsid w:val="00B1056F"/>
    <w:rsid w:val="00B10B7D"/>
    <w:rsid w:val="00B10EB0"/>
    <w:rsid w:val="00B10F48"/>
    <w:rsid w:val="00B10F6F"/>
    <w:rsid w:val="00B116B7"/>
    <w:rsid w:val="00B117CE"/>
    <w:rsid w:val="00B118CB"/>
    <w:rsid w:val="00B11AB4"/>
    <w:rsid w:val="00B11B25"/>
    <w:rsid w:val="00B11DB4"/>
    <w:rsid w:val="00B1217E"/>
    <w:rsid w:val="00B12CF4"/>
    <w:rsid w:val="00B12FB1"/>
    <w:rsid w:val="00B130BE"/>
    <w:rsid w:val="00B13107"/>
    <w:rsid w:val="00B1321B"/>
    <w:rsid w:val="00B13383"/>
    <w:rsid w:val="00B13676"/>
    <w:rsid w:val="00B13918"/>
    <w:rsid w:val="00B13D78"/>
    <w:rsid w:val="00B13E75"/>
    <w:rsid w:val="00B13F8C"/>
    <w:rsid w:val="00B14288"/>
    <w:rsid w:val="00B1439C"/>
    <w:rsid w:val="00B14A4B"/>
    <w:rsid w:val="00B14C36"/>
    <w:rsid w:val="00B14D19"/>
    <w:rsid w:val="00B14F61"/>
    <w:rsid w:val="00B15280"/>
    <w:rsid w:val="00B155C3"/>
    <w:rsid w:val="00B1590B"/>
    <w:rsid w:val="00B15DA8"/>
    <w:rsid w:val="00B15E08"/>
    <w:rsid w:val="00B15E2A"/>
    <w:rsid w:val="00B16486"/>
    <w:rsid w:val="00B16891"/>
    <w:rsid w:val="00B169AE"/>
    <w:rsid w:val="00B16DAB"/>
    <w:rsid w:val="00B16F4F"/>
    <w:rsid w:val="00B17169"/>
    <w:rsid w:val="00B17332"/>
    <w:rsid w:val="00B17343"/>
    <w:rsid w:val="00B17364"/>
    <w:rsid w:val="00B17493"/>
    <w:rsid w:val="00B176CA"/>
    <w:rsid w:val="00B17B18"/>
    <w:rsid w:val="00B20174"/>
    <w:rsid w:val="00B201E9"/>
    <w:rsid w:val="00B202D0"/>
    <w:rsid w:val="00B204B3"/>
    <w:rsid w:val="00B20501"/>
    <w:rsid w:val="00B20769"/>
    <w:rsid w:val="00B208DE"/>
    <w:rsid w:val="00B20D10"/>
    <w:rsid w:val="00B20F52"/>
    <w:rsid w:val="00B2120E"/>
    <w:rsid w:val="00B21499"/>
    <w:rsid w:val="00B214BC"/>
    <w:rsid w:val="00B21660"/>
    <w:rsid w:val="00B21C4A"/>
    <w:rsid w:val="00B21CD4"/>
    <w:rsid w:val="00B21D8A"/>
    <w:rsid w:val="00B21E9E"/>
    <w:rsid w:val="00B21F9D"/>
    <w:rsid w:val="00B2213C"/>
    <w:rsid w:val="00B2217A"/>
    <w:rsid w:val="00B22224"/>
    <w:rsid w:val="00B2225F"/>
    <w:rsid w:val="00B222BA"/>
    <w:rsid w:val="00B22335"/>
    <w:rsid w:val="00B22453"/>
    <w:rsid w:val="00B22945"/>
    <w:rsid w:val="00B22CBF"/>
    <w:rsid w:val="00B22E90"/>
    <w:rsid w:val="00B22EC2"/>
    <w:rsid w:val="00B22F69"/>
    <w:rsid w:val="00B231AC"/>
    <w:rsid w:val="00B23232"/>
    <w:rsid w:val="00B23281"/>
    <w:rsid w:val="00B232BA"/>
    <w:rsid w:val="00B238D5"/>
    <w:rsid w:val="00B23981"/>
    <w:rsid w:val="00B23ADC"/>
    <w:rsid w:val="00B23B2F"/>
    <w:rsid w:val="00B23B69"/>
    <w:rsid w:val="00B23B82"/>
    <w:rsid w:val="00B23CE5"/>
    <w:rsid w:val="00B23F8A"/>
    <w:rsid w:val="00B242E8"/>
    <w:rsid w:val="00B24734"/>
    <w:rsid w:val="00B24989"/>
    <w:rsid w:val="00B24D47"/>
    <w:rsid w:val="00B24D68"/>
    <w:rsid w:val="00B24D8E"/>
    <w:rsid w:val="00B2537E"/>
    <w:rsid w:val="00B255A5"/>
    <w:rsid w:val="00B255B1"/>
    <w:rsid w:val="00B25689"/>
    <w:rsid w:val="00B2569E"/>
    <w:rsid w:val="00B25745"/>
    <w:rsid w:val="00B25965"/>
    <w:rsid w:val="00B25A8E"/>
    <w:rsid w:val="00B26431"/>
    <w:rsid w:val="00B26537"/>
    <w:rsid w:val="00B26540"/>
    <w:rsid w:val="00B265AB"/>
    <w:rsid w:val="00B26A44"/>
    <w:rsid w:val="00B26D67"/>
    <w:rsid w:val="00B26FD4"/>
    <w:rsid w:val="00B276EA"/>
    <w:rsid w:val="00B27802"/>
    <w:rsid w:val="00B278EA"/>
    <w:rsid w:val="00B279C9"/>
    <w:rsid w:val="00B27B19"/>
    <w:rsid w:val="00B27BBD"/>
    <w:rsid w:val="00B27DBF"/>
    <w:rsid w:val="00B27E55"/>
    <w:rsid w:val="00B27EE8"/>
    <w:rsid w:val="00B27FA3"/>
    <w:rsid w:val="00B3019E"/>
    <w:rsid w:val="00B30345"/>
    <w:rsid w:val="00B304F8"/>
    <w:rsid w:val="00B3061E"/>
    <w:rsid w:val="00B30ABE"/>
    <w:rsid w:val="00B30B87"/>
    <w:rsid w:val="00B30CD3"/>
    <w:rsid w:val="00B31213"/>
    <w:rsid w:val="00B31342"/>
    <w:rsid w:val="00B31346"/>
    <w:rsid w:val="00B315BF"/>
    <w:rsid w:val="00B315D5"/>
    <w:rsid w:val="00B3185F"/>
    <w:rsid w:val="00B31B4C"/>
    <w:rsid w:val="00B31E9F"/>
    <w:rsid w:val="00B32260"/>
    <w:rsid w:val="00B3237C"/>
    <w:rsid w:val="00B32407"/>
    <w:rsid w:val="00B32417"/>
    <w:rsid w:val="00B32437"/>
    <w:rsid w:val="00B327E0"/>
    <w:rsid w:val="00B32992"/>
    <w:rsid w:val="00B32AA5"/>
    <w:rsid w:val="00B32BE0"/>
    <w:rsid w:val="00B3327A"/>
    <w:rsid w:val="00B33A83"/>
    <w:rsid w:val="00B33D96"/>
    <w:rsid w:val="00B33DC6"/>
    <w:rsid w:val="00B33E4D"/>
    <w:rsid w:val="00B3421C"/>
    <w:rsid w:val="00B34809"/>
    <w:rsid w:val="00B34ACF"/>
    <w:rsid w:val="00B34B0B"/>
    <w:rsid w:val="00B34BD2"/>
    <w:rsid w:val="00B34DE0"/>
    <w:rsid w:val="00B3520D"/>
    <w:rsid w:val="00B3541F"/>
    <w:rsid w:val="00B355F0"/>
    <w:rsid w:val="00B3571A"/>
    <w:rsid w:val="00B35B29"/>
    <w:rsid w:val="00B35BEC"/>
    <w:rsid w:val="00B35DFD"/>
    <w:rsid w:val="00B35E3B"/>
    <w:rsid w:val="00B35F5B"/>
    <w:rsid w:val="00B3600E"/>
    <w:rsid w:val="00B361B5"/>
    <w:rsid w:val="00B363FF"/>
    <w:rsid w:val="00B36691"/>
    <w:rsid w:val="00B36707"/>
    <w:rsid w:val="00B367B1"/>
    <w:rsid w:val="00B367B7"/>
    <w:rsid w:val="00B36B7F"/>
    <w:rsid w:val="00B36C6D"/>
    <w:rsid w:val="00B36D4F"/>
    <w:rsid w:val="00B36D57"/>
    <w:rsid w:val="00B36DD2"/>
    <w:rsid w:val="00B36EA6"/>
    <w:rsid w:val="00B37282"/>
    <w:rsid w:val="00B378E9"/>
    <w:rsid w:val="00B37A15"/>
    <w:rsid w:val="00B37F3F"/>
    <w:rsid w:val="00B40214"/>
    <w:rsid w:val="00B40365"/>
    <w:rsid w:val="00B406FC"/>
    <w:rsid w:val="00B40B15"/>
    <w:rsid w:val="00B40CC0"/>
    <w:rsid w:val="00B40DA7"/>
    <w:rsid w:val="00B40EC1"/>
    <w:rsid w:val="00B4103C"/>
    <w:rsid w:val="00B415B4"/>
    <w:rsid w:val="00B415B5"/>
    <w:rsid w:val="00B416E8"/>
    <w:rsid w:val="00B41900"/>
    <w:rsid w:val="00B41B99"/>
    <w:rsid w:val="00B41BDD"/>
    <w:rsid w:val="00B42230"/>
    <w:rsid w:val="00B422FE"/>
    <w:rsid w:val="00B42368"/>
    <w:rsid w:val="00B4299B"/>
    <w:rsid w:val="00B42B74"/>
    <w:rsid w:val="00B42CC4"/>
    <w:rsid w:val="00B42D65"/>
    <w:rsid w:val="00B42E38"/>
    <w:rsid w:val="00B43272"/>
    <w:rsid w:val="00B4368F"/>
    <w:rsid w:val="00B4376F"/>
    <w:rsid w:val="00B43822"/>
    <w:rsid w:val="00B438C0"/>
    <w:rsid w:val="00B43983"/>
    <w:rsid w:val="00B43B66"/>
    <w:rsid w:val="00B43FE8"/>
    <w:rsid w:val="00B444D3"/>
    <w:rsid w:val="00B44656"/>
    <w:rsid w:val="00B44685"/>
    <w:rsid w:val="00B44803"/>
    <w:rsid w:val="00B44B4C"/>
    <w:rsid w:val="00B44B8E"/>
    <w:rsid w:val="00B454B2"/>
    <w:rsid w:val="00B45735"/>
    <w:rsid w:val="00B458F1"/>
    <w:rsid w:val="00B45D9C"/>
    <w:rsid w:val="00B460A7"/>
    <w:rsid w:val="00B46132"/>
    <w:rsid w:val="00B461FB"/>
    <w:rsid w:val="00B464DA"/>
    <w:rsid w:val="00B46515"/>
    <w:rsid w:val="00B46959"/>
    <w:rsid w:val="00B469A4"/>
    <w:rsid w:val="00B46C9C"/>
    <w:rsid w:val="00B46F87"/>
    <w:rsid w:val="00B47050"/>
    <w:rsid w:val="00B472D5"/>
    <w:rsid w:val="00B47462"/>
    <w:rsid w:val="00B47BA9"/>
    <w:rsid w:val="00B47C7C"/>
    <w:rsid w:val="00B47ECD"/>
    <w:rsid w:val="00B47F9A"/>
    <w:rsid w:val="00B50269"/>
    <w:rsid w:val="00B50314"/>
    <w:rsid w:val="00B503C2"/>
    <w:rsid w:val="00B507B9"/>
    <w:rsid w:val="00B508F5"/>
    <w:rsid w:val="00B509E1"/>
    <w:rsid w:val="00B50C26"/>
    <w:rsid w:val="00B50C3D"/>
    <w:rsid w:val="00B50E92"/>
    <w:rsid w:val="00B5113E"/>
    <w:rsid w:val="00B515C5"/>
    <w:rsid w:val="00B51798"/>
    <w:rsid w:val="00B5181A"/>
    <w:rsid w:val="00B51898"/>
    <w:rsid w:val="00B519A7"/>
    <w:rsid w:val="00B51AD7"/>
    <w:rsid w:val="00B51B2E"/>
    <w:rsid w:val="00B51B5A"/>
    <w:rsid w:val="00B520C3"/>
    <w:rsid w:val="00B52AA6"/>
    <w:rsid w:val="00B52E6C"/>
    <w:rsid w:val="00B52EC0"/>
    <w:rsid w:val="00B5335E"/>
    <w:rsid w:val="00B533AD"/>
    <w:rsid w:val="00B534BD"/>
    <w:rsid w:val="00B53511"/>
    <w:rsid w:val="00B538E1"/>
    <w:rsid w:val="00B542DA"/>
    <w:rsid w:val="00B5434B"/>
    <w:rsid w:val="00B543B6"/>
    <w:rsid w:val="00B543EB"/>
    <w:rsid w:val="00B54429"/>
    <w:rsid w:val="00B54D3D"/>
    <w:rsid w:val="00B54D70"/>
    <w:rsid w:val="00B557B6"/>
    <w:rsid w:val="00B55CF5"/>
    <w:rsid w:val="00B55FF3"/>
    <w:rsid w:val="00B56371"/>
    <w:rsid w:val="00B56B5A"/>
    <w:rsid w:val="00B56C1F"/>
    <w:rsid w:val="00B56C4A"/>
    <w:rsid w:val="00B57178"/>
    <w:rsid w:val="00B571EC"/>
    <w:rsid w:val="00B57348"/>
    <w:rsid w:val="00B57513"/>
    <w:rsid w:val="00B57577"/>
    <w:rsid w:val="00B57607"/>
    <w:rsid w:val="00B5774F"/>
    <w:rsid w:val="00B57902"/>
    <w:rsid w:val="00B57A87"/>
    <w:rsid w:val="00B57AAD"/>
    <w:rsid w:val="00B57C0A"/>
    <w:rsid w:val="00B57F85"/>
    <w:rsid w:val="00B60332"/>
    <w:rsid w:val="00B60683"/>
    <w:rsid w:val="00B608DD"/>
    <w:rsid w:val="00B6098C"/>
    <w:rsid w:val="00B60CA1"/>
    <w:rsid w:val="00B60EFF"/>
    <w:rsid w:val="00B6119D"/>
    <w:rsid w:val="00B613AA"/>
    <w:rsid w:val="00B6173A"/>
    <w:rsid w:val="00B61776"/>
    <w:rsid w:val="00B61A9B"/>
    <w:rsid w:val="00B6211C"/>
    <w:rsid w:val="00B623BA"/>
    <w:rsid w:val="00B62481"/>
    <w:rsid w:val="00B624A9"/>
    <w:rsid w:val="00B626EA"/>
    <w:rsid w:val="00B62BDB"/>
    <w:rsid w:val="00B62C25"/>
    <w:rsid w:val="00B62E28"/>
    <w:rsid w:val="00B63363"/>
    <w:rsid w:val="00B63431"/>
    <w:rsid w:val="00B638DD"/>
    <w:rsid w:val="00B640AD"/>
    <w:rsid w:val="00B643F1"/>
    <w:rsid w:val="00B64BD0"/>
    <w:rsid w:val="00B65060"/>
    <w:rsid w:val="00B650D2"/>
    <w:rsid w:val="00B655D9"/>
    <w:rsid w:val="00B656DA"/>
    <w:rsid w:val="00B659C0"/>
    <w:rsid w:val="00B65B9D"/>
    <w:rsid w:val="00B65DA1"/>
    <w:rsid w:val="00B65DFA"/>
    <w:rsid w:val="00B65ED5"/>
    <w:rsid w:val="00B660E3"/>
    <w:rsid w:val="00B660E4"/>
    <w:rsid w:val="00B66133"/>
    <w:rsid w:val="00B661CE"/>
    <w:rsid w:val="00B6625F"/>
    <w:rsid w:val="00B666F1"/>
    <w:rsid w:val="00B66780"/>
    <w:rsid w:val="00B66BFF"/>
    <w:rsid w:val="00B66C6C"/>
    <w:rsid w:val="00B66DE5"/>
    <w:rsid w:val="00B671AD"/>
    <w:rsid w:val="00B67331"/>
    <w:rsid w:val="00B67434"/>
    <w:rsid w:val="00B6769F"/>
    <w:rsid w:val="00B67C5B"/>
    <w:rsid w:val="00B67CEA"/>
    <w:rsid w:val="00B7006B"/>
    <w:rsid w:val="00B70387"/>
    <w:rsid w:val="00B707EF"/>
    <w:rsid w:val="00B70ABD"/>
    <w:rsid w:val="00B70C9D"/>
    <w:rsid w:val="00B70FB6"/>
    <w:rsid w:val="00B7114E"/>
    <w:rsid w:val="00B71183"/>
    <w:rsid w:val="00B715A9"/>
    <w:rsid w:val="00B7175F"/>
    <w:rsid w:val="00B7187B"/>
    <w:rsid w:val="00B7197E"/>
    <w:rsid w:val="00B719B9"/>
    <w:rsid w:val="00B71B80"/>
    <w:rsid w:val="00B71F0D"/>
    <w:rsid w:val="00B72046"/>
    <w:rsid w:val="00B72112"/>
    <w:rsid w:val="00B721FC"/>
    <w:rsid w:val="00B7224F"/>
    <w:rsid w:val="00B7235A"/>
    <w:rsid w:val="00B72557"/>
    <w:rsid w:val="00B72880"/>
    <w:rsid w:val="00B72AB0"/>
    <w:rsid w:val="00B72B68"/>
    <w:rsid w:val="00B72DE7"/>
    <w:rsid w:val="00B73820"/>
    <w:rsid w:val="00B73E05"/>
    <w:rsid w:val="00B7440C"/>
    <w:rsid w:val="00B74559"/>
    <w:rsid w:val="00B74574"/>
    <w:rsid w:val="00B74808"/>
    <w:rsid w:val="00B750FF"/>
    <w:rsid w:val="00B7513E"/>
    <w:rsid w:val="00B752DA"/>
    <w:rsid w:val="00B7562A"/>
    <w:rsid w:val="00B75924"/>
    <w:rsid w:val="00B75BE0"/>
    <w:rsid w:val="00B75DE9"/>
    <w:rsid w:val="00B75ECF"/>
    <w:rsid w:val="00B76B34"/>
    <w:rsid w:val="00B76BA5"/>
    <w:rsid w:val="00B76D7A"/>
    <w:rsid w:val="00B770C8"/>
    <w:rsid w:val="00B77B6E"/>
    <w:rsid w:val="00B77C30"/>
    <w:rsid w:val="00B77C37"/>
    <w:rsid w:val="00B77D93"/>
    <w:rsid w:val="00B77E1B"/>
    <w:rsid w:val="00B801BA"/>
    <w:rsid w:val="00B802DE"/>
    <w:rsid w:val="00B8084F"/>
    <w:rsid w:val="00B80BA5"/>
    <w:rsid w:val="00B80CD9"/>
    <w:rsid w:val="00B80DD9"/>
    <w:rsid w:val="00B80EC9"/>
    <w:rsid w:val="00B80F49"/>
    <w:rsid w:val="00B80FB8"/>
    <w:rsid w:val="00B81301"/>
    <w:rsid w:val="00B814E7"/>
    <w:rsid w:val="00B818DD"/>
    <w:rsid w:val="00B8198F"/>
    <w:rsid w:val="00B82065"/>
    <w:rsid w:val="00B82352"/>
    <w:rsid w:val="00B823DF"/>
    <w:rsid w:val="00B829B8"/>
    <w:rsid w:val="00B82D37"/>
    <w:rsid w:val="00B82DD7"/>
    <w:rsid w:val="00B82E70"/>
    <w:rsid w:val="00B8304E"/>
    <w:rsid w:val="00B83916"/>
    <w:rsid w:val="00B839B1"/>
    <w:rsid w:val="00B83C0B"/>
    <w:rsid w:val="00B83D2B"/>
    <w:rsid w:val="00B843D9"/>
    <w:rsid w:val="00B84541"/>
    <w:rsid w:val="00B8468E"/>
    <w:rsid w:val="00B849C8"/>
    <w:rsid w:val="00B84A1A"/>
    <w:rsid w:val="00B84BD3"/>
    <w:rsid w:val="00B8555F"/>
    <w:rsid w:val="00B855A3"/>
    <w:rsid w:val="00B856A9"/>
    <w:rsid w:val="00B856BD"/>
    <w:rsid w:val="00B857F4"/>
    <w:rsid w:val="00B85A25"/>
    <w:rsid w:val="00B85D94"/>
    <w:rsid w:val="00B85DE4"/>
    <w:rsid w:val="00B85DE6"/>
    <w:rsid w:val="00B861DF"/>
    <w:rsid w:val="00B8644A"/>
    <w:rsid w:val="00B8680E"/>
    <w:rsid w:val="00B86884"/>
    <w:rsid w:val="00B8692A"/>
    <w:rsid w:val="00B86B71"/>
    <w:rsid w:val="00B86D09"/>
    <w:rsid w:val="00B86EC0"/>
    <w:rsid w:val="00B86FD5"/>
    <w:rsid w:val="00B8732B"/>
    <w:rsid w:val="00B87795"/>
    <w:rsid w:val="00B87888"/>
    <w:rsid w:val="00B879C0"/>
    <w:rsid w:val="00B87A4B"/>
    <w:rsid w:val="00B87D99"/>
    <w:rsid w:val="00B9021A"/>
    <w:rsid w:val="00B90821"/>
    <w:rsid w:val="00B9085E"/>
    <w:rsid w:val="00B910C9"/>
    <w:rsid w:val="00B91298"/>
    <w:rsid w:val="00B9188A"/>
    <w:rsid w:val="00B91D22"/>
    <w:rsid w:val="00B91EBC"/>
    <w:rsid w:val="00B921D6"/>
    <w:rsid w:val="00B922AF"/>
    <w:rsid w:val="00B92431"/>
    <w:rsid w:val="00B92A8D"/>
    <w:rsid w:val="00B92C61"/>
    <w:rsid w:val="00B931A2"/>
    <w:rsid w:val="00B9390D"/>
    <w:rsid w:val="00B93D84"/>
    <w:rsid w:val="00B93F4D"/>
    <w:rsid w:val="00B94108"/>
    <w:rsid w:val="00B9461F"/>
    <w:rsid w:val="00B94941"/>
    <w:rsid w:val="00B94C13"/>
    <w:rsid w:val="00B94CB5"/>
    <w:rsid w:val="00B95092"/>
    <w:rsid w:val="00B9581C"/>
    <w:rsid w:val="00B95DEC"/>
    <w:rsid w:val="00B95E83"/>
    <w:rsid w:val="00B9604F"/>
    <w:rsid w:val="00B966FA"/>
    <w:rsid w:val="00B96A74"/>
    <w:rsid w:val="00B96A82"/>
    <w:rsid w:val="00B96B38"/>
    <w:rsid w:val="00B96C2D"/>
    <w:rsid w:val="00B96D22"/>
    <w:rsid w:val="00B96FA0"/>
    <w:rsid w:val="00B971BE"/>
    <w:rsid w:val="00B974F9"/>
    <w:rsid w:val="00B9757D"/>
    <w:rsid w:val="00B97735"/>
    <w:rsid w:val="00B97B24"/>
    <w:rsid w:val="00B97B6D"/>
    <w:rsid w:val="00BA001E"/>
    <w:rsid w:val="00BA0210"/>
    <w:rsid w:val="00BA032E"/>
    <w:rsid w:val="00BA03C7"/>
    <w:rsid w:val="00BA0893"/>
    <w:rsid w:val="00BA0B0C"/>
    <w:rsid w:val="00BA0BB7"/>
    <w:rsid w:val="00BA1125"/>
    <w:rsid w:val="00BA158F"/>
    <w:rsid w:val="00BA1E85"/>
    <w:rsid w:val="00BA1F1B"/>
    <w:rsid w:val="00BA230F"/>
    <w:rsid w:val="00BA2630"/>
    <w:rsid w:val="00BA2A8D"/>
    <w:rsid w:val="00BA2CA2"/>
    <w:rsid w:val="00BA3654"/>
    <w:rsid w:val="00BA371D"/>
    <w:rsid w:val="00BA3A1C"/>
    <w:rsid w:val="00BA3ADA"/>
    <w:rsid w:val="00BA3C22"/>
    <w:rsid w:val="00BA3D8D"/>
    <w:rsid w:val="00BA3DFE"/>
    <w:rsid w:val="00BA3F5D"/>
    <w:rsid w:val="00BA41E4"/>
    <w:rsid w:val="00BA42E5"/>
    <w:rsid w:val="00BA4556"/>
    <w:rsid w:val="00BA4643"/>
    <w:rsid w:val="00BA4A12"/>
    <w:rsid w:val="00BA4C9B"/>
    <w:rsid w:val="00BA4D4D"/>
    <w:rsid w:val="00BA5147"/>
    <w:rsid w:val="00BA5223"/>
    <w:rsid w:val="00BA5460"/>
    <w:rsid w:val="00BA5693"/>
    <w:rsid w:val="00BA56C6"/>
    <w:rsid w:val="00BA5709"/>
    <w:rsid w:val="00BA578C"/>
    <w:rsid w:val="00BA5ACD"/>
    <w:rsid w:val="00BA5C51"/>
    <w:rsid w:val="00BA5CC0"/>
    <w:rsid w:val="00BA5D74"/>
    <w:rsid w:val="00BA619A"/>
    <w:rsid w:val="00BA653C"/>
    <w:rsid w:val="00BA65D7"/>
    <w:rsid w:val="00BA6799"/>
    <w:rsid w:val="00BA6C7C"/>
    <w:rsid w:val="00BA712A"/>
    <w:rsid w:val="00BA719C"/>
    <w:rsid w:val="00BA7353"/>
    <w:rsid w:val="00BA740F"/>
    <w:rsid w:val="00BA791D"/>
    <w:rsid w:val="00BA7D8E"/>
    <w:rsid w:val="00BA7FE1"/>
    <w:rsid w:val="00BB048D"/>
    <w:rsid w:val="00BB04A4"/>
    <w:rsid w:val="00BB06FC"/>
    <w:rsid w:val="00BB077F"/>
    <w:rsid w:val="00BB079F"/>
    <w:rsid w:val="00BB0A3F"/>
    <w:rsid w:val="00BB0A57"/>
    <w:rsid w:val="00BB0B12"/>
    <w:rsid w:val="00BB0D37"/>
    <w:rsid w:val="00BB0E1D"/>
    <w:rsid w:val="00BB101D"/>
    <w:rsid w:val="00BB148D"/>
    <w:rsid w:val="00BB176C"/>
    <w:rsid w:val="00BB19C3"/>
    <w:rsid w:val="00BB1ABA"/>
    <w:rsid w:val="00BB1BCA"/>
    <w:rsid w:val="00BB1CA2"/>
    <w:rsid w:val="00BB1DEC"/>
    <w:rsid w:val="00BB1F46"/>
    <w:rsid w:val="00BB25E1"/>
    <w:rsid w:val="00BB28B0"/>
    <w:rsid w:val="00BB2A3F"/>
    <w:rsid w:val="00BB2B29"/>
    <w:rsid w:val="00BB2D8D"/>
    <w:rsid w:val="00BB361F"/>
    <w:rsid w:val="00BB3638"/>
    <w:rsid w:val="00BB3645"/>
    <w:rsid w:val="00BB3D46"/>
    <w:rsid w:val="00BB403A"/>
    <w:rsid w:val="00BB45EB"/>
    <w:rsid w:val="00BB47A7"/>
    <w:rsid w:val="00BB489A"/>
    <w:rsid w:val="00BB4B6C"/>
    <w:rsid w:val="00BB4D69"/>
    <w:rsid w:val="00BB4DC6"/>
    <w:rsid w:val="00BB4DD2"/>
    <w:rsid w:val="00BB4F75"/>
    <w:rsid w:val="00BB5029"/>
    <w:rsid w:val="00BB52FA"/>
    <w:rsid w:val="00BB5309"/>
    <w:rsid w:val="00BB5408"/>
    <w:rsid w:val="00BB6021"/>
    <w:rsid w:val="00BB61B9"/>
    <w:rsid w:val="00BB629D"/>
    <w:rsid w:val="00BB63AA"/>
    <w:rsid w:val="00BB6E70"/>
    <w:rsid w:val="00BB73EC"/>
    <w:rsid w:val="00BB74CA"/>
    <w:rsid w:val="00BB7987"/>
    <w:rsid w:val="00BB79DE"/>
    <w:rsid w:val="00BB7A44"/>
    <w:rsid w:val="00BB7BB7"/>
    <w:rsid w:val="00BB7C45"/>
    <w:rsid w:val="00BB7DB5"/>
    <w:rsid w:val="00BC07A5"/>
    <w:rsid w:val="00BC098B"/>
    <w:rsid w:val="00BC0E1F"/>
    <w:rsid w:val="00BC0E83"/>
    <w:rsid w:val="00BC0F82"/>
    <w:rsid w:val="00BC163D"/>
    <w:rsid w:val="00BC17B3"/>
    <w:rsid w:val="00BC1F94"/>
    <w:rsid w:val="00BC2295"/>
    <w:rsid w:val="00BC28D7"/>
    <w:rsid w:val="00BC2A06"/>
    <w:rsid w:val="00BC2BE5"/>
    <w:rsid w:val="00BC2E9E"/>
    <w:rsid w:val="00BC2F3E"/>
    <w:rsid w:val="00BC2F7D"/>
    <w:rsid w:val="00BC3176"/>
    <w:rsid w:val="00BC318E"/>
    <w:rsid w:val="00BC3531"/>
    <w:rsid w:val="00BC3B32"/>
    <w:rsid w:val="00BC3FB6"/>
    <w:rsid w:val="00BC400D"/>
    <w:rsid w:val="00BC4235"/>
    <w:rsid w:val="00BC4B6F"/>
    <w:rsid w:val="00BC4C5D"/>
    <w:rsid w:val="00BC502E"/>
    <w:rsid w:val="00BC503B"/>
    <w:rsid w:val="00BC5120"/>
    <w:rsid w:val="00BC5732"/>
    <w:rsid w:val="00BC57CE"/>
    <w:rsid w:val="00BC5810"/>
    <w:rsid w:val="00BC5935"/>
    <w:rsid w:val="00BC5B8F"/>
    <w:rsid w:val="00BC6780"/>
    <w:rsid w:val="00BC689C"/>
    <w:rsid w:val="00BC690D"/>
    <w:rsid w:val="00BC6A6D"/>
    <w:rsid w:val="00BC6EAD"/>
    <w:rsid w:val="00BC7010"/>
    <w:rsid w:val="00BC78FF"/>
    <w:rsid w:val="00BC7AD0"/>
    <w:rsid w:val="00BC7DA7"/>
    <w:rsid w:val="00BC7EB1"/>
    <w:rsid w:val="00BD0210"/>
    <w:rsid w:val="00BD06DC"/>
    <w:rsid w:val="00BD0B44"/>
    <w:rsid w:val="00BD0F15"/>
    <w:rsid w:val="00BD1380"/>
    <w:rsid w:val="00BD1518"/>
    <w:rsid w:val="00BD1610"/>
    <w:rsid w:val="00BD19DB"/>
    <w:rsid w:val="00BD19E0"/>
    <w:rsid w:val="00BD1C93"/>
    <w:rsid w:val="00BD1CBE"/>
    <w:rsid w:val="00BD1D54"/>
    <w:rsid w:val="00BD2430"/>
    <w:rsid w:val="00BD24AA"/>
    <w:rsid w:val="00BD2503"/>
    <w:rsid w:val="00BD2960"/>
    <w:rsid w:val="00BD2D64"/>
    <w:rsid w:val="00BD2D69"/>
    <w:rsid w:val="00BD2F55"/>
    <w:rsid w:val="00BD328F"/>
    <w:rsid w:val="00BD3293"/>
    <w:rsid w:val="00BD35A4"/>
    <w:rsid w:val="00BD3961"/>
    <w:rsid w:val="00BD3A45"/>
    <w:rsid w:val="00BD3D4E"/>
    <w:rsid w:val="00BD3D8C"/>
    <w:rsid w:val="00BD4290"/>
    <w:rsid w:val="00BD4CC8"/>
    <w:rsid w:val="00BD4E25"/>
    <w:rsid w:val="00BD5185"/>
    <w:rsid w:val="00BD55C8"/>
    <w:rsid w:val="00BD55F9"/>
    <w:rsid w:val="00BD57C0"/>
    <w:rsid w:val="00BD57ED"/>
    <w:rsid w:val="00BD5A3A"/>
    <w:rsid w:val="00BD5BB8"/>
    <w:rsid w:val="00BD5F0F"/>
    <w:rsid w:val="00BD5F66"/>
    <w:rsid w:val="00BD5F74"/>
    <w:rsid w:val="00BD65A3"/>
    <w:rsid w:val="00BD66C8"/>
    <w:rsid w:val="00BD6821"/>
    <w:rsid w:val="00BD6BCF"/>
    <w:rsid w:val="00BD6CFD"/>
    <w:rsid w:val="00BD6DDE"/>
    <w:rsid w:val="00BD6FFE"/>
    <w:rsid w:val="00BD78A5"/>
    <w:rsid w:val="00BD7999"/>
    <w:rsid w:val="00BD7B22"/>
    <w:rsid w:val="00BD7C8E"/>
    <w:rsid w:val="00BD7D82"/>
    <w:rsid w:val="00BD7F9F"/>
    <w:rsid w:val="00BE02D3"/>
    <w:rsid w:val="00BE0649"/>
    <w:rsid w:val="00BE0896"/>
    <w:rsid w:val="00BE0AEC"/>
    <w:rsid w:val="00BE0F17"/>
    <w:rsid w:val="00BE0F73"/>
    <w:rsid w:val="00BE12D2"/>
    <w:rsid w:val="00BE2016"/>
    <w:rsid w:val="00BE2090"/>
    <w:rsid w:val="00BE2815"/>
    <w:rsid w:val="00BE2AA8"/>
    <w:rsid w:val="00BE2BCD"/>
    <w:rsid w:val="00BE2CCB"/>
    <w:rsid w:val="00BE2D54"/>
    <w:rsid w:val="00BE3352"/>
    <w:rsid w:val="00BE336F"/>
    <w:rsid w:val="00BE3415"/>
    <w:rsid w:val="00BE371F"/>
    <w:rsid w:val="00BE382F"/>
    <w:rsid w:val="00BE3A37"/>
    <w:rsid w:val="00BE4602"/>
    <w:rsid w:val="00BE4631"/>
    <w:rsid w:val="00BE48C2"/>
    <w:rsid w:val="00BE4956"/>
    <w:rsid w:val="00BE49A3"/>
    <w:rsid w:val="00BE4DE6"/>
    <w:rsid w:val="00BE4F87"/>
    <w:rsid w:val="00BE4FEE"/>
    <w:rsid w:val="00BE5216"/>
    <w:rsid w:val="00BE5325"/>
    <w:rsid w:val="00BE547E"/>
    <w:rsid w:val="00BE57F6"/>
    <w:rsid w:val="00BE5BE1"/>
    <w:rsid w:val="00BE608F"/>
    <w:rsid w:val="00BE6162"/>
    <w:rsid w:val="00BE6264"/>
    <w:rsid w:val="00BE6521"/>
    <w:rsid w:val="00BE6590"/>
    <w:rsid w:val="00BE6741"/>
    <w:rsid w:val="00BE688D"/>
    <w:rsid w:val="00BE6A83"/>
    <w:rsid w:val="00BE6CC3"/>
    <w:rsid w:val="00BE6EE6"/>
    <w:rsid w:val="00BE704E"/>
    <w:rsid w:val="00BE78A2"/>
    <w:rsid w:val="00BE7BC4"/>
    <w:rsid w:val="00BE7BD4"/>
    <w:rsid w:val="00BE7BEF"/>
    <w:rsid w:val="00BE7C26"/>
    <w:rsid w:val="00BE7E47"/>
    <w:rsid w:val="00BF0AE0"/>
    <w:rsid w:val="00BF0B78"/>
    <w:rsid w:val="00BF0CE7"/>
    <w:rsid w:val="00BF0F5E"/>
    <w:rsid w:val="00BF0FCA"/>
    <w:rsid w:val="00BF113F"/>
    <w:rsid w:val="00BF115E"/>
    <w:rsid w:val="00BF151C"/>
    <w:rsid w:val="00BF19EB"/>
    <w:rsid w:val="00BF1B5E"/>
    <w:rsid w:val="00BF1D8D"/>
    <w:rsid w:val="00BF2295"/>
    <w:rsid w:val="00BF2390"/>
    <w:rsid w:val="00BF240D"/>
    <w:rsid w:val="00BF242B"/>
    <w:rsid w:val="00BF245D"/>
    <w:rsid w:val="00BF2471"/>
    <w:rsid w:val="00BF2476"/>
    <w:rsid w:val="00BF2574"/>
    <w:rsid w:val="00BF25A8"/>
    <w:rsid w:val="00BF28B5"/>
    <w:rsid w:val="00BF2D1E"/>
    <w:rsid w:val="00BF2D5F"/>
    <w:rsid w:val="00BF2E45"/>
    <w:rsid w:val="00BF2EF7"/>
    <w:rsid w:val="00BF2F03"/>
    <w:rsid w:val="00BF315C"/>
    <w:rsid w:val="00BF31B2"/>
    <w:rsid w:val="00BF337F"/>
    <w:rsid w:val="00BF33A0"/>
    <w:rsid w:val="00BF3FD2"/>
    <w:rsid w:val="00BF44E7"/>
    <w:rsid w:val="00BF44EC"/>
    <w:rsid w:val="00BF45E9"/>
    <w:rsid w:val="00BF4686"/>
    <w:rsid w:val="00BF48BA"/>
    <w:rsid w:val="00BF4BFA"/>
    <w:rsid w:val="00BF4E7B"/>
    <w:rsid w:val="00BF4FBE"/>
    <w:rsid w:val="00BF507A"/>
    <w:rsid w:val="00BF5169"/>
    <w:rsid w:val="00BF59C5"/>
    <w:rsid w:val="00BF5AC2"/>
    <w:rsid w:val="00BF5B55"/>
    <w:rsid w:val="00BF5EE5"/>
    <w:rsid w:val="00BF6070"/>
    <w:rsid w:val="00BF6127"/>
    <w:rsid w:val="00BF63C1"/>
    <w:rsid w:val="00BF6A93"/>
    <w:rsid w:val="00BF6D2C"/>
    <w:rsid w:val="00BF6E3A"/>
    <w:rsid w:val="00BF6FD7"/>
    <w:rsid w:val="00BF71B3"/>
    <w:rsid w:val="00BF7229"/>
    <w:rsid w:val="00BF72DD"/>
    <w:rsid w:val="00BF7B60"/>
    <w:rsid w:val="00BF7B86"/>
    <w:rsid w:val="00BF7DEC"/>
    <w:rsid w:val="00BF7E6A"/>
    <w:rsid w:val="00C00189"/>
    <w:rsid w:val="00C001D5"/>
    <w:rsid w:val="00C00309"/>
    <w:rsid w:val="00C00474"/>
    <w:rsid w:val="00C00576"/>
    <w:rsid w:val="00C006D0"/>
    <w:rsid w:val="00C00886"/>
    <w:rsid w:val="00C00B10"/>
    <w:rsid w:val="00C00C92"/>
    <w:rsid w:val="00C012C4"/>
    <w:rsid w:val="00C012E2"/>
    <w:rsid w:val="00C01310"/>
    <w:rsid w:val="00C01938"/>
    <w:rsid w:val="00C024E7"/>
    <w:rsid w:val="00C0253D"/>
    <w:rsid w:val="00C02967"/>
    <w:rsid w:val="00C02A1A"/>
    <w:rsid w:val="00C02B4C"/>
    <w:rsid w:val="00C02C0C"/>
    <w:rsid w:val="00C02D5C"/>
    <w:rsid w:val="00C033B5"/>
    <w:rsid w:val="00C038B6"/>
    <w:rsid w:val="00C03B3C"/>
    <w:rsid w:val="00C03BF1"/>
    <w:rsid w:val="00C03DE6"/>
    <w:rsid w:val="00C03F84"/>
    <w:rsid w:val="00C0423D"/>
    <w:rsid w:val="00C04265"/>
    <w:rsid w:val="00C043C2"/>
    <w:rsid w:val="00C04575"/>
    <w:rsid w:val="00C0459C"/>
    <w:rsid w:val="00C045B6"/>
    <w:rsid w:val="00C04849"/>
    <w:rsid w:val="00C04BC7"/>
    <w:rsid w:val="00C05024"/>
    <w:rsid w:val="00C05054"/>
    <w:rsid w:val="00C0511A"/>
    <w:rsid w:val="00C05214"/>
    <w:rsid w:val="00C057CE"/>
    <w:rsid w:val="00C05F68"/>
    <w:rsid w:val="00C05F7F"/>
    <w:rsid w:val="00C061C2"/>
    <w:rsid w:val="00C06557"/>
    <w:rsid w:val="00C06603"/>
    <w:rsid w:val="00C067B4"/>
    <w:rsid w:val="00C069F5"/>
    <w:rsid w:val="00C06B22"/>
    <w:rsid w:val="00C06D68"/>
    <w:rsid w:val="00C06D71"/>
    <w:rsid w:val="00C071CC"/>
    <w:rsid w:val="00C0729C"/>
    <w:rsid w:val="00C074B1"/>
    <w:rsid w:val="00C07664"/>
    <w:rsid w:val="00C076C9"/>
    <w:rsid w:val="00C07872"/>
    <w:rsid w:val="00C07A52"/>
    <w:rsid w:val="00C07A54"/>
    <w:rsid w:val="00C07BA6"/>
    <w:rsid w:val="00C07C82"/>
    <w:rsid w:val="00C07EFB"/>
    <w:rsid w:val="00C07FD9"/>
    <w:rsid w:val="00C1000D"/>
    <w:rsid w:val="00C1008E"/>
    <w:rsid w:val="00C1017D"/>
    <w:rsid w:val="00C1039D"/>
    <w:rsid w:val="00C10B34"/>
    <w:rsid w:val="00C10B3A"/>
    <w:rsid w:val="00C10F1D"/>
    <w:rsid w:val="00C110F2"/>
    <w:rsid w:val="00C11578"/>
    <w:rsid w:val="00C116E9"/>
    <w:rsid w:val="00C11DA2"/>
    <w:rsid w:val="00C11E3C"/>
    <w:rsid w:val="00C11F56"/>
    <w:rsid w:val="00C12BDB"/>
    <w:rsid w:val="00C12C2C"/>
    <w:rsid w:val="00C12CB2"/>
    <w:rsid w:val="00C12F4B"/>
    <w:rsid w:val="00C136C7"/>
    <w:rsid w:val="00C143BC"/>
    <w:rsid w:val="00C1447C"/>
    <w:rsid w:val="00C14726"/>
    <w:rsid w:val="00C1479B"/>
    <w:rsid w:val="00C14ABD"/>
    <w:rsid w:val="00C14BCE"/>
    <w:rsid w:val="00C14F42"/>
    <w:rsid w:val="00C1505B"/>
    <w:rsid w:val="00C1529C"/>
    <w:rsid w:val="00C1543C"/>
    <w:rsid w:val="00C154F8"/>
    <w:rsid w:val="00C155D6"/>
    <w:rsid w:val="00C15626"/>
    <w:rsid w:val="00C15967"/>
    <w:rsid w:val="00C15B50"/>
    <w:rsid w:val="00C15B5E"/>
    <w:rsid w:val="00C15BCC"/>
    <w:rsid w:val="00C15E38"/>
    <w:rsid w:val="00C16413"/>
    <w:rsid w:val="00C16608"/>
    <w:rsid w:val="00C16743"/>
    <w:rsid w:val="00C16B2F"/>
    <w:rsid w:val="00C16F45"/>
    <w:rsid w:val="00C16F50"/>
    <w:rsid w:val="00C17131"/>
    <w:rsid w:val="00C175AA"/>
    <w:rsid w:val="00C176E0"/>
    <w:rsid w:val="00C17892"/>
    <w:rsid w:val="00C17D0B"/>
    <w:rsid w:val="00C17D24"/>
    <w:rsid w:val="00C17E5A"/>
    <w:rsid w:val="00C203DF"/>
    <w:rsid w:val="00C205FB"/>
    <w:rsid w:val="00C2094C"/>
    <w:rsid w:val="00C20CEA"/>
    <w:rsid w:val="00C211C4"/>
    <w:rsid w:val="00C215B5"/>
    <w:rsid w:val="00C21B95"/>
    <w:rsid w:val="00C21E46"/>
    <w:rsid w:val="00C21E6A"/>
    <w:rsid w:val="00C21F49"/>
    <w:rsid w:val="00C224D6"/>
    <w:rsid w:val="00C2260C"/>
    <w:rsid w:val="00C2261C"/>
    <w:rsid w:val="00C230AA"/>
    <w:rsid w:val="00C23819"/>
    <w:rsid w:val="00C23CC7"/>
    <w:rsid w:val="00C23D7F"/>
    <w:rsid w:val="00C247BE"/>
    <w:rsid w:val="00C248A9"/>
    <w:rsid w:val="00C248EE"/>
    <w:rsid w:val="00C24C44"/>
    <w:rsid w:val="00C250AB"/>
    <w:rsid w:val="00C252C4"/>
    <w:rsid w:val="00C25517"/>
    <w:rsid w:val="00C2565C"/>
    <w:rsid w:val="00C25A7C"/>
    <w:rsid w:val="00C25AE1"/>
    <w:rsid w:val="00C25C20"/>
    <w:rsid w:val="00C25D05"/>
    <w:rsid w:val="00C25F15"/>
    <w:rsid w:val="00C264EC"/>
    <w:rsid w:val="00C26AEA"/>
    <w:rsid w:val="00C26B74"/>
    <w:rsid w:val="00C26D2E"/>
    <w:rsid w:val="00C27461"/>
    <w:rsid w:val="00C27568"/>
    <w:rsid w:val="00C27610"/>
    <w:rsid w:val="00C27739"/>
    <w:rsid w:val="00C277BE"/>
    <w:rsid w:val="00C278DE"/>
    <w:rsid w:val="00C27ACC"/>
    <w:rsid w:val="00C27AEB"/>
    <w:rsid w:val="00C27B4A"/>
    <w:rsid w:val="00C300CF"/>
    <w:rsid w:val="00C301AE"/>
    <w:rsid w:val="00C30A0C"/>
    <w:rsid w:val="00C30D7A"/>
    <w:rsid w:val="00C30E32"/>
    <w:rsid w:val="00C312E1"/>
    <w:rsid w:val="00C313B7"/>
    <w:rsid w:val="00C317C1"/>
    <w:rsid w:val="00C31D1D"/>
    <w:rsid w:val="00C31F8B"/>
    <w:rsid w:val="00C320C0"/>
    <w:rsid w:val="00C322DD"/>
    <w:rsid w:val="00C32587"/>
    <w:rsid w:val="00C3284C"/>
    <w:rsid w:val="00C328B4"/>
    <w:rsid w:val="00C32DAE"/>
    <w:rsid w:val="00C32F12"/>
    <w:rsid w:val="00C333D0"/>
    <w:rsid w:val="00C335C1"/>
    <w:rsid w:val="00C33607"/>
    <w:rsid w:val="00C33684"/>
    <w:rsid w:val="00C338CE"/>
    <w:rsid w:val="00C33A5C"/>
    <w:rsid w:val="00C33B1C"/>
    <w:rsid w:val="00C33D52"/>
    <w:rsid w:val="00C33DD7"/>
    <w:rsid w:val="00C34063"/>
    <w:rsid w:val="00C3495C"/>
    <w:rsid w:val="00C34993"/>
    <w:rsid w:val="00C34ABE"/>
    <w:rsid w:val="00C34CDB"/>
    <w:rsid w:val="00C34DDA"/>
    <w:rsid w:val="00C34EF4"/>
    <w:rsid w:val="00C34F42"/>
    <w:rsid w:val="00C35434"/>
    <w:rsid w:val="00C35509"/>
    <w:rsid w:val="00C357F3"/>
    <w:rsid w:val="00C35887"/>
    <w:rsid w:val="00C35AC0"/>
    <w:rsid w:val="00C35B86"/>
    <w:rsid w:val="00C35BB3"/>
    <w:rsid w:val="00C35C34"/>
    <w:rsid w:val="00C35D79"/>
    <w:rsid w:val="00C35F61"/>
    <w:rsid w:val="00C36028"/>
    <w:rsid w:val="00C3604B"/>
    <w:rsid w:val="00C3620E"/>
    <w:rsid w:val="00C365A8"/>
    <w:rsid w:val="00C3672A"/>
    <w:rsid w:val="00C369B6"/>
    <w:rsid w:val="00C36C1E"/>
    <w:rsid w:val="00C36C5E"/>
    <w:rsid w:val="00C36E8A"/>
    <w:rsid w:val="00C36EC8"/>
    <w:rsid w:val="00C373EB"/>
    <w:rsid w:val="00C376C5"/>
    <w:rsid w:val="00C37A68"/>
    <w:rsid w:val="00C37C40"/>
    <w:rsid w:val="00C37C9D"/>
    <w:rsid w:val="00C37CD9"/>
    <w:rsid w:val="00C40436"/>
    <w:rsid w:val="00C40624"/>
    <w:rsid w:val="00C4062F"/>
    <w:rsid w:val="00C408A2"/>
    <w:rsid w:val="00C40C54"/>
    <w:rsid w:val="00C40E8B"/>
    <w:rsid w:val="00C41132"/>
    <w:rsid w:val="00C4153C"/>
    <w:rsid w:val="00C41720"/>
    <w:rsid w:val="00C41819"/>
    <w:rsid w:val="00C41A2B"/>
    <w:rsid w:val="00C41A2C"/>
    <w:rsid w:val="00C41C63"/>
    <w:rsid w:val="00C41C75"/>
    <w:rsid w:val="00C41C98"/>
    <w:rsid w:val="00C41D8E"/>
    <w:rsid w:val="00C41E6E"/>
    <w:rsid w:val="00C41F38"/>
    <w:rsid w:val="00C41F42"/>
    <w:rsid w:val="00C4258C"/>
    <w:rsid w:val="00C426D9"/>
    <w:rsid w:val="00C428A8"/>
    <w:rsid w:val="00C42D0A"/>
    <w:rsid w:val="00C42F85"/>
    <w:rsid w:val="00C43102"/>
    <w:rsid w:val="00C43111"/>
    <w:rsid w:val="00C43700"/>
    <w:rsid w:val="00C437D6"/>
    <w:rsid w:val="00C43A54"/>
    <w:rsid w:val="00C43D2A"/>
    <w:rsid w:val="00C43E41"/>
    <w:rsid w:val="00C43EC5"/>
    <w:rsid w:val="00C447EF"/>
    <w:rsid w:val="00C4491B"/>
    <w:rsid w:val="00C44C28"/>
    <w:rsid w:val="00C4509F"/>
    <w:rsid w:val="00C4524B"/>
    <w:rsid w:val="00C45621"/>
    <w:rsid w:val="00C45891"/>
    <w:rsid w:val="00C45A26"/>
    <w:rsid w:val="00C45BF3"/>
    <w:rsid w:val="00C45C4C"/>
    <w:rsid w:val="00C45CC4"/>
    <w:rsid w:val="00C45D43"/>
    <w:rsid w:val="00C45D88"/>
    <w:rsid w:val="00C46236"/>
    <w:rsid w:val="00C463DD"/>
    <w:rsid w:val="00C465AA"/>
    <w:rsid w:val="00C46772"/>
    <w:rsid w:val="00C468E4"/>
    <w:rsid w:val="00C46B23"/>
    <w:rsid w:val="00C46B4D"/>
    <w:rsid w:val="00C46C16"/>
    <w:rsid w:val="00C46DF0"/>
    <w:rsid w:val="00C470F6"/>
    <w:rsid w:val="00C4730F"/>
    <w:rsid w:val="00C47364"/>
    <w:rsid w:val="00C47AC8"/>
    <w:rsid w:val="00C47C22"/>
    <w:rsid w:val="00C47F6D"/>
    <w:rsid w:val="00C47FC4"/>
    <w:rsid w:val="00C502CB"/>
    <w:rsid w:val="00C50A55"/>
    <w:rsid w:val="00C50C12"/>
    <w:rsid w:val="00C51191"/>
    <w:rsid w:val="00C512B7"/>
    <w:rsid w:val="00C5145E"/>
    <w:rsid w:val="00C51535"/>
    <w:rsid w:val="00C51917"/>
    <w:rsid w:val="00C51944"/>
    <w:rsid w:val="00C5195D"/>
    <w:rsid w:val="00C5198D"/>
    <w:rsid w:val="00C51B24"/>
    <w:rsid w:val="00C51BB5"/>
    <w:rsid w:val="00C51BCC"/>
    <w:rsid w:val="00C51BEB"/>
    <w:rsid w:val="00C51DA5"/>
    <w:rsid w:val="00C51FCB"/>
    <w:rsid w:val="00C52087"/>
    <w:rsid w:val="00C52763"/>
    <w:rsid w:val="00C5279C"/>
    <w:rsid w:val="00C52BC2"/>
    <w:rsid w:val="00C52CC7"/>
    <w:rsid w:val="00C52D49"/>
    <w:rsid w:val="00C52D9F"/>
    <w:rsid w:val="00C52DF5"/>
    <w:rsid w:val="00C5307D"/>
    <w:rsid w:val="00C53153"/>
    <w:rsid w:val="00C53271"/>
    <w:rsid w:val="00C53869"/>
    <w:rsid w:val="00C5399D"/>
    <w:rsid w:val="00C53DF7"/>
    <w:rsid w:val="00C53E91"/>
    <w:rsid w:val="00C53FAF"/>
    <w:rsid w:val="00C5428F"/>
    <w:rsid w:val="00C543ED"/>
    <w:rsid w:val="00C54609"/>
    <w:rsid w:val="00C54950"/>
    <w:rsid w:val="00C54AE2"/>
    <w:rsid w:val="00C550BF"/>
    <w:rsid w:val="00C55202"/>
    <w:rsid w:val="00C55916"/>
    <w:rsid w:val="00C5591B"/>
    <w:rsid w:val="00C55974"/>
    <w:rsid w:val="00C55A03"/>
    <w:rsid w:val="00C55C6C"/>
    <w:rsid w:val="00C55E93"/>
    <w:rsid w:val="00C560A7"/>
    <w:rsid w:val="00C5624B"/>
    <w:rsid w:val="00C5646A"/>
    <w:rsid w:val="00C565A8"/>
    <w:rsid w:val="00C56691"/>
    <w:rsid w:val="00C568DC"/>
    <w:rsid w:val="00C56A55"/>
    <w:rsid w:val="00C56C0A"/>
    <w:rsid w:val="00C56D9F"/>
    <w:rsid w:val="00C57521"/>
    <w:rsid w:val="00C576F3"/>
    <w:rsid w:val="00C5776A"/>
    <w:rsid w:val="00C57AB4"/>
    <w:rsid w:val="00C57C0E"/>
    <w:rsid w:val="00C57CE0"/>
    <w:rsid w:val="00C57E67"/>
    <w:rsid w:val="00C60195"/>
    <w:rsid w:val="00C605EE"/>
    <w:rsid w:val="00C608BA"/>
    <w:rsid w:val="00C6090E"/>
    <w:rsid w:val="00C609C8"/>
    <w:rsid w:val="00C60A89"/>
    <w:rsid w:val="00C60A9E"/>
    <w:rsid w:val="00C60DC1"/>
    <w:rsid w:val="00C60E21"/>
    <w:rsid w:val="00C60F75"/>
    <w:rsid w:val="00C610B5"/>
    <w:rsid w:val="00C61356"/>
    <w:rsid w:val="00C61375"/>
    <w:rsid w:val="00C61401"/>
    <w:rsid w:val="00C619BD"/>
    <w:rsid w:val="00C61C19"/>
    <w:rsid w:val="00C61C28"/>
    <w:rsid w:val="00C61C55"/>
    <w:rsid w:val="00C6205D"/>
    <w:rsid w:val="00C62967"/>
    <w:rsid w:val="00C62D69"/>
    <w:rsid w:val="00C62FC8"/>
    <w:rsid w:val="00C63015"/>
    <w:rsid w:val="00C6312C"/>
    <w:rsid w:val="00C63147"/>
    <w:rsid w:val="00C631D3"/>
    <w:rsid w:val="00C635C4"/>
    <w:rsid w:val="00C63DFE"/>
    <w:rsid w:val="00C63EBC"/>
    <w:rsid w:val="00C6403C"/>
    <w:rsid w:val="00C64288"/>
    <w:rsid w:val="00C6455A"/>
    <w:rsid w:val="00C648D6"/>
    <w:rsid w:val="00C64A6F"/>
    <w:rsid w:val="00C64CD2"/>
    <w:rsid w:val="00C64E24"/>
    <w:rsid w:val="00C64E37"/>
    <w:rsid w:val="00C64F8F"/>
    <w:rsid w:val="00C651B6"/>
    <w:rsid w:val="00C6609A"/>
    <w:rsid w:val="00C6616D"/>
    <w:rsid w:val="00C661EB"/>
    <w:rsid w:val="00C66654"/>
    <w:rsid w:val="00C66A0A"/>
    <w:rsid w:val="00C66B7B"/>
    <w:rsid w:val="00C66C7F"/>
    <w:rsid w:val="00C66DB5"/>
    <w:rsid w:val="00C66DBD"/>
    <w:rsid w:val="00C66DF8"/>
    <w:rsid w:val="00C67129"/>
    <w:rsid w:val="00C67412"/>
    <w:rsid w:val="00C675EC"/>
    <w:rsid w:val="00C676CB"/>
    <w:rsid w:val="00C6772E"/>
    <w:rsid w:val="00C6773D"/>
    <w:rsid w:val="00C67AA1"/>
    <w:rsid w:val="00C67B87"/>
    <w:rsid w:val="00C67C97"/>
    <w:rsid w:val="00C7018D"/>
    <w:rsid w:val="00C702F7"/>
    <w:rsid w:val="00C703F2"/>
    <w:rsid w:val="00C706A4"/>
    <w:rsid w:val="00C709C8"/>
    <w:rsid w:val="00C70A84"/>
    <w:rsid w:val="00C70AE8"/>
    <w:rsid w:val="00C70B30"/>
    <w:rsid w:val="00C71069"/>
    <w:rsid w:val="00C71156"/>
    <w:rsid w:val="00C71D04"/>
    <w:rsid w:val="00C71D1F"/>
    <w:rsid w:val="00C720A6"/>
    <w:rsid w:val="00C7231E"/>
    <w:rsid w:val="00C72A32"/>
    <w:rsid w:val="00C72A41"/>
    <w:rsid w:val="00C72ACA"/>
    <w:rsid w:val="00C72BD1"/>
    <w:rsid w:val="00C72E10"/>
    <w:rsid w:val="00C73377"/>
    <w:rsid w:val="00C73C39"/>
    <w:rsid w:val="00C73CC8"/>
    <w:rsid w:val="00C742D4"/>
    <w:rsid w:val="00C742E5"/>
    <w:rsid w:val="00C74385"/>
    <w:rsid w:val="00C7481C"/>
    <w:rsid w:val="00C74B3D"/>
    <w:rsid w:val="00C74C14"/>
    <w:rsid w:val="00C74DD0"/>
    <w:rsid w:val="00C74F17"/>
    <w:rsid w:val="00C752BB"/>
    <w:rsid w:val="00C753B8"/>
    <w:rsid w:val="00C753C4"/>
    <w:rsid w:val="00C7599C"/>
    <w:rsid w:val="00C75AF7"/>
    <w:rsid w:val="00C75CF1"/>
    <w:rsid w:val="00C75E0E"/>
    <w:rsid w:val="00C75EFB"/>
    <w:rsid w:val="00C75F11"/>
    <w:rsid w:val="00C76091"/>
    <w:rsid w:val="00C7617E"/>
    <w:rsid w:val="00C76184"/>
    <w:rsid w:val="00C765FB"/>
    <w:rsid w:val="00C76BA3"/>
    <w:rsid w:val="00C76C87"/>
    <w:rsid w:val="00C76ED5"/>
    <w:rsid w:val="00C76F6F"/>
    <w:rsid w:val="00C771B1"/>
    <w:rsid w:val="00C771BB"/>
    <w:rsid w:val="00C7749D"/>
    <w:rsid w:val="00C776D9"/>
    <w:rsid w:val="00C7789C"/>
    <w:rsid w:val="00C77AD7"/>
    <w:rsid w:val="00C77CF7"/>
    <w:rsid w:val="00C77F12"/>
    <w:rsid w:val="00C80273"/>
    <w:rsid w:val="00C80763"/>
    <w:rsid w:val="00C80992"/>
    <w:rsid w:val="00C80C26"/>
    <w:rsid w:val="00C80CDA"/>
    <w:rsid w:val="00C80DB4"/>
    <w:rsid w:val="00C810B6"/>
    <w:rsid w:val="00C811E2"/>
    <w:rsid w:val="00C81462"/>
    <w:rsid w:val="00C81957"/>
    <w:rsid w:val="00C81970"/>
    <w:rsid w:val="00C81B4A"/>
    <w:rsid w:val="00C81B89"/>
    <w:rsid w:val="00C81C43"/>
    <w:rsid w:val="00C81E11"/>
    <w:rsid w:val="00C82498"/>
    <w:rsid w:val="00C82807"/>
    <w:rsid w:val="00C82A0F"/>
    <w:rsid w:val="00C82B11"/>
    <w:rsid w:val="00C82BFC"/>
    <w:rsid w:val="00C82CA4"/>
    <w:rsid w:val="00C82EDC"/>
    <w:rsid w:val="00C8339F"/>
    <w:rsid w:val="00C8348B"/>
    <w:rsid w:val="00C83780"/>
    <w:rsid w:val="00C83826"/>
    <w:rsid w:val="00C83904"/>
    <w:rsid w:val="00C83C69"/>
    <w:rsid w:val="00C83D22"/>
    <w:rsid w:val="00C842AF"/>
    <w:rsid w:val="00C8439A"/>
    <w:rsid w:val="00C8439F"/>
    <w:rsid w:val="00C84616"/>
    <w:rsid w:val="00C848F1"/>
    <w:rsid w:val="00C84A5C"/>
    <w:rsid w:val="00C84CBC"/>
    <w:rsid w:val="00C84CC6"/>
    <w:rsid w:val="00C84E54"/>
    <w:rsid w:val="00C84FC7"/>
    <w:rsid w:val="00C8544B"/>
    <w:rsid w:val="00C855EB"/>
    <w:rsid w:val="00C85985"/>
    <w:rsid w:val="00C859CD"/>
    <w:rsid w:val="00C85ED3"/>
    <w:rsid w:val="00C85F30"/>
    <w:rsid w:val="00C86266"/>
    <w:rsid w:val="00C8646C"/>
    <w:rsid w:val="00C86AC6"/>
    <w:rsid w:val="00C870EC"/>
    <w:rsid w:val="00C87232"/>
    <w:rsid w:val="00C872BE"/>
    <w:rsid w:val="00C874A2"/>
    <w:rsid w:val="00C875E5"/>
    <w:rsid w:val="00C876AE"/>
    <w:rsid w:val="00C876FB"/>
    <w:rsid w:val="00C879D3"/>
    <w:rsid w:val="00C87AFF"/>
    <w:rsid w:val="00C87E4F"/>
    <w:rsid w:val="00C87E56"/>
    <w:rsid w:val="00C9012D"/>
    <w:rsid w:val="00C9055F"/>
    <w:rsid w:val="00C906CC"/>
    <w:rsid w:val="00C90C99"/>
    <w:rsid w:val="00C90F54"/>
    <w:rsid w:val="00C91680"/>
    <w:rsid w:val="00C91C39"/>
    <w:rsid w:val="00C91F58"/>
    <w:rsid w:val="00C91F74"/>
    <w:rsid w:val="00C92058"/>
    <w:rsid w:val="00C9230A"/>
    <w:rsid w:val="00C923BF"/>
    <w:rsid w:val="00C92510"/>
    <w:rsid w:val="00C92589"/>
    <w:rsid w:val="00C929F6"/>
    <w:rsid w:val="00C92B34"/>
    <w:rsid w:val="00C92CDD"/>
    <w:rsid w:val="00C93178"/>
    <w:rsid w:val="00C9331A"/>
    <w:rsid w:val="00C93398"/>
    <w:rsid w:val="00C939BB"/>
    <w:rsid w:val="00C93BF7"/>
    <w:rsid w:val="00C93C48"/>
    <w:rsid w:val="00C93CDC"/>
    <w:rsid w:val="00C93E07"/>
    <w:rsid w:val="00C9404C"/>
    <w:rsid w:val="00C94154"/>
    <w:rsid w:val="00C941EA"/>
    <w:rsid w:val="00C94228"/>
    <w:rsid w:val="00C94527"/>
    <w:rsid w:val="00C947AE"/>
    <w:rsid w:val="00C9485C"/>
    <w:rsid w:val="00C9489B"/>
    <w:rsid w:val="00C948B4"/>
    <w:rsid w:val="00C9498A"/>
    <w:rsid w:val="00C94ECC"/>
    <w:rsid w:val="00C94F11"/>
    <w:rsid w:val="00C95275"/>
    <w:rsid w:val="00C952F7"/>
    <w:rsid w:val="00C95874"/>
    <w:rsid w:val="00C96064"/>
    <w:rsid w:val="00C96734"/>
    <w:rsid w:val="00C96848"/>
    <w:rsid w:val="00C9688A"/>
    <w:rsid w:val="00C969F0"/>
    <w:rsid w:val="00C96AC6"/>
    <w:rsid w:val="00C96B95"/>
    <w:rsid w:val="00C96DF1"/>
    <w:rsid w:val="00C96E87"/>
    <w:rsid w:val="00C97080"/>
    <w:rsid w:val="00C97212"/>
    <w:rsid w:val="00C9740D"/>
    <w:rsid w:val="00C97C19"/>
    <w:rsid w:val="00CA0275"/>
    <w:rsid w:val="00CA0467"/>
    <w:rsid w:val="00CA0FF5"/>
    <w:rsid w:val="00CA10EB"/>
    <w:rsid w:val="00CA1119"/>
    <w:rsid w:val="00CA1155"/>
    <w:rsid w:val="00CA1210"/>
    <w:rsid w:val="00CA16AB"/>
    <w:rsid w:val="00CA179D"/>
    <w:rsid w:val="00CA1A60"/>
    <w:rsid w:val="00CA1C83"/>
    <w:rsid w:val="00CA1CF5"/>
    <w:rsid w:val="00CA1DBA"/>
    <w:rsid w:val="00CA1E1B"/>
    <w:rsid w:val="00CA1F2F"/>
    <w:rsid w:val="00CA1F46"/>
    <w:rsid w:val="00CA1F9E"/>
    <w:rsid w:val="00CA1FAB"/>
    <w:rsid w:val="00CA2093"/>
    <w:rsid w:val="00CA25DA"/>
    <w:rsid w:val="00CA2653"/>
    <w:rsid w:val="00CA2A0A"/>
    <w:rsid w:val="00CA2BAC"/>
    <w:rsid w:val="00CA2F50"/>
    <w:rsid w:val="00CA330D"/>
    <w:rsid w:val="00CA34B4"/>
    <w:rsid w:val="00CA358B"/>
    <w:rsid w:val="00CA3816"/>
    <w:rsid w:val="00CA388B"/>
    <w:rsid w:val="00CA3AC4"/>
    <w:rsid w:val="00CA3DA9"/>
    <w:rsid w:val="00CA462F"/>
    <w:rsid w:val="00CA4696"/>
    <w:rsid w:val="00CA474D"/>
    <w:rsid w:val="00CA4EC8"/>
    <w:rsid w:val="00CA5290"/>
    <w:rsid w:val="00CA52F2"/>
    <w:rsid w:val="00CA53FD"/>
    <w:rsid w:val="00CA546F"/>
    <w:rsid w:val="00CA55E8"/>
    <w:rsid w:val="00CA5702"/>
    <w:rsid w:val="00CA5C0A"/>
    <w:rsid w:val="00CA6264"/>
    <w:rsid w:val="00CA62AB"/>
    <w:rsid w:val="00CA657C"/>
    <w:rsid w:val="00CA664E"/>
    <w:rsid w:val="00CA674B"/>
    <w:rsid w:val="00CA676E"/>
    <w:rsid w:val="00CA6A6A"/>
    <w:rsid w:val="00CA6AB1"/>
    <w:rsid w:val="00CA6D99"/>
    <w:rsid w:val="00CA6EAF"/>
    <w:rsid w:val="00CA728D"/>
    <w:rsid w:val="00CA72A1"/>
    <w:rsid w:val="00CA76E8"/>
    <w:rsid w:val="00CA7E67"/>
    <w:rsid w:val="00CA7EC3"/>
    <w:rsid w:val="00CA7FE4"/>
    <w:rsid w:val="00CB0093"/>
    <w:rsid w:val="00CB026B"/>
    <w:rsid w:val="00CB0366"/>
    <w:rsid w:val="00CB0481"/>
    <w:rsid w:val="00CB059E"/>
    <w:rsid w:val="00CB0696"/>
    <w:rsid w:val="00CB07F5"/>
    <w:rsid w:val="00CB0A7F"/>
    <w:rsid w:val="00CB0D1B"/>
    <w:rsid w:val="00CB0DEA"/>
    <w:rsid w:val="00CB0FE0"/>
    <w:rsid w:val="00CB13F3"/>
    <w:rsid w:val="00CB1499"/>
    <w:rsid w:val="00CB1ADB"/>
    <w:rsid w:val="00CB1B74"/>
    <w:rsid w:val="00CB215B"/>
    <w:rsid w:val="00CB240C"/>
    <w:rsid w:val="00CB251B"/>
    <w:rsid w:val="00CB252F"/>
    <w:rsid w:val="00CB293E"/>
    <w:rsid w:val="00CB2BD2"/>
    <w:rsid w:val="00CB324C"/>
    <w:rsid w:val="00CB32BF"/>
    <w:rsid w:val="00CB3419"/>
    <w:rsid w:val="00CB37DF"/>
    <w:rsid w:val="00CB3B5E"/>
    <w:rsid w:val="00CB3C3D"/>
    <w:rsid w:val="00CB3D3C"/>
    <w:rsid w:val="00CB4106"/>
    <w:rsid w:val="00CB45DA"/>
    <w:rsid w:val="00CB4968"/>
    <w:rsid w:val="00CB4EFC"/>
    <w:rsid w:val="00CB52D0"/>
    <w:rsid w:val="00CB55F1"/>
    <w:rsid w:val="00CB598B"/>
    <w:rsid w:val="00CB5A29"/>
    <w:rsid w:val="00CB5C8D"/>
    <w:rsid w:val="00CB5E53"/>
    <w:rsid w:val="00CB6059"/>
    <w:rsid w:val="00CB618A"/>
    <w:rsid w:val="00CB6405"/>
    <w:rsid w:val="00CB6442"/>
    <w:rsid w:val="00CB6AF7"/>
    <w:rsid w:val="00CB6DCB"/>
    <w:rsid w:val="00CB6E0C"/>
    <w:rsid w:val="00CB7082"/>
    <w:rsid w:val="00CB71FD"/>
    <w:rsid w:val="00CB7501"/>
    <w:rsid w:val="00CB77A7"/>
    <w:rsid w:val="00CB7A1E"/>
    <w:rsid w:val="00CB7CB4"/>
    <w:rsid w:val="00CB7FB8"/>
    <w:rsid w:val="00CC00BC"/>
    <w:rsid w:val="00CC0347"/>
    <w:rsid w:val="00CC04C4"/>
    <w:rsid w:val="00CC05DD"/>
    <w:rsid w:val="00CC0AED"/>
    <w:rsid w:val="00CC0B89"/>
    <w:rsid w:val="00CC0B97"/>
    <w:rsid w:val="00CC0F63"/>
    <w:rsid w:val="00CC14E1"/>
    <w:rsid w:val="00CC1778"/>
    <w:rsid w:val="00CC17C2"/>
    <w:rsid w:val="00CC1A2D"/>
    <w:rsid w:val="00CC1A8E"/>
    <w:rsid w:val="00CC1D8E"/>
    <w:rsid w:val="00CC1E3E"/>
    <w:rsid w:val="00CC2A2E"/>
    <w:rsid w:val="00CC2BF9"/>
    <w:rsid w:val="00CC2CFE"/>
    <w:rsid w:val="00CC2D35"/>
    <w:rsid w:val="00CC2DC9"/>
    <w:rsid w:val="00CC307D"/>
    <w:rsid w:val="00CC30F3"/>
    <w:rsid w:val="00CC340B"/>
    <w:rsid w:val="00CC347F"/>
    <w:rsid w:val="00CC369F"/>
    <w:rsid w:val="00CC3D0C"/>
    <w:rsid w:val="00CC3D1E"/>
    <w:rsid w:val="00CC4459"/>
    <w:rsid w:val="00CC44C6"/>
    <w:rsid w:val="00CC4641"/>
    <w:rsid w:val="00CC4A3D"/>
    <w:rsid w:val="00CC4AE9"/>
    <w:rsid w:val="00CC4B40"/>
    <w:rsid w:val="00CC4CAC"/>
    <w:rsid w:val="00CC4EA1"/>
    <w:rsid w:val="00CC5021"/>
    <w:rsid w:val="00CC5481"/>
    <w:rsid w:val="00CC54D4"/>
    <w:rsid w:val="00CC5626"/>
    <w:rsid w:val="00CC5A1A"/>
    <w:rsid w:val="00CC5B4B"/>
    <w:rsid w:val="00CC5C14"/>
    <w:rsid w:val="00CC5D0D"/>
    <w:rsid w:val="00CC5E3A"/>
    <w:rsid w:val="00CC63EA"/>
    <w:rsid w:val="00CC64AD"/>
    <w:rsid w:val="00CC64C3"/>
    <w:rsid w:val="00CC67D5"/>
    <w:rsid w:val="00CC6906"/>
    <w:rsid w:val="00CC6C63"/>
    <w:rsid w:val="00CC6F79"/>
    <w:rsid w:val="00CC6FBB"/>
    <w:rsid w:val="00CC7025"/>
    <w:rsid w:val="00CC72AC"/>
    <w:rsid w:val="00CC735A"/>
    <w:rsid w:val="00CC76DE"/>
    <w:rsid w:val="00CC77C7"/>
    <w:rsid w:val="00CC7939"/>
    <w:rsid w:val="00CC7A5B"/>
    <w:rsid w:val="00CD01CA"/>
    <w:rsid w:val="00CD0512"/>
    <w:rsid w:val="00CD0830"/>
    <w:rsid w:val="00CD09C6"/>
    <w:rsid w:val="00CD0C0D"/>
    <w:rsid w:val="00CD0E3F"/>
    <w:rsid w:val="00CD1388"/>
    <w:rsid w:val="00CD204C"/>
    <w:rsid w:val="00CD2131"/>
    <w:rsid w:val="00CD2931"/>
    <w:rsid w:val="00CD2BBF"/>
    <w:rsid w:val="00CD2BDB"/>
    <w:rsid w:val="00CD2C7A"/>
    <w:rsid w:val="00CD2CCC"/>
    <w:rsid w:val="00CD2FDE"/>
    <w:rsid w:val="00CD3311"/>
    <w:rsid w:val="00CD33ED"/>
    <w:rsid w:val="00CD3592"/>
    <w:rsid w:val="00CD366A"/>
    <w:rsid w:val="00CD373D"/>
    <w:rsid w:val="00CD383F"/>
    <w:rsid w:val="00CD38AF"/>
    <w:rsid w:val="00CD3F94"/>
    <w:rsid w:val="00CD3FB2"/>
    <w:rsid w:val="00CD41B0"/>
    <w:rsid w:val="00CD4204"/>
    <w:rsid w:val="00CD425D"/>
    <w:rsid w:val="00CD4318"/>
    <w:rsid w:val="00CD466D"/>
    <w:rsid w:val="00CD4809"/>
    <w:rsid w:val="00CD5143"/>
    <w:rsid w:val="00CD5181"/>
    <w:rsid w:val="00CD53B7"/>
    <w:rsid w:val="00CD57B8"/>
    <w:rsid w:val="00CD5CED"/>
    <w:rsid w:val="00CD66CB"/>
    <w:rsid w:val="00CD6751"/>
    <w:rsid w:val="00CD6883"/>
    <w:rsid w:val="00CD701F"/>
    <w:rsid w:val="00CD7150"/>
    <w:rsid w:val="00CD72E7"/>
    <w:rsid w:val="00CD75B7"/>
    <w:rsid w:val="00CD7650"/>
    <w:rsid w:val="00CD7704"/>
    <w:rsid w:val="00CD78AC"/>
    <w:rsid w:val="00CD78C1"/>
    <w:rsid w:val="00CD7D55"/>
    <w:rsid w:val="00CE0169"/>
    <w:rsid w:val="00CE01C9"/>
    <w:rsid w:val="00CE0418"/>
    <w:rsid w:val="00CE0496"/>
    <w:rsid w:val="00CE08BE"/>
    <w:rsid w:val="00CE0957"/>
    <w:rsid w:val="00CE0C4A"/>
    <w:rsid w:val="00CE0DA3"/>
    <w:rsid w:val="00CE0E3E"/>
    <w:rsid w:val="00CE1000"/>
    <w:rsid w:val="00CE1139"/>
    <w:rsid w:val="00CE12EA"/>
    <w:rsid w:val="00CE1415"/>
    <w:rsid w:val="00CE1635"/>
    <w:rsid w:val="00CE1866"/>
    <w:rsid w:val="00CE1B87"/>
    <w:rsid w:val="00CE2195"/>
    <w:rsid w:val="00CE221B"/>
    <w:rsid w:val="00CE2473"/>
    <w:rsid w:val="00CE2A49"/>
    <w:rsid w:val="00CE324D"/>
    <w:rsid w:val="00CE3388"/>
    <w:rsid w:val="00CE3969"/>
    <w:rsid w:val="00CE3A55"/>
    <w:rsid w:val="00CE4E15"/>
    <w:rsid w:val="00CE4F0D"/>
    <w:rsid w:val="00CE508F"/>
    <w:rsid w:val="00CE5165"/>
    <w:rsid w:val="00CE5478"/>
    <w:rsid w:val="00CE56E2"/>
    <w:rsid w:val="00CE5BB2"/>
    <w:rsid w:val="00CE5BDA"/>
    <w:rsid w:val="00CE5D74"/>
    <w:rsid w:val="00CE5FAA"/>
    <w:rsid w:val="00CE60FD"/>
    <w:rsid w:val="00CE63F8"/>
    <w:rsid w:val="00CE6405"/>
    <w:rsid w:val="00CE64CE"/>
    <w:rsid w:val="00CE64D0"/>
    <w:rsid w:val="00CE6EF7"/>
    <w:rsid w:val="00CE6F6D"/>
    <w:rsid w:val="00CE740C"/>
    <w:rsid w:val="00CE757D"/>
    <w:rsid w:val="00CE7634"/>
    <w:rsid w:val="00CE76A5"/>
    <w:rsid w:val="00CE76FC"/>
    <w:rsid w:val="00CE7739"/>
    <w:rsid w:val="00CF01EA"/>
    <w:rsid w:val="00CF03AE"/>
    <w:rsid w:val="00CF06EC"/>
    <w:rsid w:val="00CF0B39"/>
    <w:rsid w:val="00CF0E34"/>
    <w:rsid w:val="00CF0E5E"/>
    <w:rsid w:val="00CF11B3"/>
    <w:rsid w:val="00CF1668"/>
    <w:rsid w:val="00CF175C"/>
    <w:rsid w:val="00CF1FBF"/>
    <w:rsid w:val="00CF2152"/>
    <w:rsid w:val="00CF2B15"/>
    <w:rsid w:val="00CF30B8"/>
    <w:rsid w:val="00CF32C6"/>
    <w:rsid w:val="00CF3364"/>
    <w:rsid w:val="00CF33F6"/>
    <w:rsid w:val="00CF34D6"/>
    <w:rsid w:val="00CF38BE"/>
    <w:rsid w:val="00CF399E"/>
    <w:rsid w:val="00CF3AE7"/>
    <w:rsid w:val="00CF3B02"/>
    <w:rsid w:val="00CF3BEF"/>
    <w:rsid w:val="00CF3CF6"/>
    <w:rsid w:val="00CF434B"/>
    <w:rsid w:val="00CF4410"/>
    <w:rsid w:val="00CF4493"/>
    <w:rsid w:val="00CF4C3A"/>
    <w:rsid w:val="00CF4F3A"/>
    <w:rsid w:val="00CF5095"/>
    <w:rsid w:val="00CF531D"/>
    <w:rsid w:val="00CF53F4"/>
    <w:rsid w:val="00CF562F"/>
    <w:rsid w:val="00CF58E2"/>
    <w:rsid w:val="00CF5B88"/>
    <w:rsid w:val="00CF5BE4"/>
    <w:rsid w:val="00CF5DFB"/>
    <w:rsid w:val="00CF5E41"/>
    <w:rsid w:val="00CF6015"/>
    <w:rsid w:val="00CF61C9"/>
    <w:rsid w:val="00CF62A3"/>
    <w:rsid w:val="00CF631D"/>
    <w:rsid w:val="00CF6A72"/>
    <w:rsid w:val="00CF6BDE"/>
    <w:rsid w:val="00CF71AC"/>
    <w:rsid w:val="00CF721F"/>
    <w:rsid w:val="00CF726C"/>
    <w:rsid w:val="00CF7484"/>
    <w:rsid w:val="00CF75E9"/>
    <w:rsid w:val="00CF7809"/>
    <w:rsid w:val="00CF7F09"/>
    <w:rsid w:val="00D0041E"/>
    <w:rsid w:val="00D00531"/>
    <w:rsid w:val="00D0090F"/>
    <w:rsid w:val="00D00B74"/>
    <w:rsid w:val="00D00DA2"/>
    <w:rsid w:val="00D00FB0"/>
    <w:rsid w:val="00D01081"/>
    <w:rsid w:val="00D01184"/>
    <w:rsid w:val="00D01433"/>
    <w:rsid w:val="00D01970"/>
    <w:rsid w:val="00D019F1"/>
    <w:rsid w:val="00D01B26"/>
    <w:rsid w:val="00D02164"/>
    <w:rsid w:val="00D021D7"/>
    <w:rsid w:val="00D02310"/>
    <w:rsid w:val="00D0235B"/>
    <w:rsid w:val="00D02376"/>
    <w:rsid w:val="00D02383"/>
    <w:rsid w:val="00D027E3"/>
    <w:rsid w:val="00D02A9B"/>
    <w:rsid w:val="00D02F56"/>
    <w:rsid w:val="00D031F5"/>
    <w:rsid w:val="00D0326D"/>
    <w:rsid w:val="00D032E1"/>
    <w:rsid w:val="00D035A3"/>
    <w:rsid w:val="00D035B3"/>
    <w:rsid w:val="00D0377E"/>
    <w:rsid w:val="00D03894"/>
    <w:rsid w:val="00D03D7E"/>
    <w:rsid w:val="00D04018"/>
    <w:rsid w:val="00D0426A"/>
    <w:rsid w:val="00D045E2"/>
    <w:rsid w:val="00D04903"/>
    <w:rsid w:val="00D04EA4"/>
    <w:rsid w:val="00D04EF7"/>
    <w:rsid w:val="00D04F29"/>
    <w:rsid w:val="00D04FA2"/>
    <w:rsid w:val="00D0504F"/>
    <w:rsid w:val="00D0529E"/>
    <w:rsid w:val="00D05AF3"/>
    <w:rsid w:val="00D05CD6"/>
    <w:rsid w:val="00D0614A"/>
    <w:rsid w:val="00D0636B"/>
    <w:rsid w:val="00D0649F"/>
    <w:rsid w:val="00D06754"/>
    <w:rsid w:val="00D0693E"/>
    <w:rsid w:val="00D06CD2"/>
    <w:rsid w:val="00D06EBD"/>
    <w:rsid w:val="00D06F7A"/>
    <w:rsid w:val="00D07049"/>
    <w:rsid w:val="00D075CE"/>
    <w:rsid w:val="00D100A3"/>
    <w:rsid w:val="00D1024B"/>
    <w:rsid w:val="00D1026E"/>
    <w:rsid w:val="00D1029B"/>
    <w:rsid w:val="00D1031B"/>
    <w:rsid w:val="00D1060F"/>
    <w:rsid w:val="00D107C3"/>
    <w:rsid w:val="00D10CF7"/>
    <w:rsid w:val="00D116DA"/>
    <w:rsid w:val="00D11A6D"/>
    <w:rsid w:val="00D11B5B"/>
    <w:rsid w:val="00D11DAE"/>
    <w:rsid w:val="00D12128"/>
    <w:rsid w:val="00D12166"/>
    <w:rsid w:val="00D123D9"/>
    <w:rsid w:val="00D129AA"/>
    <w:rsid w:val="00D12AC2"/>
    <w:rsid w:val="00D12BEC"/>
    <w:rsid w:val="00D1338D"/>
    <w:rsid w:val="00D135AA"/>
    <w:rsid w:val="00D13659"/>
    <w:rsid w:val="00D13B0F"/>
    <w:rsid w:val="00D13BD9"/>
    <w:rsid w:val="00D14701"/>
    <w:rsid w:val="00D14843"/>
    <w:rsid w:val="00D148DF"/>
    <w:rsid w:val="00D14D1F"/>
    <w:rsid w:val="00D14E88"/>
    <w:rsid w:val="00D151AB"/>
    <w:rsid w:val="00D151C0"/>
    <w:rsid w:val="00D1620B"/>
    <w:rsid w:val="00D162D1"/>
    <w:rsid w:val="00D1644E"/>
    <w:rsid w:val="00D16684"/>
    <w:rsid w:val="00D1668E"/>
    <w:rsid w:val="00D16D71"/>
    <w:rsid w:val="00D1713B"/>
    <w:rsid w:val="00D17568"/>
    <w:rsid w:val="00D17571"/>
    <w:rsid w:val="00D17628"/>
    <w:rsid w:val="00D17885"/>
    <w:rsid w:val="00D17A79"/>
    <w:rsid w:val="00D17FB3"/>
    <w:rsid w:val="00D2004F"/>
    <w:rsid w:val="00D20129"/>
    <w:rsid w:val="00D202E4"/>
    <w:rsid w:val="00D20461"/>
    <w:rsid w:val="00D204D8"/>
    <w:rsid w:val="00D205DA"/>
    <w:rsid w:val="00D20C65"/>
    <w:rsid w:val="00D20E9C"/>
    <w:rsid w:val="00D2118D"/>
    <w:rsid w:val="00D2119C"/>
    <w:rsid w:val="00D212B9"/>
    <w:rsid w:val="00D215B7"/>
    <w:rsid w:val="00D21C96"/>
    <w:rsid w:val="00D21F81"/>
    <w:rsid w:val="00D22563"/>
    <w:rsid w:val="00D2267A"/>
    <w:rsid w:val="00D2273B"/>
    <w:rsid w:val="00D2287C"/>
    <w:rsid w:val="00D22949"/>
    <w:rsid w:val="00D22A31"/>
    <w:rsid w:val="00D22BE8"/>
    <w:rsid w:val="00D22C51"/>
    <w:rsid w:val="00D2310C"/>
    <w:rsid w:val="00D23397"/>
    <w:rsid w:val="00D234A9"/>
    <w:rsid w:val="00D23749"/>
    <w:rsid w:val="00D23A3D"/>
    <w:rsid w:val="00D23AAA"/>
    <w:rsid w:val="00D23DD1"/>
    <w:rsid w:val="00D23FAA"/>
    <w:rsid w:val="00D2416B"/>
    <w:rsid w:val="00D2441B"/>
    <w:rsid w:val="00D24580"/>
    <w:rsid w:val="00D24969"/>
    <w:rsid w:val="00D24C94"/>
    <w:rsid w:val="00D251A8"/>
    <w:rsid w:val="00D2528C"/>
    <w:rsid w:val="00D2535F"/>
    <w:rsid w:val="00D253B0"/>
    <w:rsid w:val="00D25623"/>
    <w:rsid w:val="00D25B8C"/>
    <w:rsid w:val="00D25C2D"/>
    <w:rsid w:val="00D2636B"/>
    <w:rsid w:val="00D264BD"/>
    <w:rsid w:val="00D266F8"/>
    <w:rsid w:val="00D26740"/>
    <w:rsid w:val="00D268EC"/>
    <w:rsid w:val="00D26BCC"/>
    <w:rsid w:val="00D26BD7"/>
    <w:rsid w:val="00D26F6D"/>
    <w:rsid w:val="00D26FF0"/>
    <w:rsid w:val="00D27027"/>
    <w:rsid w:val="00D2703A"/>
    <w:rsid w:val="00D27502"/>
    <w:rsid w:val="00D27EAA"/>
    <w:rsid w:val="00D30557"/>
    <w:rsid w:val="00D30E87"/>
    <w:rsid w:val="00D30EE5"/>
    <w:rsid w:val="00D30FA8"/>
    <w:rsid w:val="00D31093"/>
    <w:rsid w:val="00D31475"/>
    <w:rsid w:val="00D3179A"/>
    <w:rsid w:val="00D31C68"/>
    <w:rsid w:val="00D31F76"/>
    <w:rsid w:val="00D32114"/>
    <w:rsid w:val="00D32686"/>
    <w:rsid w:val="00D329B2"/>
    <w:rsid w:val="00D32AB3"/>
    <w:rsid w:val="00D32B1C"/>
    <w:rsid w:val="00D32B38"/>
    <w:rsid w:val="00D32BFE"/>
    <w:rsid w:val="00D32CF5"/>
    <w:rsid w:val="00D32EDC"/>
    <w:rsid w:val="00D33044"/>
    <w:rsid w:val="00D334FB"/>
    <w:rsid w:val="00D33515"/>
    <w:rsid w:val="00D3383A"/>
    <w:rsid w:val="00D33846"/>
    <w:rsid w:val="00D3393E"/>
    <w:rsid w:val="00D33A40"/>
    <w:rsid w:val="00D33E30"/>
    <w:rsid w:val="00D34099"/>
    <w:rsid w:val="00D341DF"/>
    <w:rsid w:val="00D34C59"/>
    <w:rsid w:val="00D34DC5"/>
    <w:rsid w:val="00D34DC8"/>
    <w:rsid w:val="00D34E00"/>
    <w:rsid w:val="00D35215"/>
    <w:rsid w:val="00D35263"/>
    <w:rsid w:val="00D356E6"/>
    <w:rsid w:val="00D35B97"/>
    <w:rsid w:val="00D35C56"/>
    <w:rsid w:val="00D35CAA"/>
    <w:rsid w:val="00D36015"/>
    <w:rsid w:val="00D36199"/>
    <w:rsid w:val="00D362AF"/>
    <w:rsid w:val="00D362D9"/>
    <w:rsid w:val="00D3636E"/>
    <w:rsid w:val="00D3670C"/>
    <w:rsid w:val="00D36A0D"/>
    <w:rsid w:val="00D36A12"/>
    <w:rsid w:val="00D36C2A"/>
    <w:rsid w:val="00D36C5E"/>
    <w:rsid w:val="00D36FD1"/>
    <w:rsid w:val="00D36FE1"/>
    <w:rsid w:val="00D37197"/>
    <w:rsid w:val="00D37335"/>
    <w:rsid w:val="00D3745B"/>
    <w:rsid w:val="00D377C2"/>
    <w:rsid w:val="00D37C3E"/>
    <w:rsid w:val="00D37D54"/>
    <w:rsid w:val="00D37F8B"/>
    <w:rsid w:val="00D4000B"/>
    <w:rsid w:val="00D4041D"/>
    <w:rsid w:val="00D40525"/>
    <w:rsid w:val="00D40710"/>
    <w:rsid w:val="00D4095B"/>
    <w:rsid w:val="00D4099D"/>
    <w:rsid w:val="00D40BB6"/>
    <w:rsid w:val="00D411BA"/>
    <w:rsid w:val="00D412A3"/>
    <w:rsid w:val="00D41553"/>
    <w:rsid w:val="00D417EC"/>
    <w:rsid w:val="00D41F30"/>
    <w:rsid w:val="00D42267"/>
    <w:rsid w:val="00D422AA"/>
    <w:rsid w:val="00D42AFC"/>
    <w:rsid w:val="00D43426"/>
    <w:rsid w:val="00D4351F"/>
    <w:rsid w:val="00D43A6D"/>
    <w:rsid w:val="00D43C9F"/>
    <w:rsid w:val="00D43D5D"/>
    <w:rsid w:val="00D44265"/>
    <w:rsid w:val="00D44486"/>
    <w:rsid w:val="00D44536"/>
    <w:rsid w:val="00D447E6"/>
    <w:rsid w:val="00D44945"/>
    <w:rsid w:val="00D44958"/>
    <w:rsid w:val="00D44ABD"/>
    <w:rsid w:val="00D44ADD"/>
    <w:rsid w:val="00D44BBD"/>
    <w:rsid w:val="00D44D2F"/>
    <w:rsid w:val="00D44FB5"/>
    <w:rsid w:val="00D452AF"/>
    <w:rsid w:val="00D4534A"/>
    <w:rsid w:val="00D456B3"/>
    <w:rsid w:val="00D456D9"/>
    <w:rsid w:val="00D46018"/>
    <w:rsid w:val="00D46107"/>
    <w:rsid w:val="00D46357"/>
    <w:rsid w:val="00D46592"/>
    <w:rsid w:val="00D467E5"/>
    <w:rsid w:val="00D46919"/>
    <w:rsid w:val="00D46BA0"/>
    <w:rsid w:val="00D472DD"/>
    <w:rsid w:val="00D4737B"/>
    <w:rsid w:val="00D475AE"/>
    <w:rsid w:val="00D47866"/>
    <w:rsid w:val="00D47A11"/>
    <w:rsid w:val="00D47B3D"/>
    <w:rsid w:val="00D47B97"/>
    <w:rsid w:val="00D47DE0"/>
    <w:rsid w:val="00D5008C"/>
    <w:rsid w:val="00D500F1"/>
    <w:rsid w:val="00D501F5"/>
    <w:rsid w:val="00D50401"/>
    <w:rsid w:val="00D50B0E"/>
    <w:rsid w:val="00D50B2A"/>
    <w:rsid w:val="00D51172"/>
    <w:rsid w:val="00D51197"/>
    <w:rsid w:val="00D514B8"/>
    <w:rsid w:val="00D51620"/>
    <w:rsid w:val="00D51916"/>
    <w:rsid w:val="00D51BA9"/>
    <w:rsid w:val="00D51EF1"/>
    <w:rsid w:val="00D52302"/>
    <w:rsid w:val="00D527F1"/>
    <w:rsid w:val="00D52A21"/>
    <w:rsid w:val="00D52F97"/>
    <w:rsid w:val="00D52FED"/>
    <w:rsid w:val="00D534D6"/>
    <w:rsid w:val="00D535BC"/>
    <w:rsid w:val="00D53BDE"/>
    <w:rsid w:val="00D53C24"/>
    <w:rsid w:val="00D53CDA"/>
    <w:rsid w:val="00D53DB5"/>
    <w:rsid w:val="00D53DE2"/>
    <w:rsid w:val="00D53F11"/>
    <w:rsid w:val="00D54038"/>
    <w:rsid w:val="00D54301"/>
    <w:rsid w:val="00D547D7"/>
    <w:rsid w:val="00D5497E"/>
    <w:rsid w:val="00D54A68"/>
    <w:rsid w:val="00D54CFB"/>
    <w:rsid w:val="00D54E38"/>
    <w:rsid w:val="00D553C8"/>
    <w:rsid w:val="00D553DE"/>
    <w:rsid w:val="00D55B06"/>
    <w:rsid w:val="00D5620C"/>
    <w:rsid w:val="00D56243"/>
    <w:rsid w:val="00D56589"/>
    <w:rsid w:val="00D56602"/>
    <w:rsid w:val="00D56625"/>
    <w:rsid w:val="00D56680"/>
    <w:rsid w:val="00D56729"/>
    <w:rsid w:val="00D56D61"/>
    <w:rsid w:val="00D573F5"/>
    <w:rsid w:val="00D57F4B"/>
    <w:rsid w:val="00D601B6"/>
    <w:rsid w:val="00D60704"/>
    <w:rsid w:val="00D608D8"/>
    <w:rsid w:val="00D609B7"/>
    <w:rsid w:val="00D60CA5"/>
    <w:rsid w:val="00D61316"/>
    <w:rsid w:val="00D61346"/>
    <w:rsid w:val="00D61965"/>
    <w:rsid w:val="00D61BBB"/>
    <w:rsid w:val="00D61C19"/>
    <w:rsid w:val="00D61F24"/>
    <w:rsid w:val="00D61F39"/>
    <w:rsid w:val="00D62103"/>
    <w:rsid w:val="00D623E1"/>
    <w:rsid w:val="00D6279F"/>
    <w:rsid w:val="00D62947"/>
    <w:rsid w:val="00D62B21"/>
    <w:rsid w:val="00D62BD5"/>
    <w:rsid w:val="00D62C34"/>
    <w:rsid w:val="00D63387"/>
    <w:rsid w:val="00D6358F"/>
    <w:rsid w:val="00D63600"/>
    <w:rsid w:val="00D63750"/>
    <w:rsid w:val="00D63916"/>
    <w:rsid w:val="00D63A69"/>
    <w:rsid w:val="00D63BA4"/>
    <w:rsid w:val="00D63BAF"/>
    <w:rsid w:val="00D63C7A"/>
    <w:rsid w:val="00D63ED8"/>
    <w:rsid w:val="00D64150"/>
    <w:rsid w:val="00D64626"/>
    <w:rsid w:val="00D6499F"/>
    <w:rsid w:val="00D6527C"/>
    <w:rsid w:val="00D652B4"/>
    <w:rsid w:val="00D65304"/>
    <w:rsid w:val="00D65384"/>
    <w:rsid w:val="00D65826"/>
    <w:rsid w:val="00D658BA"/>
    <w:rsid w:val="00D6633D"/>
    <w:rsid w:val="00D6645E"/>
    <w:rsid w:val="00D664B7"/>
    <w:rsid w:val="00D66ADC"/>
    <w:rsid w:val="00D66FE7"/>
    <w:rsid w:val="00D674F5"/>
    <w:rsid w:val="00D70130"/>
    <w:rsid w:val="00D703D9"/>
    <w:rsid w:val="00D70600"/>
    <w:rsid w:val="00D70639"/>
    <w:rsid w:val="00D70744"/>
    <w:rsid w:val="00D709FA"/>
    <w:rsid w:val="00D70B10"/>
    <w:rsid w:val="00D70B29"/>
    <w:rsid w:val="00D70CF4"/>
    <w:rsid w:val="00D70F20"/>
    <w:rsid w:val="00D71318"/>
    <w:rsid w:val="00D71333"/>
    <w:rsid w:val="00D71342"/>
    <w:rsid w:val="00D714C7"/>
    <w:rsid w:val="00D717F9"/>
    <w:rsid w:val="00D71928"/>
    <w:rsid w:val="00D719C1"/>
    <w:rsid w:val="00D71AFD"/>
    <w:rsid w:val="00D71E90"/>
    <w:rsid w:val="00D71EA6"/>
    <w:rsid w:val="00D724DC"/>
    <w:rsid w:val="00D725E7"/>
    <w:rsid w:val="00D72722"/>
    <w:rsid w:val="00D7274D"/>
    <w:rsid w:val="00D727B6"/>
    <w:rsid w:val="00D72926"/>
    <w:rsid w:val="00D72ACB"/>
    <w:rsid w:val="00D72CF1"/>
    <w:rsid w:val="00D72E38"/>
    <w:rsid w:val="00D72ED8"/>
    <w:rsid w:val="00D73333"/>
    <w:rsid w:val="00D7344B"/>
    <w:rsid w:val="00D73706"/>
    <w:rsid w:val="00D737B6"/>
    <w:rsid w:val="00D73D91"/>
    <w:rsid w:val="00D73F96"/>
    <w:rsid w:val="00D744B9"/>
    <w:rsid w:val="00D744F3"/>
    <w:rsid w:val="00D74605"/>
    <w:rsid w:val="00D74959"/>
    <w:rsid w:val="00D749FA"/>
    <w:rsid w:val="00D74E02"/>
    <w:rsid w:val="00D74E5E"/>
    <w:rsid w:val="00D75043"/>
    <w:rsid w:val="00D75158"/>
    <w:rsid w:val="00D751F6"/>
    <w:rsid w:val="00D75417"/>
    <w:rsid w:val="00D75627"/>
    <w:rsid w:val="00D758B2"/>
    <w:rsid w:val="00D75E01"/>
    <w:rsid w:val="00D76304"/>
    <w:rsid w:val="00D7652E"/>
    <w:rsid w:val="00D76792"/>
    <w:rsid w:val="00D76A4D"/>
    <w:rsid w:val="00D76A73"/>
    <w:rsid w:val="00D76DBB"/>
    <w:rsid w:val="00D77277"/>
    <w:rsid w:val="00D77537"/>
    <w:rsid w:val="00D77598"/>
    <w:rsid w:val="00D775CB"/>
    <w:rsid w:val="00D778EB"/>
    <w:rsid w:val="00D77DE5"/>
    <w:rsid w:val="00D77E23"/>
    <w:rsid w:val="00D77F4B"/>
    <w:rsid w:val="00D801E1"/>
    <w:rsid w:val="00D802E2"/>
    <w:rsid w:val="00D8047B"/>
    <w:rsid w:val="00D80655"/>
    <w:rsid w:val="00D80987"/>
    <w:rsid w:val="00D811B7"/>
    <w:rsid w:val="00D81400"/>
    <w:rsid w:val="00D815CE"/>
    <w:rsid w:val="00D816A3"/>
    <w:rsid w:val="00D81B9B"/>
    <w:rsid w:val="00D81BFF"/>
    <w:rsid w:val="00D8204E"/>
    <w:rsid w:val="00D8261C"/>
    <w:rsid w:val="00D82679"/>
    <w:rsid w:val="00D826A8"/>
    <w:rsid w:val="00D82A31"/>
    <w:rsid w:val="00D82AEC"/>
    <w:rsid w:val="00D82B65"/>
    <w:rsid w:val="00D82D6F"/>
    <w:rsid w:val="00D831D3"/>
    <w:rsid w:val="00D8325B"/>
    <w:rsid w:val="00D83723"/>
    <w:rsid w:val="00D839C5"/>
    <w:rsid w:val="00D83B57"/>
    <w:rsid w:val="00D83C05"/>
    <w:rsid w:val="00D83C2E"/>
    <w:rsid w:val="00D83CB7"/>
    <w:rsid w:val="00D83DD4"/>
    <w:rsid w:val="00D83F81"/>
    <w:rsid w:val="00D840D3"/>
    <w:rsid w:val="00D841C7"/>
    <w:rsid w:val="00D846C6"/>
    <w:rsid w:val="00D846E5"/>
    <w:rsid w:val="00D8493E"/>
    <w:rsid w:val="00D84979"/>
    <w:rsid w:val="00D84F8E"/>
    <w:rsid w:val="00D851E1"/>
    <w:rsid w:val="00D85AF8"/>
    <w:rsid w:val="00D85E31"/>
    <w:rsid w:val="00D860E1"/>
    <w:rsid w:val="00D8616F"/>
    <w:rsid w:val="00D865AB"/>
    <w:rsid w:val="00D86859"/>
    <w:rsid w:val="00D87563"/>
    <w:rsid w:val="00D8757A"/>
    <w:rsid w:val="00D8760B"/>
    <w:rsid w:val="00D87F28"/>
    <w:rsid w:val="00D90484"/>
    <w:rsid w:val="00D906A3"/>
    <w:rsid w:val="00D90C5A"/>
    <w:rsid w:val="00D90D10"/>
    <w:rsid w:val="00D91071"/>
    <w:rsid w:val="00D91130"/>
    <w:rsid w:val="00D911EB"/>
    <w:rsid w:val="00D913BF"/>
    <w:rsid w:val="00D913C6"/>
    <w:rsid w:val="00D915B8"/>
    <w:rsid w:val="00D9188B"/>
    <w:rsid w:val="00D91A40"/>
    <w:rsid w:val="00D91A68"/>
    <w:rsid w:val="00D91D65"/>
    <w:rsid w:val="00D91EA8"/>
    <w:rsid w:val="00D927D2"/>
    <w:rsid w:val="00D92F8D"/>
    <w:rsid w:val="00D92FC9"/>
    <w:rsid w:val="00D92FEB"/>
    <w:rsid w:val="00D9302A"/>
    <w:rsid w:val="00D93295"/>
    <w:rsid w:val="00D93318"/>
    <w:rsid w:val="00D935D3"/>
    <w:rsid w:val="00D93C08"/>
    <w:rsid w:val="00D93CBC"/>
    <w:rsid w:val="00D93DCA"/>
    <w:rsid w:val="00D93E30"/>
    <w:rsid w:val="00D93F89"/>
    <w:rsid w:val="00D949ED"/>
    <w:rsid w:val="00D94ABC"/>
    <w:rsid w:val="00D94BBF"/>
    <w:rsid w:val="00D94C20"/>
    <w:rsid w:val="00D94D0D"/>
    <w:rsid w:val="00D94DD3"/>
    <w:rsid w:val="00D9505D"/>
    <w:rsid w:val="00D950A7"/>
    <w:rsid w:val="00D95668"/>
    <w:rsid w:val="00D957EC"/>
    <w:rsid w:val="00D95AD4"/>
    <w:rsid w:val="00D95EF3"/>
    <w:rsid w:val="00D95F17"/>
    <w:rsid w:val="00D95F8A"/>
    <w:rsid w:val="00D960FD"/>
    <w:rsid w:val="00D9658F"/>
    <w:rsid w:val="00D9672D"/>
    <w:rsid w:val="00D9693F"/>
    <w:rsid w:val="00D96D92"/>
    <w:rsid w:val="00D97021"/>
    <w:rsid w:val="00D972A3"/>
    <w:rsid w:val="00D97720"/>
    <w:rsid w:val="00D97B16"/>
    <w:rsid w:val="00D97EC6"/>
    <w:rsid w:val="00D97EDC"/>
    <w:rsid w:val="00D97FDF"/>
    <w:rsid w:val="00DA005C"/>
    <w:rsid w:val="00DA0A6F"/>
    <w:rsid w:val="00DA0A73"/>
    <w:rsid w:val="00DA0CFA"/>
    <w:rsid w:val="00DA0F38"/>
    <w:rsid w:val="00DA109C"/>
    <w:rsid w:val="00DA11AD"/>
    <w:rsid w:val="00DA14A7"/>
    <w:rsid w:val="00DA17E7"/>
    <w:rsid w:val="00DA1C1F"/>
    <w:rsid w:val="00DA1EF1"/>
    <w:rsid w:val="00DA2784"/>
    <w:rsid w:val="00DA2BA2"/>
    <w:rsid w:val="00DA2ED2"/>
    <w:rsid w:val="00DA3185"/>
    <w:rsid w:val="00DA324A"/>
    <w:rsid w:val="00DA376C"/>
    <w:rsid w:val="00DA37FD"/>
    <w:rsid w:val="00DA3808"/>
    <w:rsid w:val="00DA3965"/>
    <w:rsid w:val="00DA3CC7"/>
    <w:rsid w:val="00DA3CED"/>
    <w:rsid w:val="00DA3EAD"/>
    <w:rsid w:val="00DA47EF"/>
    <w:rsid w:val="00DA4FF4"/>
    <w:rsid w:val="00DA511C"/>
    <w:rsid w:val="00DA563A"/>
    <w:rsid w:val="00DA570B"/>
    <w:rsid w:val="00DA5733"/>
    <w:rsid w:val="00DA577E"/>
    <w:rsid w:val="00DA5B09"/>
    <w:rsid w:val="00DA5E34"/>
    <w:rsid w:val="00DA5FC8"/>
    <w:rsid w:val="00DA6211"/>
    <w:rsid w:val="00DA642A"/>
    <w:rsid w:val="00DA6491"/>
    <w:rsid w:val="00DA652A"/>
    <w:rsid w:val="00DA6863"/>
    <w:rsid w:val="00DA6A0E"/>
    <w:rsid w:val="00DA6F9E"/>
    <w:rsid w:val="00DA73FC"/>
    <w:rsid w:val="00DA74D7"/>
    <w:rsid w:val="00DA7672"/>
    <w:rsid w:val="00DA782A"/>
    <w:rsid w:val="00DA7948"/>
    <w:rsid w:val="00DA7A22"/>
    <w:rsid w:val="00DA7D2E"/>
    <w:rsid w:val="00DA7F80"/>
    <w:rsid w:val="00DB0104"/>
    <w:rsid w:val="00DB0148"/>
    <w:rsid w:val="00DB01FD"/>
    <w:rsid w:val="00DB0306"/>
    <w:rsid w:val="00DB07AF"/>
    <w:rsid w:val="00DB0826"/>
    <w:rsid w:val="00DB0B69"/>
    <w:rsid w:val="00DB112F"/>
    <w:rsid w:val="00DB1259"/>
    <w:rsid w:val="00DB1721"/>
    <w:rsid w:val="00DB18BB"/>
    <w:rsid w:val="00DB1C28"/>
    <w:rsid w:val="00DB1C52"/>
    <w:rsid w:val="00DB1C9D"/>
    <w:rsid w:val="00DB1E14"/>
    <w:rsid w:val="00DB25E8"/>
    <w:rsid w:val="00DB25FD"/>
    <w:rsid w:val="00DB2761"/>
    <w:rsid w:val="00DB2D8B"/>
    <w:rsid w:val="00DB3261"/>
    <w:rsid w:val="00DB33AB"/>
    <w:rsid w:val="00DB3460"/>
    <w:rsid w:val="00DB3658"/>
    <w:rsid w:val="00DB3794"/>
    <w:rsid w:val="00DB38DA"/>
    <w:rsid w:val="00DB3B6B"/>
    <w:rsid w:val="00DB3C3B"/>
    <w:rsid w:val="00DB415C"/>
    <w:rsid w:val="00DB41E6"/>
    <w:rsid w:val="00DB4742"/>
    <w:rsid w:val="00DB48F2"/>
    <w:rsid w:val="00DB4917"/>
    <w:rsid w:val="00DB4966"/>
    <w:rsid w:val="00DB4A30"/>
    <w:rsid w:val="00DB5174"/>
    <w:rsid w:val="00DB533C"/>
    <w:rsid w:val="00DB581A"/>
    <w:rsid w:val="00DB5B42"/>
    <w:rsid w:val="00DB5C50"/>
    <w:rsid w:val="00DB5CB7"/>
    <w:rsid w:val="00DB5EA7"/>
    <w:rsid w:val="00DB5ED9"/>
    <w:rsid w:val="00DB651F"/>
    <w:rsid w:val="00DB675C"/>
    <w:rsid w:val="00DB6C48"/>
    <w:rsid w:val="00DB6D21"/>
    <w:rsid w:val="00DB6D56"/>
    <w:rsid w:val="00DB6DD9"/>
    <w:rsid w:val="00DB6F40"/>
    <w:rsid w:val="00DB7296"/>
    <w:rsid w:val="00DB7390"/>
    <w:rsid w:val="00DB7856"/>
    <w:rsid w:val="00DB79C6"/>
    <w:rsid w:val="00DB7BB4"/>
    <w:rsid w:val="00DB7CF7"/>
    <w:rsid w:val="00DB7DD9"/>
    <w:rsid w:val="00DC02FE"/>
    <w:rsid w:val="00DC05B5"/>
    <w:rsid w:val="00DC05E7"/>
    <w:rsid w:val="00DC088C"/>
    <w:rsid w:val="00DC0ABB"/>
    <w:rsid w:val="00DC0B3F"/>
    <w:rsid w:val="00DC0D54"/>
    <w:rsid w:val="00DC0FAD"/>
    <w:rsid w:val="00DC0FF1"/>
    <w:rsid w:val="00DC14BB"/>
    <w:rsid w:val="00DC1809"/>
    <w:rsid w:val="00DC1BAA"/>
    <w:rsid w:val="00DC209C"/>
    <w:rsid w:val="00DC222A"/>
    <w:rsid w:val="00DC2275"/>
    <w:rsid w:val="00DC2280"/>
    <w:rsid w:val="00DC2575"/>
    <w:rsid w:val="00DC268E"/>
    <w:rsid w:val="00DC27AA"/>
    <w:rsid w:val="00DC281A"/>
    <w:rsid w:val="00DC2AC3"/>
    <w:rsid w:val="00DC2B59"/>
    <w:rsid w:val="00DC2D91"/>
    <w:rsid w:val="00DC3273"/>
    <w:rsid w:val="00DC39D2"/>
    <w:rsid w:val="00DC3A9B"/>
    <w:rsid w:val="00DC3BE7"/>
    <w:rsid w:val="00DC4068"/>
    <w:rsid w:val="00DC45D4"/>
    <w:rsid w:val="00DC46CB"/>
    <w:rsid w:val="00DC4FF8"/>
    <w:rsid w:val="00DC520F"/>
    <w:rsid w:val="00DC53AF"/>
    <w:rsid w:val="00DC5507"/>
    <w:rsid w:val="00DC574A"/>
    <w:rsid w:val="00DC58C0"/>
    <w:rsid w:val="00DC598E"/>
    <w:rsid w:val="00DC5A1A"/>
    <w:rsid w:val="00DC5A90"/>
    <w:rsid w:val="00DC5C79"/>
    <w:rsid w:val="00DC5CE5"/>
    <w:rsid w:val="00DC6CC6"/>
    <w:rsid w:val="00DC7189"/>
    <w:rsid w:val="00DC7396"/>
    <w:rsid w:val="00DC73A5"/>
    <w:rsid w:val="00DC772E"/>
    <w:rsid w:val="00DC7806"/>
    <w:rsid w:val="00DC7BD4"/>
    <w:rsid w:val="00DC7C40"/>
    <w:rsid w:val="00DC7FD2"/>
    <w:rsid w:val="00DD0228"/>
    <w:rsid w:val="00DD0949"/>
    <w:rsid w:val="00DD0B81"/>
    <w:rsid w:val="00DD0BF4"/>
    <w:rsid w:val="00DD0D3C"/>
    <w:rsid w:val="00DD0F1C"/>
    <w:rsid w:val="00DD0F61"/>
    <w:rsid w:val="00DD1059"/>
    <w:rsid w:val="00DD11FA"/>
    <w:rsid w:val="00DD1277"/>
    <w:rsid w:val="00DD14C9"/>
    <w:rsid w:val="00DD1690"/>
    <w:rsid w:val="00DD1996"/>
    <w:rsid w:val="00DD19CB"/>
    <w:rsid w:val="00DD1B7B"/>
    <w:rsid w:val="00DD1CD4"/>
    <w:rsid w:val="00DD1E80"/>
    <w:rsid w:val="00DD2422"/>
    <w:rsid w:val="00DD27C1"/>
    <w:rsid w:val="00DD29ED"/>
    <w:rsid w:val="00DD2BB8"/>
    <w:rsid w:val="00DD2BDD"/>
    <w:rsid w:val="00DD2C13"/>
    <w:rsid w:val="00DD2CF4"/>
    <w:rsid w:val="00DD2F58"/>
    <w:rsid w:val="00DD301E"/>
    <w:rsid w:val="00DD317A"/>
    <w:rsid w:val="00DD3492"/>
    <w:rsid w:val="00DD35AC"/>
    <w:rsid w:val="00DD3638"/>
    <w:rsid w:val="00DD3B23"/>
    <w:rsid w:val="00DD41B4"/>
    <w:rsid w:val="00DD4231"/>
    <w:rsid w:val="00DD45C9"/>
    <w:rsid w:val="00DD4632"/>
    <w:rsid w:val="00DD4DAE"/>
    <w:rsid w:val="00DD5254"/>
    <w:rsid w:val="00DD52EC"/>
    <w:rsid w:val="00DD5616"/>
    <w:rsid w:val="00DD57D4"/>
    <w:rsid w:val="00DD592A"/>
    <w:rsid w:val="00DD59A7"/>
    <w:rsid w:val="00DD5AD1"/>
    <w:rsid w:val="00DD5B5C"/>
    <w:rsid w:val="00DD5F1A"/>
    <w:rsid w:val="00DD689F"/>
    <w:rsid w:val="00DD7059"/>
    <w:rsid w:val="00DD708D"/>
    <w:rsid w:val="00DD7265"/>
    <w:rsid w:val="00DD78F5"/>
    <w:rsid w:val="00DD7A55"/>
    <w:rsid w:val="00DD7B3F"/>
    <w:rsid w:val="00DD7CBA"/>
    <w:rsid w:val="00DD7D63"/>
    <w:rsid w:val="00DD7EB3"/>
    <w:rsid w:val="00DE06D3"/>
    <w:rsid w:val="00DE0750"/>
    <w:rsid w:val="00DE08DB"/>
    <w:rsid w:val="00DE0E96"/>
    <w:rsid w:val="00DE190F"/>
    <w:rsid w:val="00DE1AE3"/>
    <w:rsid w:val="00DE1AE4"/>
    <w:rsid w:val="00DE2020"/>
    <w:rsid w:val="00DE2450"/>
    <w:rsid w:val="00DE26BA"/>
    <w:rsid w:val="00DE284D"/>
    <w:rsid w:val="00DE294E"/>
    <w:rsid w:val="00DE295A"/>
    <w:rsid w:val="00DE2BC1"/>
    <w:rsid w:val="00DE33E9"/>
    <w:rsid w:val="00DE34BC"/>
    <w:rsid w:val="00DE35C3"/>
    <w:rsid w:val="00DE37B0"/>
    <w:rsid w:val="00DE38A1"/>
    <w:rsid w:val="00DE3D5C"/>
    <w:rsid w:val="00DE3FB3"/>
    <w:rsid w:val="00DE41F6"/>
    <w:rsid w:val="00DE44FC"/>
    <w:rsid w:val="00DE49B4"/>
    <w:rsid w:val="00DE49BD"/>
    <w:rsid w:val="00DE4D4E"/>
    <w:rsid w:val="00DE545C"/>
    <w:rsid w:val="00DE560F"/>
    <w:rsid w:val="00DE57C1"/>
    <w:rsid w:val="00DE58E2"/>
    <w:rsid w:val="00DE59BB"/>
    <w:rsid w:val="00DE5B2D"/>
    <w:rsid w:val="00DE6393"/>
    <w:rsid w:val="00DE64DB"/>
    <w:rsid w:val="00DE6527"/>
    <w:rsid w:val="00DE65C0"/>
    <w:rsid w:val="00DE6780"/>
    <w:rsid w:val="00DE6B45"/>
    <w:rsid w:val="00DE721A"/>
    <w:rsid w:val="00DE7446"/>
    <w:rsid w:val="00DE75F6"/>
    <w:rsid w:val="00DE7674"/>
    <w:rsid w:val="00DE7873"/>
    <w:rsid w:val="00DE7B42"/>
    <w:rsid w:val="00DE7C02"/>
    <w:rsid w:val="00DE7D97"/>
    <w:rsid w:val="00DE7DF3"/>
    <w:rsid w:val="00DE7F7D"/>
    <w:rsid w:val="00DF0434"/>
    <w:rsid w:val="00DF06D5"/>
    <w:rsid w:val="00DF081F"/>
    <w:rsid w:val="00DF0E39"/>
    <w:rsid w:val="00DF0F0E"/>
    <w:rsid w:val="00DF1224"/>
    <w:rsid w:val="00DF1290"/>
    <w:rsid w:val="00DF142B"/>
    <w:rsid w:val="00DF1616"/>
    <w:rsid w:val="00DF1A61"/>
    <w:rsid w:val="00DF1ADE"/>
    <w:rsid w:val="00DF1CB9"/>
    <w:rsid w:val="00DF23D6"/>
    <w:rsid w:val="00DF2E1A"/>
    <w:rsid w:val="00DF2E4A"/>
    <w:rsid w:val="00DF304C"/>
    <w:rsid w:val="00DF33D4"/>
    <w:rsid w:val="00DF3F45"/>
    <w:rsid w:val="00DF4376"/>
    <w:rsid w:val="00DF43E6"/>
    <w:rsid w:val="00DF48F9"/>
    <w:rsid w:val="00DF490E"/>
    <w:rsid w:val="00DF4E64"/>
    <w:rsid w:val="00DF502A"/>
    <w:rsid w:val="00DF5233"/>
    <w:rsid w:val="00DF56D6"/>
    <w:rsid w:val="00DF5720"/>
    <w:rsid w:val="00DF5881"/>
    <w:rsid w:val="00DF5A42"/>
    <w:rsid w:val="00DF5B80"/>
    <w:rsid w:val="00DF5CCA"/>
    <w:rsid w:val="00DF5D2B"/>
    <w:rsid w:val="00DF66C0"/>
    <w:rsid w:val="00DF67E1"/>
    <w:rsid w:val="00DF6F77"/>
    <w:rsid w:val="00DF74C4"/>
    <w:rsid w:val="00DF7648"/>
    <w:rsid w:val="00DF76D4"/>
    <w:rsid w:val="00DF7A13"/>
    <w:rsid w:val="00DF7BD7"/>
    <w:rsid w:val="00DF7CD9"/>
    <w:rsid w:val="00DF7EE6"/>
    <w:rsid w:val="00DF7FDD"/>
    <w:rsid w:val="00E0024A"/>
    <w:rsid w:val="00E008BA"/>
    <w:rsid w:val="00E009B9"/>
    <w:rsid w:val="00E00B07"/>
    <w:rsid w:val="00E00C87"/>
    <w:rsid w:val="00E00D41"/>
    <w:rsid w:val="00E00DE5"/>
    <w:rsid w:val="00E00EAB"/>
    <w:rsid w:val="00E0178B"/>
    <w:rsid w:val="00E019E4"/>
    <w:rsid w:val="00E01CFE"/>
    <w:rsid w:val="00E024BA"/>
    <w:rsid w:val="00E025DB"/>
    <w:rsid w:val="00E02672"/>
    <w:rsid w:val="00E026DD"/>
    <w:rsid w:val="00E02CB9"/>
    <w:rsid w:val="00E02D43"/>
    <w:rsid w:val="00E0310F"/>
    <w:rsid w:val="00E03450"/>
    <w:rsid w:val="00E036B8"/>
    <w:rsid w:val="00E03A8B"/>
    <w:rsid w:val="00E03B00"/>
    <w:rsid w:val="00E04075"/>
    <w:rsid w:val="00E042A8"/>
    <w:rsid w:val="00E0433C"/>
    <w:rsid w:val="00E04817"/>
    <w:rsid w:val="00E049A3"/>
    <w:rsid w:val="00E04CF7"/>
    <w:rsid w:val="00E04D5A"/>
    <w:rsid w:val="00E04EEF"/>
    <w:rsid w:val="00E0545C"/>
    <w:rsid w:val="00E05D62"/>
    <w:rsid w:val="00E05ED9"/>
    <w:rsid w:val="00E06125"/>
    <w:rsid w:val="00E06128"/>
    <w:rsid w:val="00E0659B"/>
    <w:rsid w:val="00E06898"/>
    <w:rsid w:val="00E06B00"/>
    <w:rsid w:val="00E06F86"/>
    <w:rsid w:val="00E07207"/>
    <w:rsid w:val="00E072D5"/>
    <w:rsid w:val="00E07319"/>
    <w:rsid w:val="00E077D5"/>
    <w:rsid w:val="00E078CD"/>
    <w:rsid w:val="00E079D0"/>
    <w:rsid w:val="00E07D02"/>
    <w:rsid w:val="00E07E31"/>
    <w:rsid w:val="00E07E3C"/>
    <w:rsid w:val="00E102E8"/>
    <w:rsid w:val="00E103BD"/>
    <w:rsid w:val="00E1078A"/>
    <w:rsid w:val="00E10D25"/>
    <w:rsid w:val="00E10D70"/>
    <w:rsid w:val="00E110CF"/>
    <w:rsid w:val="00E117B1"/>
    <w:rsid w:val="00E11996"/>
    <w:rsid w:val="00E11A08"/>
    <w:rsid w:val="00E11BD9"/>
    <w:rsid w:val="00E11D06"/>
    <w:rsid w:val="00E1205F"/>
    <w:rsid w:val="00E12180"/>
    <w:rsid w:val="00E122CD"/>
    <w:rsid w:val="00E122E1"/>
    <w:rsid w:val="00E123F7"/>
    <w:rsid w:val="00E12495"/>
    <w:rsid w:val="00E124F7"/>
    <w:rsid w:val="00E12668"/>
    <w:rsid w:val="00E1280E"/>
    <w:rsid w:val="00E128C4"/>
    <w:rsid w:val="00E129E0"/>
    <w:rsid w:val="00E12A61"/>
    <w:rsid w:val="00E12C13"/>
    <w:rsid w:val="00E12DDE"/>
    <w:rsid w:val="00E13081"/>
    <w:rsid w:val="00E13342"/>
    <w:rsid w:val="00E1360A"/>
    <w:rsid w:val="00E136FC"/>
    <w:rsid w:val="00E1385D"/>
    <w:rsid w:val="00E140E4"/>
    <w:rsid w:val="00E145EE"/>
    <w:rsid w:val="00E1465E"/>
    <w:rsid w:val="00E147BE"/>
    <w:rsid w:val="00E1483C"/>
    <w:rsid w:val="00E14F68"/>
    <w:rsid w:val="00E14F6C"/>
    <w:rsid w:val="00E1502C"/>
    <w:rsid w:val="00E1575E"/>
    <w:rsid w:val="00E158F1"/>
    <w:rsid w:val="00E15B3C"/>
    <w:rsid w:val="00E15C2C"/>
    <w:rsid w:val="00E15E2A"/>
    <w:rsid w:val="00E15FDE"/>
    <w:rsid w:val="00E16020"/>
    <w:rsid w:val="00E16177"/>
    <w:rsid w:val="00E16230"/>
    <w:rsid w:val="00E16506"/>
    <w:rsid w:val="00E16796"/>
    <w:rsid w:val="00E16798"/>
    <w:rsid w:val="00E16B0B"/>
    <w:rsid w:val="00E16BE7"/>
    <w:rsid w:val="00E16DB1"/>
    <w:rsid w:val="00E16F74"/>
    <w:rsid w:val="00E16FD3"/>
    <w:rsid w:val="00E17064"/>
    <w:rsid w:val="00E17124"/>
    <w:rsid w:val="00E17460"/>
    <w:rsid w:val="00E175AB"/>
    <w:rsid w:val="00E176D2"/>
    <w:rsid w:val="00E176F3"/>
    <w:rsid w:val="00E17848"/>
    <w:rsid w:val="00E17CB2"/>
    <w:rsid w:val="00E17CF4"/>
    <w:rsid w:val="00E17D1A"/>
    <w:rsid w:val="00E17F5E"/>
    <w:rsid w:val="00E17FC7"/>
    <w:rsid w:val="00E20097"/>
    <w:rsid w:val="00E2035E"/>
    <w:rsid w:val="00E20360"/>
    <w:rsid w:val="00E206B6"/>
    <w:rsid w:val="00E206BC"/>
    <w:rsid w:val="00E20CD6"/>
    <w:rsid w:val="00E210C0"/>
    <w:rsid w:val="00E2129A"/>
    <w:rsid w:val="00E2148E"/>
    <w:rsid w:val="00E216A8"/>
    <w:rsid w:val="00E2193A"/>
    <w:rsid w:val="00E21A60"/>
    <w:rsid w:val="00E21AB8"/>
    <w:rsid w:val="00E21C93"/>
    <w:rsid w:val="00E21D0F"/>
    <w:rsid w:val="00E21D8E"/>
    <w:rsid w:val="00E22531"/>
    <w:rsid w:val="00E22743"/>
    <w:rsid w:val="00E22797"/>
    <w:rsid w:val="00E22DAC"/>
    <w:rsid w:val="00E22F79"/>
    <w:rsid w:val="00E237D8"/>
    <w:rsid w:val="00E237E8"/>
    <w:rsid w:val="00E23800"/>
    <w:rsid w:val="00E23A7C"/>
    <w:rsid w:val="00E23DBC"/>
    <w:rsid w:val="00E23EC8"/>
    <w:rsid w:val="00E2428C"/>
    <w:rsid w:val="00E242F7"/>
    <w:rsid w:val="00E243E7"/>
    <w:rsid w:val="00E2455D"/>
    <w:rsid w:val="00E248A2"/>
    <w:rsid w:val="00E24A99"/>
    <w:rsid w:val="00E24E85"/>
    <w:rsid w:val="00E2519D"/>
    <w:rsid w:val="00E253C8"/>
    <w:rsid w:val="00E25921"/>
    <w:rsid w:val="00E25A61"/>
    <w:rsid w:val="00E25BEE"/>
    <w:rsid w:val="00E25CB7"/>
    <w:rsid w:val="00E25F73"/>
    <w:rsid w:val="00E26227"/>
    <w:rsid w:val="00E26489"/>
    <w:rsid w:val="00E26895"/>
    <w:rsid w:val="00E26C42"/>
    <w:rsid w:val="00E26D86"/>
    <w:rsid w:val="00E270F4"/>
    <w:rsid w:val="00E2723D"/>
    <w:rsid w:val="00E27500"/>
    <w:rsid w:val="00E27885"/>
    <w:rsid w:val="00E27C67"/>
    <w:rsid w:val="00E27F80"/>
    <w:rsid w:val="00E30109"/>
    <w:rsid w:val="00E301F8"/>
    <w:rsid w:val="00E302EB"/>
    <w:rsid w:val="00E30696"/>
    <w:rsid w:val="00E306F4"/>
    <w:rsid w:val="00E3078C"/>
    <w:rsid w:val="00E308E7"/>
    <w:rsid w:val="00E309EC"/>
    <w:rsid w:val="00E30F0E"/>
    <w:rsid w:val="00E31370"/>
    <w:rsid w:val="00E31459"/>
    <w:rsid w:val="00E317DC"/>
    <w:rsid w:val="00E31973"/>
    <w:rsid w:val="00E31C59"/>
    <w:rsid w:val="00E31D63"/>
    <w:rsid w:val="00E32186"/>
    <w:rsid w:val="00E32739"/>
    <w:rsid w:val="00E32BD3"/>
    <w:rsid w:val="00E32E47"/>
    <w:rsid w:val="00E334D7"/>
    <w:rsid w:val="00E3378C"/>
    <w:rsid w:val="00E33A66"/>
    <w:rsid w:val="00E33CA0"/>
    <w:rsid w:val="00E33CF2"/>
    <w:rsid w:val="00E33D08"/>
    <w:rsid w:val="00E34053"/>
    <w:rsid w:val="00E342D7"/>
    <w:rsid w:val="00E342D9"/>
    <w:rsid w:val="00E34369"/>
    <w:rsid w:val="00E343F1"/>
    <w:rsid w:val="00E34524"/>
    <w:rsid w:val="00E348C4"/>
    <w:rsid w:val="00E348EE"/>
    <w:rsid w:val="00E349A4"/>
    <w:rsid w:val="00E349BD"/>
    <w:rsid w:val="00E34A24"/>
    <w:rsid w:val="00E34A6E"/>
    <w:rsid w:val="00E34AE3"/>
    <w:rsid w:val="00E350E6"/>
    <w:rsid w:val="00E35138"/>
    <w:rsid w:val="00E3586E"/>
    <w:rsid w:val="00E35AAF"/>
    <w:rsid w:val="00E35BF8"/>
    <w:rsid w:val="00E35D01"/>
    <w:rsid w:val="00E3658C"/>
    <w:rsid w:val="00E36682"/>
    <w:rsid w:val="00E36864"/>
    <w:rsid w:val="00E369E3"/>
    <w:rsid w:val="00E36ABE"/>
    <w:rsid w:val="00E36C90"/>
    <w:rsid w:val="00E36EE1"/>
    <w:rsid w:val="00E37172"/>
    <w:rsid w:val="00E37473"/>
    <w:rsid w:val="00E378EB"/>
    <w:rsid w:val="00E379F1"/>
    <w:rsid w:val="00E37C9B"/>
    <w:rsid w:val="00E37CCA"/>
    <w:rsid w:val="00E4005E"/>
    <w:rsid w:val="00E400B0"/>
    <w:rsid w:val="00E40259"/>
    <w:rsid w:val="00E4045A"/>
    <w:rsid w:val="00E406E9"/>
    <w:rsid w:val="00E40910"/>
    <w:rsid w:val="00E409FC"/>
    <w:rsid w:val="00E40D92"/>
    <w:rsid w:val="00E40FAB"/>
    <w:rsid w:val="00E41496"/>
    <w:rsid w:val="00E4166A"/>
    <w:rsid w:val="00E4179B"/>
    <w:rsid w:val="00E4188D"/>
    <w:rsid w:val="00E419BD"/>
    <w:rsid w:val="00E419DC"/>
    <w:rsid w:val="00E41E08"/>
    <w:rsid w:val="00E41F15"/>
    <w:rsid w:val="00E41FF9"/>
    <w:rsid w:val="00E420AF"/>
    <w:rsid w:val="00E4219A"/>
    <w:rsid w:val="00E42594"/>
    <w:rsid w:val="00E42CD6"/>
    <w:rsid w:val="00E42FC5"/>
    <w:rsid w:val="00E42FD4"/>
    <w:rsid w:val="00E431F9"/>
    <w:rsid w:val="00E436C9"/>
    <w:rsid w:val="00E43983"/>
    <w:rsid w:val="00E43A5F"/>
    <w:rsid w:val="00E43A71"/>
    <w:rsid w:val="00E43EB8"/>
    <w:rsid w:val="00E43F71"/>
    <w:rsid w:val="00E43FF7"/>
    <w:rsid w:val="00E4412E"/>
    <w:rsid w:val="00E4419C"/>
    <w:rsid w:val="00E444DE"/>
    <w:rsid w:val="00E44770"/>
    <w:rsid w:val="00E447EA"/>
    <w:rsid w:val="00E44A5F"/>
    <w:rsid w:val="00E44A7E"/>
    <w:rsid w:val="00E44BCC"/>
    <w:rsid w:val="00E44C99"/>
    <w:rsid w:val="00E45286"/>
    <w:rsid w:val="00E454CE"/>
    <w:rsid w:val="00E4598D"/>
    <w:rsid w:val="00E467E7"/>
    <w:rsid w:val="00E46973"/>
    <w:rsid w:val="00E46A0E"/>
    <w:rsid w:val="00E46AA0"/>
    <w:rsid w:val="00E46B85"/>
    <w:rsid w:val="00E46CEA"/>
    <w:rsid w:val="00E46FE9"/>
    <w:rsid w:val="00E470F7"/>
    <w:rsid w:val="00E47374"/>
    <w:rsid w:val="00E4757A"/>
    <w:rsid w:val="00E475CF"/>
    <w:rsid w:val="00E47751"/>
    <w:rsid w:val="00E4780A"/>
    <w:rsid w:val="00E479E5"/>
    <w:rsid w:val="00E47AA7"/>
    <w:rsid w:val="00E47B49"/>
    <w:rsid w:val="00E47C4C"/>
    <w:rsid w:val="00E47D6C"/>
    <w:rsid w:val="00E47E33"/>
    <w:rsid w:val="00E500AB"/>
    <w:rsid w:val="00E50119"/>
    <w:rsid w:val="00E503C7"/>
    <w:rsid w:val="00E50B80"/>
    <w:rsid w:val="00E50D0B"/>
    <w:rsid w:val="00E50D38"/>
    <w:rsid w:val="00E50E12"/>
    <w:rsid w:val="00E50F0F"/>
    <w:rsid w:val="00E510A5"/>
    <w:rsid w:val="00E517BE"/>
    <w:rsid w:val="00E51824"/>
    <w:rsid w:val="00E5194B"/>
    <w:rsid w:val="00E51D05"/>
    <w:rsid w:val="00E51D06"/>
    <w:rsid w:val="00E52047"/>
    <w:rsid w:val="00E522C8"/>
    <w:rsid w:val="00E52676"/>
    <w:rsid w:val="00E52AFE"/>
    <w:rsid w:val="00E530B0"/>
    <w:rsid w:val="00E53263"/>
    <w:rsid w:val="00E534AB"/>
    <w:rsid w:val="00E5390E"/>
    <w:rsid w:val="00E54210"/>
    <w:rsid w:val="00E547B5"/>
    <w:rsid w:val="00E548FE"/>
    <w:rsid w:val="00E5490B"/>
    <w:rsid w:val="00E54BB2"/>
    <w:rsid w:val="00E54BFB"/>
    <w:rsid w:val="00E54C76"/>
    <w:rsid w:val="00E54E65"/>
    <w:rsid w:val="00E54FAD"/>
    <w:rsid w:val="00E55028"/>
    <w:rsid w:val="00E55050"/>
    <w:rsid w:val="00E5517D"/>
    <w:rsid w:val="00E551A6"/>
    <w:rsid w:val="00E551CC"/>
    <w:rsid w:val="00E5529B"/>
    <w:rsid w:val="00E5547A"/>
    <w:rsid w:val="00E5569B"/>
    <w:rsid w:val="00E5573C"/>
    <w:rsid w:val="00E557A8"/>
    <w:rsid w:val="00E55AB4"/>
    <w:rsid w:val="00E561DB"/>
    <w:rsid w:val="00E565C3"/>
    <w:rsid w:val="00E56834"/>
    <w:rsid w:val="00E56C56"/>
    <w:rsid w:val="00E56EA4"/>
    <w:rsid w:val="00E57189"/>
    <w:rsid w:val="00E57193"/>
    <w:rsid w:val="00E5799F"/>
    <w:rsid w:val="00E57B49"/>
    <w:rsid w:val="00E60439"/>
    <w:rsid w:val="00E60779"/>
    <w:rsid w:val="00E609F1"/>
    <w:rsid w:val="00E60EEF"/>
    <w:rsid w:val="00E61383"/>
    <w:rsid w:val="00E615B6"/>
    <w:rsid w:val="00E61685"/>
    <w:rsid w:val="00E61B09"/>
    <w:rsid w:val="00E61B29"/>
    <w:rsid w:val="00E61E4E"/>
    <w:rsid w:val="00E6204F"/>
    <w:rsid w:val="00E62499"/>
    <w:rsid w:val="00E62666"/>
    <w:rsid w:val="00E62964"/>
    <w:rsid w:val="00E62992"/>
    <w:rsid w:val="00E6307A"/>
    <w:rsid w:val="00E635A9"/>
    <w:rsid w:val="00E6394E"/>
    <w:rsid w:val="00E63B3B"/>
    <w:rsid w:val="00E63BA3"/>
    <w:rsid w:val="00E63C00"/>
    <w:rsid w:val="00E63C3F"/>
    <w:rsid w:val="00E640D1"/>
    <w:rsid w:val="00E64530"/>
    <w:rsid w:val="00E6468F"/>
    <w:rsid w:val="00E64905"/>
    <w:rsid w:val="00E64BA3"/>
    <w:rsid w:val="00E64C22"/>
    <w:rsid w:val="00E65099"/>
    <w:rsid w:val="00E6513A"/>
    <w:rsid w:val="00E651A0"/>
    <w:rsid w:val="00E651F3"/>
    <w:rsid w:val="00E65673"/>
    <w:rsid w:val="00E65693"/>
    <w:rsid w:val="00E65FA5"/>
    <w:rsid w:val="00E66280"/>
    <w:rsid w:val="00E664F4"/>
    <w:rsid w:val="00E665BD"/>
    <w:rsid w:val="00E66AB4"/>
    <w:rsid w:val="00E66F60"/>
    <w:rsid w:val="00E6709E"/>
    <w:rsid w:val="00E67347"/>
    <w:rsid w:val="00E677B3"/>
    <w:rsid w:val="00E67819"/>
    <w:rsid w:val="00E67991"/>
    <w:rsid w:val="00E67C3F"/>
    <w:rsid w:val="00E70211"/>
    <w:rsid w:val="00E7058C"/>
    <w:rsid w:val="00E706AB"/>
    <w:rsid w:val="00E707EC"/>
    <w:rsid w:val="00E7090E"/>
    <w:rsid w:val="00E70A9D"/>
    <w:rsid w:val="00E70BD3"/>
    <w:rsid w:val="00E70CE5"/>
    <w:rsid w:val="00E70E25"/>
    <w:rsid w:val="00E70E98"/>
    <w:rsid w:val="00E710E1"/>
    <w:rsid w:val="00E71382"/>
    <w:rsid w:val="00E716A6"/>
    <w:rsid w:val="00E717A7"/>
    <w:rsid w:val="00E71BCC"/>
    <w:rsid w:val="00E71CCB"/>
    <w:rsid w:val="00E71D17"/>
    <w:rsid w:val="00E7217D"/>
    <w:rsid w:val="00E724C1"/>
    <w:rsid w:val="00E7274B"/>
    <w:rsid w:val="00E72DBE"/>
    <w:rsid w:val="00E73127"/>
    <w:rsid w:val="00E7365C"/>
    <w:rsid w:val="00E73682"/>
    <w:rsid w:val="00E736EA"/>
    <w:rsid w:val="00E73CDD"/>
    <w:rsid w:val="00E73F20"/>
    <w:rsid w:val="00E73F76"/>
    <w:rsid w:val="00E740F7"/>
    <w:rsid w:val="00E744C9"/>
    <w:rsid w:val="00E7470E"/>
    <w:rsid w:val="00E747C1"/>
    <w:rsid w:val="00E7526B"/>
    <w:rsid w:val="00E75423"/>
    <w:rsid w:val="00E7595E"/>
    <w:rsid w:val="00E75DDC"/>
    <w:rsid w:val="00E75DEF"/>
    <w:rsid w:val="00E75E75"/>
    <w:rsid w:val="00E75E94"/>
    <w:rsid w:val="00E75FDE"/>
    <w:rsid w:val="00E760D1"/>
    <w:rsid w:val="00E7629E"/>
    <w:rsid w:val="00E7650A"/>
    <w:rsid w:val="00E76A53"/>
    <w:rsid w:val="00E76B33"/>
    <w:rsid w:val="00E77185"/>
    <w:rsid w:val="00E7737E"/>
    <w:rsid w:val="00E773C4"/>
    <w:rsid w:val="00E773E4"/>
    <w:rsid w:val="00E77C45"/>
    <w:rsid w:val="00E800F5"/>
    <w:rsid w:val="00E803A9"/>
    <w:rsid w:val="00E80F47"/>
    <w:rsid w:val="00E812C2"/>
    <w:rsid w:val="00E81734"/>
    <w:rsid w:val="00E817AF"/>
    <w:rsid w:val="00E81927"/>
    <w:rsid w:val="00E819D6"/>
    <w:rsid w:val="00E81AF8"/>
    <w:rsid w:val="00E81B23"/>
    <w:rsid w:val="00E81BA0"/>
    <w:rsid w:val="00E81C9C"/>
    <w:rsid w:val="00E82445"/>
    <w:rsid w:val="00E82A17"/>
    <w:rsid w:val="00E82A91"/>
    <w:rsid w:val="00E82C79"/>
    <w:rsid w:val="00E82F16"/>
    <w:rsid w:val="00E8315F"/>
    <w:rsid w:val="00E83202"/>
    <w:rsid w:val="00E833E4"/>
    <w:rsid w:val="00E83958"/>
    <w:rsid w:val="00E83D51"/>
    <w:rsid w:val="00E83DAA"/>
    <w:rsid w:val="00E83E80"/>
    <w:rsid w:val="00E84508"/>
    <w:rsid w:val="00E849F7"/>
    <w:rsid w:val="00E84B70"/>
    <w:rsid w:val="00E84BB6"/>
    <w:rsid w:val="00E84BE5"/>
    <w:rsid w:val="00E84CE2"/>
    <w:rsid w:val="00E84E63"/>
    <w:rsid w:val="00E850BD"/>
    <w:rsid w:val="00E850D2"/>
    <w:rsid w:val="00E85620"/>
    <w:rsid w:val="00E8597C"/>
    <w:rsid w:val="00E85A38"/>
    <w:rsid w:val="00E85B11"/>
    <w:rsid w:val="00E860F3"/>
    <w:rsid w:val="00E86130"/>
    <w:rsid w:val="00E8664A"/>
    <w:rsid w:val="00E868CD"/>
    <w:rsid w:val="00E86BFE"/>
    <w:rsid w:val="00E86DD5"/>
    <w:rsid w:val="00E874CC"/>
    <w:rsid w:val="00E875A9"/>
    <w:rsid w:val="00E87624"/>
    <w:rsid w:val="00E87655"/>
    <w:rsid w:val="00E877D6"/>
    <w:rsid w:val="00E87EF2"/>
    <w:rsid w:val="00E90086"/>
    <w:rsid w:val="00E900D4"/>
    <w:rsid w:val="00E90CE1"/>
    <w:rsid w:val="00E90D32"/>
    <w:rsid w:val="00E90D62"/>
    <w:rsid w:val="00E911F0"/>
    <w:rsid w:val="00E91998"/>
    <w:rsid w:val="00E91A75"/>
    <w:rsid w:val="00E91ED6"/>
    <w:rsid w:val="00E920D4"/>
    <w:rsid w:val="00E9220F"/>
    <w:rsid w:val="00E925AC"/>
    <w:rsid w:val="00E926FB"/>
    <w:rsid w:val="00E92731"/>
    <w:rsid w:val="00E92758"/>
    <w:rsid w:val="00E929A5"/>
    <w:rsid w:val="00E92C56"/>
    <w:rsid w:val="00E92C97"/>
    <w:rsid w:val="00E92CC0"/>
    <w:rsid w:val="00E92D4C"/>
    <w:rsid w:val="00E92E7F"/>
    <w:rsid w:val="00E93901"/>
    <w:rsid w:val="00E9393A"/>
    <w:rsid w:val="00E93BB9"/>
    <w:rsid w:val="00E93C26"/>
    <w:rsid w:val="00E93C3A"/>
    <w:rsid w:val="00E93CBF"/>
    <w:rsid w:val="00E93E90"/>
    <w:rsid w:val="00E94C26"/>
    <w:rsid w:val="00E9572E"/>
    <w:rsid w:val="00E9574B"/>
    <w:rsid w:val="00E9574C"/>
    <w:rsid w:val="00E957B2"/>
    <w:rsid w:val="00E9592B"/>
    <w:rsid w:val="00E95A1A"/>
    <w:rsid w:val="00E95BE1"/>
    <w:rsid w:val="00E95E8D"/>
    <w:rsid w:val="00E962AE"/>
    <w:rsid w:val="00E963CB"/>
    <w:rsid w:val="00E9653C"/>
    <w:rsid w:val="00E968DD"/>
    <w:rsid w:val="00E9697C"/>
    <w:rsid w:val="00E969A7"/>
    <w:rsid w:val="00E96A82"/>
    <w:rsid w:val="00E96B14"/>
    <w:rsid w:val="00E96BF3"/>
    <w:rsid w:val="00E96BF9"/>
    <w:rsid w:val="00E96F3D"/>
    <w:rsid w:val="00E97671"/>
    <w:rsid w:val="00E9784F"/>
    <w:rsid w:val="00E97F31"/>
    <w:rsid w:val="00EA00EE"/>
    <w:rsid w:val="00EA01EA"/>
    <w:rsid w:val="00EA02DC"/>
    <w:rsid w:val="00EA0828"/>
    <w:rsid w:val="00EA08DE"/>
    <w:rsid w:val="00EA0A30"/>
    <w:rsid w:val="00EA11D9"/>
    <w:rsid w:val="00EA161F"/>
    <w:rsid w:val="00EA19C2"/>
    <w:rsid w:val="00EA19CF"/>
    <w:rsid w:val="00EA1C52"/>
    <w:rsid w:val="00EA2027"/>
    <w:rsid w:val="00EA233A"/>
    <w:rsid w:val="00EA23C9"/>
    <w:rsid w:val="00EA2C07"/>
    <w:rsid w:val="00EA2C20"/>
    <w:rsid w:val="00EA3033"/>
    <w:rsid w:val="00EA312A"/>
    <w:rsid w:val="00EA330C"/>
    <w:rsid w:val="00EA3672"/>
    <w:rsid w:val="00EA37DD"/>
    <w:rsid w:val="00EA38AB"/>
    <w:rsid w:val="00EA3BF6"/>
    <w:rsid w:val="00EA3CA4"/>
    <w:rsid w:val="00EA3CF6"/>
    <w:rsid w:val="00EA3E4C"/>
    <w:rsid w:val="00EA4089"/>
    <w:rsid w:val="00EA41DF"/>
    <w:rsid w:val="00EA42BC"/>
    <w:rsid w:val="00EA42C9"/>
    <w:rsid w:val="00EA4406"/>
    <w:rsid w:val="00EA4698"/>
    <w:rsid w:val="00EA4716"/>
    <w:rsid w:val="00EA4728"/>
    <w:rsid w:val="00EA47A3"/>
    <w:rsid w:val="00EA4802"/>
    <w:rsid w:val="00EA4B56"/>
    <w:rsid w:val="00EA4E4F"/>
    <w:rsid w:val="00EA559C"/>
    <w:rsid w:val="00EA56EB"/>
    <w:rsid w:val="00EA5C67"/>
    <w:rsid w:val="00EA608B"/>
    <w:rsid w:val="00EA60AE"/>
    <w:rsid w:val="00EA662B"/>
    <w:rsid w:val="00EA671A"/>
    <w:rsid w:val="00EA68C0"/>
    <w:rsid w:val="00EA6974"/>
    <w:rsid w:val="00EA6AEA"/>
    <w:rsid w:val="00EA6B2C"/>
    <w:rsid w:val="00EA6F0A"/>
    <w:rsid w:val="00EA74D3"/>
    <w:rsid w:val="00EA7546"/>
    <w:rsid w:val="00EA7A40"/>
    <w:rsid w:val="00EA7D93"/>
    <w:rsid w:val="00EB056B"/>
    <w:rsid w:val="00EB087E"/>
    <w:rsid w:val="00EB0B93"/>
    <w:rsid w:val="00EB0BC0"/>
    <w:rsid w:val="00EB0D04"/>
    <w:rsid w:val="00EB0E13"/>
    <w:rsid w:val="00EB0F21"/>
    <w:rsid w:val="00EB0F32"/>
    <w:rsid w:val="00EB0FA2"/>
    <w:rsid w:val="00EB0FAD"/>
    <w:rsid w:val="00EB0FB2"/>
    <w:rsid w:val="00EB11D0"/>
    <w:rsid w:val="00EB14B4"/>
    <w:rsid w:val="00EB14C9"/>
    <w:rsid w:val="00EB16B5"/>
    <w:rsid w:val="00EB19AD"/>
    <w:rsid w:val="00EB1FA4"/>
    <w:rsid w:val="00EB253B"/>
    <w:rsid w:val="00EB25D6"/>
    <w:rsid w:val="00EB26FB"/>
    <w:rsid w:val="00EB2768"/>
    <w:rsid w:val="00EB311D"/>
    <w:rsid w:val="00EB3284"/>
    <w:rsid w:val="00EB3445"/>
    <w:rsid w:val="00EB3450"/>
    <w:rsid w:val="00EB377B"/>
    <w:rsid w:val="00EB3830"/>
    <w:rsid w:val="00EB3901"/>
    <w:rsid w:val="00EB3A65"/>
    <w:rsid w:val="00EB3B31"/>
    <w:rsid w:val="00EB3CA5"/>
    <w:rsid w:val="00EB3FE9"/>
    <w:rsid w:val="00EB405F"/>
    <w:rsid w:val="00EB4126"/>
    <w:rsid w:val="00EB4201"/>
    <w:rsid w:val="00EB42E5"/>
    <w:rsid w:val="00EB4670"/>
    <w:rsid w:val="00EB47C9"/>
    <w:rsid w:val="00EB4F3C"/>
    <w:rsid w:val="00EB500A"/>
    <w:rsid w:val="00EB5CDE"/>
    <w:rsid w:val="00EB5DDA"/>
    <w:rsid w:val="00EB5E8A"/>
    <w:rsid w:val="00EB6409"/>
    <w:rsid w:val="00EB6505"/>
    <w:rsid w:val="00EB65D1"/>
    <w:rsid w:val="00EB68DB"/>
    <w:rsid w:val="00EB6B0E"/>
    <w:rsid w:val="00EB6E73"/>
    <w:rsid w:val="00EB7069"/>
    <w:rsid w:val="00EB7089"/>
    <w:rsid w:val="00EB7233"/>
    <w:rsid w:val="00EB7404"/>
    <w:rsid w:val="00EB7648"/>
    <w:rsid w:val="00EB76AF"/>
    <w:rsid w:val="00EB786C"/>
    <w:rsid w:val="00EC02E3"/>
    <w:rsid w:val="00EC049E"/>
    <w:rsid w:val="00EC0737"/>
    <w:rsid w:val="00EC0DBF"/>
    <w:rsid w:val="00EC1088"/>
    <w:rsid w:val="00EC10D6"/>
    <w:rsid w:val="00EC1268"/>
    <w:rsid w:val="00EC146C"/>
    <w:rsid w:val="00EC146F"/>
    <w:rsid w:val="00EC14AE"/>
    <w:rsid w:val="00EC17DC"/>
    <w:rsid w:val="00EC1B2F"/>
    <w:rsid w:val="00EC1BCC"/>
    <w:rsid w:val="00EC1E65"/>
    <w:rsid w:val="00EC1F4C"/>
    <w:rsid w:val="00EC209F"/>
    <w:rsid w:val="00EC23BB"/>
    <w:rsid w:val="00EC24F0"/>
    <w:rsid w:val="00EC25B3"/>
    <w:rsid w:val="00EC26DB"/>
    <w:rsid w:val="00EC28C4"/>
    <w:rsid w:val="00EC290B"/>
    <w:rsid w:val="00EC2CCA"/>
    <w:rsid w:val="00EC310C"/>
    <w:rsid w:val="00EC3274"/>
    <w:rsid w:val="00EC3790"/>
    <w:rsid w:val="00EC3CD0"/>
    <w:rsid w:val="00EC41D8"/>
    <w:rsid w:val="00EC4611"/>
    <w:rsid w:val="00EC4A12"/>
    <w:rsid w:val="00EC51CE"/>
    <w:rsid w:val="00EC532A"/>
    <w:rsid w:val="00EC5540"/>
    <w:rsid w:val="00EC5588"/>
    <w:rsid w:val="00EC58BC"/>
    <w:rsid w:val="00EC5DA2"/>
    <w:rsid w:val="00EC5E44"/>
    <w:rsid w:val="00EC5E6E"/>
    <w:rsid w:val="00EC60C4"/>
    <w:rsid w:val="00EC60E8"/>
    <w:rsid w:val="00EC61C0"/>
    <w:rsid w:val="00EC627E"/>
    <w:rsid w:val="00EC63F9"/>
    <w:rsid w:val="00EC6A59"/>
    <w:rsid w:val="00EC6C2F"/>
    <w:rsid w:val="00EC6D54"/>
    <w:rsid w:val="00EC7108"/>
    <w:rsid w:val="00EC7247"/>
    <w:rsid w:val="00EC7704"/>
    <w:rsid w:val="00EC7793"/>
    <w:rsid w:val="00EC789A"/>
    <w:rsid w:val="00EC79C3"/>
    <w:rsid w:val="00EC7B09"/>
    <w:rsid w:val="00EC7DB1"/>
    <w:rsid w:val="00EC7E88"/>
    <w:rsid w:val="00ED04B4"/>
    <w:rsid w:val="00ED09AB"/>
    <w:rsid w:val="00ED09B0"/>
    <w:rsid w:val="00ED0FD5"/>
    <w:rsid w:val="00ED11DB"/>
    <w:rsid w:val="00ED1678"/>
    <w:rsid w:val="00ED1767"/>
    <w:rsid w:val="00ED1A1A"/>
    <w:rsid w:val="00ED1D20"/>
    <w:rsid w:val="00ED1DA4"/>
    <w:rsid w:val="00ED1FF8"/>
    <w:rsid w:val="00ED2256"/>
    <w:rsid w:val="00ED2284"/>
    <w:rsid w:val="00ED241D"/>
    <w:rsid w:val="00ED24C4"/>
    <w:rsid w:val="00ED2B10"/>
    <w:rsid w:val="00ED2C2D"/>
    <w:rsid w:val="00ED2C43"/>
    <w:rsid w:val="00ED2C4C"/>
    <w:rsid w:val="00ED2D64"/>
    <w:rsid w:val="00ED2D7C"/>
    <w:rsid w:val="00ED2FD4"/>
    <w:rsid w:val="00ED304B"/>
    <w:rsid w:val="00ED3867"/>
    <w:rsid w:val="00ED387F"/>
    <w:rsid w:val="00ED3DBA"/>
    <w:rsid w:val="00ED3DE4"/>
    <w:rsid w:val="00ED3EBE"/>
    <w:rsid w:val="00ED3F1F"/>
    <w:rsid w:val="00ED430B"/>
    <w:rsid w:val="00ED436A"/>
    <w:rsid w:val="00ED4546"/>
    <w:rsid w:val="00ED463E"/>
    <w:rsid w:val="00ED47CC"/>
    <w:rsid w:val="00ED4FA2"/>
    <w:rsid w:val="00ED540B"/>
    <w:rsid w:val="00ED5679"/>
    <w:rsid w:val="00ED5A14"/>
    <w:rsid w:val="00ED5A60"/>
    <w:rsid w:val="00ED5B62"/>
    <w:rsid w:val="00ED61E5"/>
    <w:rsid w:val="00ED61FA"/>
    <w:rsid w:val="00ED670F"/>
    <w:rsid w:val="00ED6B58"/>
    <w:rsid w:val="00ED6B99"/>
    <w:rsid w:val="00ED6CBB"/>
    <w:rsid w:val="00ED77A6"/>
    <w:rsid w:val="00ED78A7"/>
    <w:rsid w:val="00ED7A59"/>
    <w:rsid w:val="00ED7A73"/>
    <w:rsid w:val="00ED7A91"/>
    <w:rsid w:val="00ED7AE0"/>
    <w:rsid w:val="00ED7D6E"/>
    <w:rsid w:val="00ED7EE2"/>
    <w:rsid w:val="00ED7F7B"/>
    <w:rsid w:val="00EE03B4"/>
    <w:rsid w:val="00EE0487"/>
    <w:rsid w:val="00EE0746"/>
    <w:rsid w:val="00EE0CB8"/>
    <w:rsid w:val="00EE0D63"/>
    <w:rsid w:val="00EE0EE3"/>
    <w:rsid w:val="00EE0F20"/>
    <w:rsid w:val="00EE10A2"/>
    <w:rsid w:val="00EE1507"/>
    <w:rsid w:val="00EE16AA"/>
    <w:rsid w:val="00EE1759"/>
    <w:rsid w:val="00EE19C1"/>
    <w:rsid w:val="00EE1A60"/>
    <w:rsid w:val="00EE1B44"/>
    <w:rsid w:val="00EE1CFD"/>
    <w:rsid w:val="00EE1E46"/>
    <w:rsid w:val="00EE1E54"/>
    <w:rsid w:val="00EE1EEF"/>
    <w:rsid w:val="00EE208E"/>
    <w:rsid w:val="00EE21EF"/>
    <w:rsid w:val="00EE25C4"/>
    <w:rsid w:val="00EE266C"/>
    <w:rsid w:val="00EE2B12"/>
    <w:rsid w:val="00EE3779"/>
    <w:rsid w:val="00EE3998"/>
    <w:rsid w:val="00EE3A76"/>
    <w:rsid w:val="00EE3CD2"/>
    <w:rsid w:val="00EE3CEA"/>
    <w:rsid w:val="00EE3D54"/>
    <w:rsid w:val="00EE3F59"/>
    <w:rsid w:val="00EE406F"/>
    <w:rsid w:val="00EE42E3"/>
    <w:rsid w:val="00EE4AAA"/>
    <w:rsid w:val="00EE4AFA"/>
    <w:rsid w:val="00EE4C3A"/>
    <w:rsid w:val="00EE5078"/>
    <w:rsid w:val="00EE54FB"/>
    <w:rsid w:val="00EE5589"/>
    <w:rsid w:val="00EE5704"/>
    <w:rsid w:val="00EE5729"/>
    <w:rsid w:val="00EE57DF"/>
    <w:rsid w:val="00EE58E7"/>
    <w:rsid w:val="00EE5935"/>
    <w:rsid w:val="00EE5A1F"/>
    <w:rsid w:val="00EE5AF6"/>
    <w:rsid w:val="00EE5C2B"/>
    <w:rsid w:val="00EE5C31"/>
    <w:rsid w:val="00EE5C4A"/>
    <w:rsid w:val="00EE5D2A"/>
    <w:rsid w:val="00EE6018"/>
    <w:rsid w:val="00EE62CF"/>
    <w:rsid w:val="00EE67B2"/>
    <w:rsid w:val="00EE6866"/>
    <w:rsid w:val="00EE68B5"/>
    <w:rsid w:val="00EE69DB"/>
    <w:rsid w:val="00EE6A1E"/>
    <w:rsid w:val="00EE6B4F"/>
    <w:rsid w:val="00EE6EBB"/>
    <w:rsid w:val="00EE723B"/>
    <w:rsid w:val="00EE73DB"/>
    <w:rsid w:val="00EE754C"/>
    <w:rsid w:val="00EE799E"/>
    <w:rsid w:val="00EE7B9C"/>
    <w:rsid w:val="00EE7BF8"/>
    <w:rsid w:val="00EE7C3E"/>
    <w:rsid w:val="00EF02D6"/>
    <w:rsid w:val="00EF050A"/>
    <w:rsid w:val="00EF0512"/>
    <w:rsid w:val="00EF05A7"/>
    <w:rsid w:val="00EF0744"/>
    <w:rsid w:val="00EF0802"/>
    <w:rsid w:val="00EF0CAA"/>
    <w:rsid w:val="00EF159C"/>
    <w:rsid w:val="00EF15D7"/>
    <w:rsid w:val="00EF1AC7"/>
    <w:rsid w:val="00EF1B5E"/>
    <w:rsid w:val="00EF1BC0"/>
    <w:rsid w:val="00EF1EB1"/>
    <w:rsid w:val="00EF21DD"/>
    <w:rsid w:val="00EF22AF"/>
    <w:rsid w:val="00EF24F4"/>
    <w:rsid w:val="00EF2744"/>
    <w:rsid w:val="00EF28CA"/>
    <w:rsid w:val="00EF2BF1"/>
    <w:rsid w:val="00EF2CAB"/>
    <w:rsid w:val="00EF2EB9"/>
    <w:rsid w:val="00EF30E3"/>
    <w:rsid w:val="00EF3341"/>
    <w:rsid w:val="00EF383A"/>
    <w:rsid w:val="00EF3A15"/>
    <w:rsid w:val="00EF3B77"/>
    <w:rsid w:val="00EF3BA5"/>
    <w:rsid w:val="00EF411B"/>
    <w:rsid w:val="00EF48A5"/>
    <w:rsid w:val="00EF49BB"/>
    <w:rsid w:val="00EF4C8C"/>
    <w:rsid w:val="00EF4D0E"/>
    <w:rsid w:val="00EF4F01"/>
    <w:rsid w:val="00EF4F58"/>
    <w:rsid w:val="00EF527B"/>
    <w:rsid w:val="00EF54CF"/>
    <w:rsid w:val="00EF595E"/>
    <w:rsid w:val="00EF5C52"/>
    <w:rsid w:val="00EF5D06"/>
    <w:rsid w:val="00EF5F0B"/>
    <w:rsid w:val="00EF6061"/>
    <w:rsid w:val="00EF6361"/>
    <w:rsid w:val="00EF6E74"/>
    <w:rsid w:val="00EF6FA5"/>
    <w:rsid w:val="00EF6FEA"/>
    <w:rsid w:val="00EF72C8"/>
    <w:rsid w:val="00EF7801"/>
    <w:rsid w:val="00EF78E7"/>
    <w:rsid w:val="00EF79DC"/>
    <w:rsid w:val="00EF7A02"/>
    <w:rsid w:val="00EF7FD5"/>
    <w:rsid w:val="00F002AD"/>
    <w:rsid w:val="00F00591"/>
    <w:rsid w:val="00F00B36"/>
    <w:rsid w:val="00F00B57"/>
    <w:rsid w:val="00F00CEA"/>
    <w:rsid w:val="00F00DE0"/>
    <w:rsid w:val="00F00E76"/>
    <w:rsid w:val="00F0113C"/>
    <w:rsid w:val="00F01AEF"/>
    <w:rsid w:val="00F01D13"/>
    <w:rsid w:val="00F01ECB"/>
    <w:rsid w:val="00F0232D"/>
    <w:rsid w:val="00F023F3"/>
    <w:rsid w:val="00F02506"/>
    <w:rsid w:val="00F02A7B"/>
    <w:rsid w:val="00F02C11"/>
    <w:rsid w:val="00F02C24"/>
    <w:rsid w:val="00F02D79"/>
    <w:rsid w:val="00F02DAA"/>
    <w:rsid w:val="00F02E33"/>
    <w:rsid w:val="00F0319D"/>
    <w:rsid w:val="00F0341A"/>
    <w:rsid w:val="00F034F0"/>
    <w:rsid w:val="00F03628"/>
    <w:rsid w:val="00F038D2"/>
    <w:rsid w:val="00F03C00"/>
    <w:rsid w:val="00F03D54"/>
    <w:rsid w:val="00F03F06"/>
    <w:rsid w:val="00F040B4"/>
    <w:rsid w:val="00F046CC"/>
    <w:rsid w:val="00F0470D"/>
    <w:rsid w:val="00F04C42"/>
    <w:rsid w:val="00F04F48"/>
    <w:rsid w:val="00F050A1"/>
    <w:rsid w:val="00F05482"/>
    <w:rsid w:val="00F058A2"/>
    <w:rsid w:val="00F059C7"/>
    <w:rsid w:val="00F05CB2"/>
    <w:rsid w:val="00F05D6D"/>
    <w:rsid w:val="00F06338"/>
    <w:rsid w:val="00F065C9"/>
    <w:rsid w:val="00F06AF1"/>
    <w:rsid w:val="00F06CB3"/>
    <w:rsid w:val="00F06D5F"/>
    <w:rsid w:val="00F06FAD"/>
    <w:rsid w:val="00F0743D"/>
    <w:rsid w:val="00F0775F"/>
    <w:rsid w:val="00F07A47"/>
    <w:rsid w:val="00F07ACE"/>
    <w:rsid w:val="00F10029"/>
    <w:rsid w:val="00F104F4"/>
    <w:rsid w:val="00F10960"/>
    <w:rsid w:val="00F10964"/>
    <w:rsid w:val="00F10AA0"/>
    <w:rsid w:val="00F10AE1"/>
    <w:rsid w:val="00F10B5D"/>
    <w:rsid w:val="00F10ECE"/>
    <w:rsid w:val="00F11232"/>
    <w:rsid w:val="00F11328"/>
    <w:rsid w:val="00F11996"/>
    <w:rsid w:val="00F11DED"/>
    <w:rsid w:val="00F11E6B"/>
    <w:rsid w:val="00F11E73"/>
    <w:rsid w:val="00F11E76"/>
    <w:rsid w:val="00F12291"/>
    <w:rsid w:val="00F12567"/>
    <w:rsid w:val="00F1275B"/>
    <w:rsid w:val="00F12A89"/>
    <w:rsid w:val="00F12BC4"/>
    <w:rsid w:val="00F12D5A"/>
    <w:rsid w:val="00F12DF3"/>
    <w:rsid w:val="00F13002"/>
    <w:rsid w:val="00F131DB"/>
    <w:rsid w:val="00F131FB"/>
    <w:rsid w:val="00F13389"/>
    <w:rsid w:val="00F13908"/>
    <w:rsid w:val="00F13915"/>
    <w:rsid w:val="00F13C2A"/>
    <w:rsid w:val="00F13F84"/>
    <w:rsid w:val="00F14411"/>
    <w:rsid w:val="00F147A9"/>
    <w:rsid w:val="00F1480B"/>
    <w:rsid w:val="00F14948"/>
    <w:rsid w:val="00F149D7"/>
    <w:rsid w:val="00F149F3"/>
    <w:rsid w:val="00F14ACC"/>
    <w:rsid w:val="00F14C08"/>
    <w:rsid w:val="00F151F3"/>
    <w:rsid w:val="00F152B9"/>
    <w:rsid w:val="00F15393"/>
    <w:rsid w:val="00F15783"/>
    <w:rsid w:val="00F15813"/>
    <w:rsid w:val="00F158DA"/>
    <w:rsid w:val="00F15A6B"/>
    <w:rsid w:val="00F15C58"/>
    <w:rsid w:val="00F15F2A"/>
    <w:rsid w:val="00F1621C"/>
    <w:rsid w:val="00F1654B"/>
    <w:rsid w:val="00F166C7"/>
    <w:rsid w:val="00F166D2"/>
    <w:rsid w:val="00F1679C"/>
    <w:rsid w:val="00F1692E"/>
    <w:rsid w:val="00F169CF"/>
    <w:rsid w:val="00F171FE"/>
    <w:rsid w:val="00F173EB"/>
    <w:rsid w:val="00F174D3"/>
    <w:rsid w:val="00F179E5"/>
    <w:rsid w:val="00F17A5A"/>
    <w:rsid w:val="00F17BA8"/>
    <w:rsid w:val="00F2007B"/>
    <w:rsid w:val="00F2026F"/>
    <w:rsid w:val="00F20343"/>
    <w:rsid w:val="00F20597"/>
    <w:rsid w:val="00F20700"/>
    <w:rsid w:val="00F21A39"/>
    <w:rsid w:val="00F21EF3"/>
    <w:rsid w:val="00F21F16"/>
    <w:rsid w:val="00F22185"/>
    <w:rsid w:val="00F224B5"/>
    <w:rsid w:val="00F2258B"/>
    <w:rsid w:val="00F225B0"/>
    <w:rsid w:val="00F225BD"/>
    <w:rsid w:val="00F22691"/>
    <w:rsid w:val="00F226FD"/>
    <w:rsid w:val="00F227F6"/>
    <w:rsid w:val="00F22C01"/>
    <w:rsid w:val="00F22EA2"/>
    <w:rsid w:val="00F22F3F"/>
    <w:rsid w:val="00F2300E"/>
    <w:rsid w:val="00F23283"/>
    <w:rsid w:val="00F23527"/>
    <w:rsid w:val="00F238C3"/>
    <w:rsid w:val="00F23A84"/>
    <w:rsid w:val="00F23B4D"/>
    <w:rsid w:val="00F24595"/>
    <w:rsid w:val="00F246BB"/>
    <w:rsid w:val="00F24D27"/>
    <w:rsid w:val="00F24D3D"/>
    <w:rsid w:val="00F24EE8"/>
    <w:rsid w:val="00F24FE7"/>
    <w:rsid w:val="00F2510A"/>
    <w:rsid w:val="00F25165"/>
    <w:rsid w:val="00F251EE"/>
    <w:rsid w:val="00F25208"/>
    <w:rsid w:val="00F2558D"/>
    <w:rsid w:val="00F25C6E"/>
    <w:rsid w:val="00F260CA"/>
    <w:rsid w:val="00F262F5"/>
    <w:rsid w:val="00F26416"/>
    <w:rsid w:val="00F267AF"/>
    <w:rsid w:val="00F268EE"/>
    <w:rsid w:val="00F26AE8"/>
    <w:rsid w:val="00F26F4F"/>
    <w:rsid w:val="00F270AA"/>
    <w:rsid w:val="00F271BF"/>
    <w:rsid w:val="00F27379"/>
    <w:rsid w:val="00F274F6"/>
    <w:rsid w:val="00F27B4D"/>
    <w:rsid w:val="00F27D13"/>
    <w:rsid w:val="00F27D6E"/>
    <w:rsid w:val="00F27DBA"/>
    <w:rsid w:val="00F27EFB"/>
    <w:rsid w:val="00F27FC5"/>
    <w:rsid w:val="00F30D6A"/>
    <w:rsid w:val="00F30E17"/>
    <w:rsid w:val="00F30ED9"/>
    <w:rsid w:val="00F30F17"/>
    <w:rsid w:val="00F3128D"/>
    <w:rsid w:val="00F31C5D"/>
    <w:rsid w:val="00F322D2"/>
    <w:rsid w:val="00F32430"/>
    <w:rsid w:val="00F3250C"/>
    <w:rsid w:val="00F32934"/>
    <w:rsid w:val="00F32948"/>
    <w:rsid w:val="00F32CA4"/>
    <w:rsid w:val="00F33229"/>
    <w:rsid w:val="00F339EE"/>
    <w:rsid w:val="00F33A43"/>
    <w:rsid w:val="00F33B13"/>
    <w:rsid w:val="00F33EB2"/>
    <w:rsid w:val="00F340E1"/>
    <w:rsid w:val="00F3450A"/>
    <w:rsid w:val="00F3453A"/>
    <w:rsid w:val="00F3480D"/>
    <w:rsid w:val="00F349A4"/>
    <w:rsid w:val="00F34BE0"/>
    <w:rsid w:val="00F34EE6"/>
    <w:rsid w:val="00F34F38"/>
    <w:rsid w:val="00F350AE"/>
    <w:rsid w:val="00F35332"/>
    <w:rsid w:val="00F358EE"/>
    <w:rsid w:val="00F35B01"/>
    <w:rsid w:val="00F35B91"/>
    <w:rsid w:val="00F35CFF"/>
    <w:rsid w:val="00F35D7B"/>
    <w:rsid w:val="00F36068"/>
    <w:rsid w:val="00F36175"/>
    <w:rsid w:val="00F363B3"/>
    <w:rsid w:val="00F36562"/>
    <w:rsid w:val="00F3658E"/>
    <w:rsid w:val="00F36715"/>
    <w:rsid w:val="00F36838"/>
    <w:rsid w:val="00F3687D"/>
    <w:rsid w:val="00F3698F"/>
    <w:rsid w:val="00F36B1D"/>
    <w:rsid w:val="00F36D40"/>
    <w:rsid w:val="00F36D84"/>
    <w:rsid w:val="00F370DC"/>
    <w:rsid w:val="00F370F8"/>
    <w:rsid w:val="00F371ED"/>
    <w:rsid w:val="00F37559"/>
    <w:rsid w:val="00F37625"/>
    <w:rsid w:val="00F376CC"/>
    <w:rsid w:val="00F37A5E"/>
    <w:rsid w:val="00F37CF7"/>
    <w:rsid w:val="00F37F1A"/>
    <w:rsid w:val="00F400B5"/>
    <w:rsid w:val="00F402AD"/>
    <w:rsid w:val="00F402C8"/>
    <w:rsid w:val="00F404BF"/>
    <w:rsid w:val="00F404CC"/>
    <w:rsid w:val="00F405DD"/>
    <w:rsid w:val="00F4073D"/>
    <w:rsid w:val="00F40927"/>
    <w:rsid w:val="00F40B01"/>
    <w:rsid w:val="00F414F7"/>
    <w:rsid w:val="00F4154F"/>
    <w:rsid w:val="00F417F0"/>
    <w:rsid w:val="00F41BE7"/>
    <w:rsid w:val="00F42346"/>
    <w:rsid w:val="00F426AE"/>
    <w:rsid w:val="00F42723"/>
    <w:rsid w:val="00F427C7"/>
    <w:rsid w:val="00F42822"/>
    <w:rsid w:val="00F4293D"/>
    <w:rsid w:val="00F42A41"/>
    <w:rsid w:val="00F42AC5"/>
    <w:rsid w:val="00F42B89"/>
    <w:rsid w:val="00F42CC1"/>
    <w:rsid w:val="00F42DBF"/>
    <w:rsid w:val="00F43066"/>
    <w:rsid w:val="00F430F8"/>
    <w:rsid w:val="00F43188"/>
    <w:rsid w:val="00F434DF"/>
    <w:rsid w:val="00F437D7"/>
    <w:rsid w:val="00F4387A"/>
    <w:rsid w:val="00F439CF"/>
    <w:rsid w:val="00F43F52"/>
    <w:rsid w:val="00F4413B"/>
    <w:rsid w:val="00F44574"/>
    <w:rsid w:val="00F4465F"/>
    <w:rsid w:val="00F4485B"/>
    <w:rsid w:val="00F449DF"/>
    <w:rsid w:val="00F44E04"/>
    <w:rsid w:val="00F45026"/>
    <w:rsid w:val="00F45055"/>
    <w:rsid w:val="00F45229"/>
    <w:rsid w:val="00F452C5"/>
    <w:rsid w:val="00F45788"/>
    <w:rsid w:val="00F45B60"/>
    <w:rsid w:val="00F45CBE"/>
    <w:rsid w:val="00F45D29"/>
    <w:rsid w:val="00F45DAA"/>
    <w:rsid w:val="00F45DFE"/>
    <w:rsid w:val="00F45EAA"/>
    <w:rsid w:val="00F46431"/>
    <w:rsid w:val="00F464AF"/>
    <w:rsid w:val="00F466F3"/>
    <w:rsid w:val="00F46714"/>
    <w:rsid w:val="00F46871"/>
    <w:rsid w:val="00F46B34"/>
    <w:rsid w:val="00F46BDB"/>
    <w:rsid w:val="00F46D70"/>
    <w:rsid w:val="00F472BE"/>
    <w:rsid w:val="00F473D3"/>
    <w:rsid w:val="00F4746A"/>
    <w:rsid w:val="00F475FE"/>
    <w:rsid w:val="00F47FB0"/>
    <w:rsid w:val="00F47FBC"/>
    <w:rsid w:val="00F5016D"/>
    <w:rsid w:val="00F50236"/>
    <w:rsid w:val="00F50FED"/>
    <w:rsid w:val="00F510E8"/>
    <w:rsid w:val="00F51246"/>
    <w:rsid w:val="00F5131C"/>
    <w:rsid w:val="00F513ED"/>
    <w:rsid w:val="00F526CA"/>
    <w:rsid w:val="00F52708"/>
    <w:rsid w:val="00F52A81"/>
    <w:rsid w:val="00F52C15"/>
    <w:rsid w:val="00F52FDD"/>
    <w:rsid w:val="00F530D8"/>
    <w:rsid w:val="00F5349C"/>
    <w:rsid w:val="00F53E38"/>
    <w:rsid w:val="00F53ECF"/>
    <w:rsid w:val="00F54197"/>
    <w:rsid w:val="00F5436A"/>
    <w:rsid w:val="00F54461"/>
    <w:rsid w:val="00F54862"/>
    <w:rsid w:val="00F55066"/>
    <w:rsid w:val="00F5524F"/>
    <w:rsid w:val="00F554E9"/>
    <w:rsid w:val="00F557C9"/>
    <w:rsid w:val="00F55AED"/>
    <w:rsid w:val="00F55ED8"/>
    <w:rsid w:val="00F55EDD"/>
    <w:rsid w:val="00F5627A"/>
    <w:rsid w:val="00F565D7"/>
    <w:rsid w:val="00F565F7"/>
    <w:rsid w:val="00F567A4"/>
    <w:rsid w:val="00F569BD"/>
    <w:rsid w:val="00F56A14"/>
    <w:rsid w:val="00F56F75"/>
    <w:rsid w:val="00F57BB0"/>
    <w:rsid w:val="00F57E1F"/>
    <w:rsid w:val="00F601AC"/>
    <w:rsid w:val="00F605F1"/>
    <w:rsid w:val="00F606CF"/>
    <w:rsid w:val="00F60863"/>
    <w:rsid w:val="00F608E2"/>
    <w:rsid w:val="00F60A94"/>
    <w:rsid w:val="00F60AD6"/>
    <w:rsid w:val="00F60ED9"/>
    <w:rsid w:val="00F61232"/>
    <w:rsid w:val="00F614D8"/>
    <w:rsid w:val="00F6151A"/>
    <w:rsid w:val="00F615F6"/>
    <w:rsid w:val="00F61AE4"/>
    <w:rsid w:val="00F61BB3"/>
    <w:rsid w:val="00F61DFB"/>
    <w:rsid w:val="00F622FD"/>
    <w:rsid w:val="00F62366"/>
    <w:rsid w:val="00F6246B"/>
    <w:rsid w:val="00F624CD"/>
    <w:rsid w:val="00F62578"/>
    <w:rsid w:val="00F62695"/>
    <w:rsid w:val="00F62745"/>
    <w:rsid w:val="00F627E9"/>
    <w:rsid w:val="00F62972"/>
    <w:rsid w:val="00F62A0C"/>
    <w:rsid w:val="00F62DCE"/>
    <w:rsid w:val="00F62E2C"/>
    <w:rsid w:val="00F62ED3"/>
    <w:rsid w:val="00F62FC6"/>
    <w:rsid w:val="00F632B0"/>
    <w:rsid w:val="00F6380D"/>
    <w:rsid w:val="00F63BA1"/>
    <w:rsid w:val="00F63D78"/>
    <w:rsid w:val="00F640C6"/>
    <w:rsid w:val="00F64205"/>
    <w:rsid w:val="00F6440C"/>
    <w:rsid w:val="00F64425"/>
    <w:rsid w:val="00F644DF"/>
    <w:rsid w:val="00F6454A"/>
    <w:rsid w:val="00F6467A"/>
    <w:rsid w:val="00F6468A"/>
    <w:rsid w:val="00F6474E"/>
    <w:rsid w:val="00F6474F"/>
    <w:rsid w:val="00F649C7"/>
    <w:rsid w:val="00F64CD9"/>
    <w:rsid w:val="00F64E2F"/>
    <w:rsid w:val="00F64EDE"/>
    <w:rsid w:val="00F6503A"/>
    <w:rsid w:val="00F650D4"/>
    <w:rsid w:val="00F65134"/>
    <w:rsid w:val="00F652CB"/>
    <w:rsid w:val="00F652DC"/>
    <w:rsid w:val="00F654AB"/>
    <w:rsid w:val="00F65C18"/>
    <w:rsid w:val="00F65C3F"/>
    <w:rsid w:val="00F65DB6"/>
    <w:rsid w:val="00F66227"/>
    <w:rsid w:val="00F665CB"/>
    <w:rsid w:val="00F666F0"/>
    <w:rsid w:val="00F66EB5"/>
    <w:rsid w:val="00F66FB9"/>
    <w:rsid w:val="00F67088"/>
    <w:rsid w:val="00F67364"/>
    <w:rsid w:val="00F67526"/>
    <w:rsid w:val="00F675C5"/>
    <w:rsid w:val="00F6779E"/>
    <w:rsid w:val="00F679A1"/>
    <w:rsid w:val="00F679C1"/>
    <w:rsid w:val="00F67DB2"/>
    <w:rsid w:val="00F70044"/>
    <w:rsid w:val="00F7009B"/>
    <w:rsid w:val="00F7029A"/>
    <w:rsid w:val="00F7063F"/>
    <w:rsid w:val="00F70645"/>
    <w:rsid w:val="00F707CC"/>
    <w:rsid w:val="00F70981"/>
    <w:rsid w:val="00F70EB4"/>
    <w:rsid w:val="00F70F96"/>
    <w:rsid w:val="00F7159A"/>
    <w:rsid w:val="00F71DDF"/>
    <w:rsid w:val="00F72003"/>
    <w:rsid w:val="00F726A9"/>
    <w:rsid w:val="00F729F6"/>
    <w:rsid w:val="00F72A2D"/>
    <w:rsid w:val="00F72A9C"/>
    <w:rsid w:val="00F72D99"/>
    <w:rsid w:val="00F72E2D"/>
    <w:rsid w:val="00F73586"/>
    <w:rsid w:val="00F73A92"/>
    <w:rsid w:val="00F74318"/>
    <w:rsid w:val="00F7433C"/>
    <w:rsid w:val="00F744CE"/>
    <w:rsid w:val="00F7464A"/>
    <w:rsid w:val="00F74874"/>
    <w:rsid w:val="00F7489E"/>
    <w:rsid w:val="00F74986"/>
    <w:rsid w:val="00F74D31"/>
    <w:rsid w:val="00F750FE"/>
    <w:rsid w:val="00F7531B"/>
    <w:rsid w:val="00F75536"/>
    <w:rsid w:val="00F75B8A"/>
    <w:rsid w:val="00F75BF2"/>
    <w:rsid w:val="00F75E67"/>
    <w:rsid w:val="00F76097"/>
    <w:rsid w:val="00F76175"/>
    <w:rsid w:val="00F763EB"/>
    <w:rsid w:val="00F76865"/>
    <w:rsid w:val="00F76A78"/>
    <w:rsid w:val="00F76C6B"/>
    <w:rsid w:val="00F76D5A"/>
    <w:rsid w:val="00F772CD"/>
    <w:rsid w:val="00F772E9"/>
    <w:rsid w:val="00F77596"/>
    <w:rsid w:val="00F77675"/>
    <w:rsid w:val="00F777B9"/>
    <w:rsid w:val="00F77C1B"/>
    <w:rsid w:val="00F77EA8"/>
    <w:rsid w:val="00F8010D"/>
    <w:rsid w:val="00F801BA"/>
    <w:rsid w:val="00F8038E"/>
    <w:rsid w:val="00F80466"/>
    <w:rsid w:val="00F804AA"/>
    <w:rsid w:val="00F8057F"/>
    <w:rsid w:val="00F80DBD"/>
    <w:rsid w:val="00F81408"/>
    <w:rsid w:val="00F8162D"/>
    <w:rsid w:val="00F81B4C"/>
    <w:rsid w:val="00F81FA0"/>
    <w:rsid w:val="00F820AD"/>
    <w:rsid w:val="00F822C8"/>
    <w:rsid w:val="00F825CC"/>
    <w:rsid w:val="00F8282A"/>
    <w:rsid w:val="00F829A1"/>
    <w:rsid w:val="00F82A47"/>
    <w:rsid w:val="00F82E97"/>
    <w:rsid w:val="00F82F14"/>
    <w:rsid w:val="00F82F28"/>
    <w:rsid w:val="00F8343D"/>
    <w:rsid w:val="00F83800"/>
    <w:rsid w:val="00F83935"/>
    <w:rsid w:val="00F8394F"/>
    <w:rsid w:val="00F83A40"/>
    <w:rsid w:val="00F83A71"/>
    <w:rsid w:val="00F83C04"/>
    <w:rsid w:val="00F83E95"/>
    <w:rsid w:val="00F83F8B"/>
    <w:rsid w:val="00F84301"/>
    <w:rsid w:val="00F84523"/>
    <w:rsid w:val="00F846E9"/>
    <w:rsid w:val="00F848D3"/>
    <w:rsid w:val="00F84A33"/>
    <w:rsid w:val="00F84DCB"/>
    <w:rsid w:val="00F85218"/>
    <w:rsid w:val="00F855C9"/>
    <w:rsid w:val="00F856F4"/>
    <w:rsid w:val="00F85E2E"/>
    <w:rsid w:val="00F86669"/>
    <w:rsid w:val="00F86B74"/>
    <w:rsid w:val="00F86BCD"/>
    <w:rsid w:val="00F86C3F"/>
    <w:rsid w:val="00F86F82"/>
    <w:rsid w:val="00F87090"/>
    <w:rsid w:val="00F8735C"/>
    <w:rsid w:val="00F87764"/>
    <w:rsid w:val="00F87A8F"/>
    <w:rsid w:val="00F90055"/>
    <w:rsid w:val="00F90090"/>
    <w:rsid w:val="00F905B7"/>
    <w:rsid w:val="00F905E4"/>
    <w:rsid w:val="00F90674"/>
    <w:rsid w:val="00F90994"/>
    <w:rsid w:val="00F90B6D"/>
    <w:rsid w:val="00F90C03"/>
    <w:rsid w:val="00F90C73"/>
    <w:rsid w:val="00F90CEA"/>
    <w:rsid w:val="00F90EE4"/>
    <w:rsid w:val="00F90F64"/>
    <w:rsid w:val="00F9150D"/>
    <w:rsid w:val="00F915EF"/>
    <w:rsid w:val="00F9182A"/>
    <w:rsid w:val="00F918E3"/>
    <w:rsid w:val="00F919F1"/>
    <w:rsid w:val="00F91AD4"/>
    <w:rsid w:val="00F91BE3"/>
    <w:rsid w:val="00F91DBD"/>
    <w:rsid w:val="00F920E0"/>
    <w:rsid w:val="00F921DD"/>
    <w:rsid w:val="00F9245E"/>
    <w:rsid w:val="00F92597"/>
    <w:rsid w:val="00F925F7"/>
    <w:rsid w:val="00F9267D"/>
    <w:rsid w:val="00F92B7F"/>
    <w:rsid w:val="00F935C2"/>
    <w:rsid w:val="00F93677"/>
    <w:rsid w:val="00F9368D"/>
    <w:rsid w:val="00F93902"/>
    <w:rsid w:val="00F93D07"/>
    <w:rsid w:val="00F93FB3"/>
    <w:rsid w:val="00F942C7"/>
    <w:rsid w:val="00F9481E"/>
    <w:rsid w:val="00F9498B"/>
    <w:rsid w:val="00F94FA2"/>
    <w:rsid w:val="00F95A6C"/>
    <w:rsid w:val="00F95AFA"/>
    <w:rsid w:val="00F95DCA"/>
    <w:rsid w:val="00F95EED"/>
    <w:rsid w:val="00F96185"/>
    <w:rsid w:val="00F9625E"/>
    <w:rsid w:val="00F96374"/>
    <w:rsid w:val="00F963FF"/>
    <w:rsid w:val="00F967AA"/>
    <w:rsid w:val="00F9691D"/>
    <w:rsid w:val="00F97361"/>
    <w:rsid w:val="00F975FF"/>
    <w:rsid w:val="00F977C4"/>
    <w:rsid w:val="00F978E7"/>
    <w:rsid w:val="00F97DB1"/>
    <w:rsid w:val="00FA07BB"/>
    <w:rsid w:val="00FA0B2E"/>
    <w:rsid w:val="00FA0C74"/>
    <w:rsid w:val="00FA0DEA"/>
    <w:rsid w:val="00FA0EED"/>
    <w:rsid w:val="00FA12BF"/>
    <w:rsid w:val="00FA1443"/>
    <w:rsid w:val="00FA1474"/>
    <w:rsid w:val="00FA1721"/>
    <w:rsid w:val="00FA1855"/>
    <w:rsid w:val="00FA1D10"/>
    <w:rsid w:val="00FA1E79"/>
    <w:rsid w:val="00FA1FF9"/>
    <w:rsid w:val="00FA2A2C"/>
    <w:rsid w:val="00FA2CE5"/>
    <w:rsid w:val="00FA2DDD"/>
    <w:rsid w:val="00FA2E8D"/>
    <w:rsid w:val="00FA2F87"/>
    <w:rsid w:val="00FA3315"/>
    <w:rsid w:val="00FA34D3"/>
    <w:rsid w:val="00FA35CA"/>
    <w:rsid w:val="00FA3871"/>
    <w:rsid w:val="00FA39A1"/>
    <w:rsid w:val="00FA3E9B"/>
    <w:rsid w:val="00FA44B2"/>
    <w:rsid w:val="00FA4FFE"/>
    <w:rsid w:val="00FA54C9"/>
    <w:rsid w:val="00FA5649"/>
    <w:rsid w:val="00FA59A7"/>
    <w:rsid w:val="00FA5DD2"/>
    <w:rsid w:val="00FA5E80"/>
    <w:rsid w:val="00FA5FED"/>
    <w:rsid w:val="00FA6141"/>
    <w:rsid w:val="00FA6164"/>
    <w:rsid w:val="00FA645E"/>
    <w:rsid w:val="00FA66DD"/>
    <w:rsid w:val="00FA6BD0"/>
    <w:rsid w:val="00FA6F13"/>
    <w:rsid w:val="00FA70C8"/>
    <w:rsid w:val="00FA71E6"/>
    <w:rsid w:val="00FA727F"/>
    <w:rsid w:val="00FA74E2"/>
    <w:rsid w:val="00FA7508"/>
    <w:rsid w:val="00FA7CC8"/>
    <w:rsid w:val="00FA7DF7"/>
    <w:rsid w:val="00FB0732"/>
    <w:rsid w:val="00FB091E"/>
    <w:rsid w:val="00FB0A62"/>
    <w:rsid w:val="00FB0ADF"/>
    <w:rsid w:val="00FB0B80"/>
    <w:rsid w:val="00FB1087"/>
    <w:rsid w:val="00FB1331"/>
    <w:rsid w:val="00FB14B8"/>
    <w:rsid w:val="00FB17BD"/>
    <w:rsid w:val="00FB1963"/>
    <w:rsid w:val="00FB19E4"/>
    <w:rsid w:val="00FB1B59"/>
    <w:rsid w:val="00FB1BE5"/>
    <w:rsid w:val="00FB1DA3"/>
    <w:rsid w:val="00FB1E24"/>
    <w:rsid w:val="00FB1EDD"/>
    <w:rsid w:val="00FB2022"/>
    <w:rsid w:val="00FB22BF"/>
    <w:rsid w:val="00FB24DC"/>
    <w:rsid w:val="00FB27DA"/>
    <w:rsid w:val="00FB28A1"/>
    <w:rsid w:val="00FB2CDC"/>
    <w:rsid w:val="00FB2CF8"/>
    <w:rsid w:val="00FB2DBD"/>
    <w:rsid w:val="00FB2DD7"/>
    <w:rsid w:val="00FB3534"/>
    <w:rsid w:val="00FB3555"/>
    <w:rsid w:val="00FB37EA"/>
    <w:rsid w:val="00FB38DB"/>
    <w:rsid w:val="00FB39E8"/>
    <w:rsid w:val="00FB3EFD"/>
    <w:rsid w:val="00FB42CC"/>
    <w:rsid w:val="00FB493C"/>
    <w:rsid w:val="00FB499F"/>
    <w:rsid w:val="00FB4A5A"/>
    <w:rsid w:val="00FB4B1F"/>
    <w:rsid w:val="00FB4C13"/>
    <w:rsid w:val="00FB4C78"/>
    <w:rsid w:val="00FB4CD4"/>
    <w:rsid w:val="00FB4E51"/>
    <w:rsid w:val="00FB4E8F"/>
    <w:rsid w:val="00FB4EA6"/>
    <w:rsid w:val="00FB598F"/>
    <w:rsid w:val="00FB5C3A"/>
    <w:rsid w:val="00FB5C73"/>
    <w:rsid w:val="00FB601F"/>
    <w:rsid w:val="00FB659F"/>
    <w:rsid w:val="00FB6810"/>
    <w:rsid w:val="00FB6F36"/>
    <w:rsid w:val="00FB7049"/>
    <w:rsid w:val="00FB708F"/>
    <w:rsid w:val="00FB7569"/>
    <w:rsid w:val="00FB7577"/>
    <w:rsid w:val="00FB7BBA"/>
    <w:rsid w:val="00FB7CE9"/>
    <w:rsid w:val="00FC0AB0"/>
    <w:rsid w:val="00FC0E3E"/>
    <w:rsid w:val="00FC12CC"/>
    <w:rsid w:val="00FC1385"/>
    <w:rsid w:val="00FC18C0"/>
    <w:rsid w:val="00FC1A62"/>
    <w:rsid w:val="00FC1C30"/>
    <w:rsid w:val="00FC1C38"/>
    <w:rsid w:val="00FC1E08"/>
    <w:rsid w:val="00FC23DE"/>
    <w:rsid w:val="00FC244F"/>
    <w:rsid w:val="00FC27D1"/>
    <w:rsid w:val="00FC2BB7"/>
    <w:rsid w:val="00FC2F6E"/>
    <w:rsid w:val="00FC31E9"/>
    <w:rsid w:val="00FC327F"/>
    <w:rsid w:val="00FC32F6"/>
    <w:rsid w:val="00FC3429"/>
    <w:rsid w:val="00FC349C"/>
    <w:rsid w:val="00FC3599"/>
    <w:rsid w:val="00FC3696"/>
    <w:rsid w:val="00FC390C"/>
    <w:rsid w:val="00FC3944"/>
    <w:rsid w:val="00FC3AE2"/>
    <w:rsid w:val="00FC3B5A"/>
    <w:rsid w:val="00FC3B6D"/>
    <w:rsid w:val="00FC3F27"/>
    <w:rsid w:val="00FC4555"/>
    <w:rsid w:val="00FC48DB"/>
    <w:rsid w:val="00FC5279"/>
    <w:rsid w:val="00FC5333"/>
    <w:rsid w:val="00FC5C48"/>
    <w:rsid w:val="00FC5D0C"/>
    <w:rsid w:val="00FC5E5E"/>
    <w:rsid w:val="00FC5F6A"/>
    <w:rsid w:val="00FC60E1"/>
    <w:rsid w:val="00FC6401"/>
    <w:rsid w:val="00FC67AF"/>
    <w:rsid w:val="00FC67BF"/>
    <w:rsid w:val="00FC67DF"/>
    <w:rsid w:val="00FC6971"/>
    <w:rsid w:val="00FC6AD6"/>
    <w:rsid w:val="00FC6B40"/>
    <w:rsid w:val="00FC6B50"/>
    <w:rsid w:val="00FC6C40"/>
    <w:rsid w:val="00FC6DE8"/>
    <w:rsid w:val="00FC6E2C"/>
    <w:rsid w:val="00FC7201"/>
    <w:rsid w:val="00FC7254"/>
    <w:rsid w:val="00FC727E"/>
    <w:rsid w:val="00FC749F"/>
    <w:rsid w:val="00FC74B2"/>
    <w:rsid w:val="00FC772F"/>
    <w:rsid w:val="00FC7960"/>
    <w:rsid w:val="00FC7DAE"/>
    <w:rsid w:val="00FC7F32"/>
    <w:rsid w:val="00FD0049"/>
    <w:rsid w:val="00FD0163"/>
    <w:rsid w:val="00FD04F7"/>
    <w:rsid w:val="00FD095F"/>
    <w:rsid w:val="00FD0A71"/>
    <w:rsid w:val="00FD0B25"/>
    <w:rsid w:val="00FD0B68"/>
    <w:rsid w:val="00FD0C04"/>
    <w:rsid w:val="00FD0C95"/>
    <w:rsid w:val="00FD0D46"/>
    <w:rsid w:val="00FD0FF7"/>
    <w:rsid w:val="00FD1076"/>
    <w:rsid w:val="00FD12BF"/>
    <w:rsid w:val="00FD133E"/>
    <w:rsid w:val="00FD165A"/>
    <w:rsid w:val="00FD1951"/>
    <w:rsid w:val="00FD1E4E"/>
    <w:rsid w:val="00FD1F75"/>
    <w:rsid w:val="00FD227B"/>
    <w:rsid w:val="00FD2B44"/>
    <w:rsid w:val="00FD2B4D"/>
    <w:rsid w:val="00FD2D7B"/>
    <w:rsid w:val="00FD2DA3"/>
    <w:rsid w:val="00FD2EF2"/>
    <w:rsid w:val="00FD2F59"/>
    <w:rsid w:val="00FD305C"/>
    <w:rsid w:val="00FD3191"/>
    <w:rsid w:val="00FD4357"/>
    <w:rsid w:val="00FD46BA"/>
    <w:rsid w:val="00FD49DF"/>
    <w:rsid w:val="00FD4B10"/>
    <w:rsid w:val="00FD4B21"/>
    <w:rsid w:val="00FD4E43"/>
    <w:rsid w:val="00FD5125"/>
    <w:rsid w:val="00FD51A8"/>
    <w:rsid w:val="00FD51DD"/>
    <w:rsid w:val="00FD5732"/>
    <w:rsid w:val="00FD584E"/>
    <w:rsid w:val="00FD58BA"/>
    <w:rsid w:val="00FD5940"/>
    <w:rsid w:val="00FD629B"/>
    <w:rsid w:val="00FD6333"/>
    <w:rsid w:val="00FD6361"/>
    <w:rsid w:val="00FD6547"/>
    <w:rsid w:val="00FD67EA"/>
    <w:rsid w:val="00FD6A8C"/>
    <w:rsid w:val="00FD6BAB"/>
    <w:rsid w:val="00FD6C09"/>
    <w:rsid w:val="00FD6D27"/>
    <w:rsid w:val="00FD6FF2"/>
    <w:rsid w:val="00FD70F1"/>
    <w:rsid w:val="00FD71C6"/>
    <w:rsid w:val="00FD7241"/>
    <w:rsid w:val="00FD7267"/>
    <w:rsid w:val="00FD78A0"/>
    <w:rsid w:val="00FD7961"/>
    <w:rsid w:val="00FD7AFE"/>
    <w:rsid w:val="00FD7D85"/>
    <w:rsid w:val="00FE0060"/>
    <w:rsid w:val="00FE0066"/>
    <w:rsid w:val="00FE00C1"/>
    <w:rsid w:val="00FE0181"/>
    <w:rsid w:val="00FE0677"/>
    <w:rsid w:val="00FE077A"/>
    <w:rsid w:val="00FE0927"/>
    <w:rsid w:val="00FE0B48"/>
    <w:rsid w:val="00FE0FEB"/>
    <w:rsid w:val="00FE16E5"/>
    <w:rsid w:val="00FE1750"/>
    <w:rsid w:val="00FE181C"/>
    <w:rsid w:val="00FE1839"/>
    <w:rsid w:val="00FE1B89"/>
    <w:rsid w:val="00FE1F1E"/>
    <w:rsid w:val="00FE20FD"/>
    <w:rsid w:val="00FE2453"/>
    <w:rsid w:val="00FE2653"/>
    <w:rsid w:val="00FE2937"/>
    <w:rsid w:val="00FE318D"/>
    <w:rsid w:val="00FE322F"/>
    <w:rsid w:val="00FE34FD"/>
    <w:rsid w:val="00FE363D"/>
    <w:rsid w:val="00FE36D8"/>
    <w:rsid w:val="00FE374D"/>
    <w:rsid w:val="00FE39E2"/>
    <w:rsid w:val="00FE3F41"/>
    <w:rsid w:val="00FE4007"/>
    <w:rsid w:val="00FE433A"/>
    <w:rsid w:val="00FE43DA"/>
    <w:rsid w:val="00FE4450"/>
    <w:rsid w:val="00FE487B"/>
    <w:rsid w:val="00FE498C"/>
    <w:rsid w:val="00FE4D15"/>
    <w:rsid w:val="00FE4F22"/>
    <w:rsid w:val="00FE4FDA"/>
    <w:rsid w:val="00FE5064"/>
    <w:rsid w:val="00FE50C5"/>
    <w:rsid w:val="00FE52CE"/>
    <w:rsid w:val="00FE53BB"/>
    <w:rsid w:val="00FE53E2"/>
    <w:rsid w:val="00FE56B3"/>
    <w:rsid w:val="00FE5D27"/>
    <w:rsid w:val="00FE5EC6"/>
    <w:rsid w:val="00FE6388"/>
    <w:rsid w:val="00FE63F3"/>
    <w:rsid w:val="00FE6401"/>
    <w:rsid w:val="00FE6E4C"/>
    <w:rsid w:val="00FE6F43"/>
    <w:rsid w:val="00FE71CD"/>
    <w:rsid w:val="00FE76D8"/>
    <w:rsid w:val="00FE793A"/>
    <w:rsid w:val="00FE7AA0"/>
    <w:rsid w:val="00FE7B68"/>
    <w:rsid w:val="00FE7C2E"/>
    <w:rsid w:val="00FE7C70"/>
    <w:rsid w:val="00FE7D04"/>
    <w:rsid w:val="00FE7E58"/>
    <w:rsid w:val="00FF0179"/>
    <w:rsid w:val="00FF07A9"/>
    <w:rsid w:val="00FF0BBA"/>
    <w:rsid w:val="00FF0D11"/>
    <w:rsid w:val="00FF0DD7"/>
    <w:rsid w:val="00FF0DE4"/>
    <w:rsid w:val="00FF14CC"/>
    <w:rsid w:val="00FF1541"/>
    <w:rsid w:val="00FF1A2D"/>
    <w:rsid w:val="00FF1AAC"/>
    <w:rsid w:val="00FF1B56"/>
    <w:rsid w:val="00FF1FC6"/>
    <w:rsid w:val="00FF2267"/>
    <w:rsid w:val="00FF229A"/>
    <w:rsid w:val="00FF24B5"/>
    <w:rsid w:val="00FF268B"/>
    <w:rsid w:val="00FF2777"/>
    <w:rsid w:val="00FF27C2"/>
    <w:rsid w:val="00FF2E2B"/>
    <w:rsid w:val="00FF2FB4"/>
    <w:rsid w:val="00FF31BB"/>
    <w:rsid w:val="00FF32DB"/>
    <w:rsid w:val="00FF3379"/>
    <w:rsid w:val="00FF35E7"/>
    <w:rsid w:val="00FF37B5"/>
    <w:rsid w:val="00FF38AF"/>
    <w:rsid w:val="00FF3F94"/>
    <w:rsid w:val="00FF44C1"/>
    <w:rsid w:val="00FF4632"/>
    <w:rsid w:val="00FF4779"/>
    <w:rsid w:val="00FF4A9B"/>
    <w:rsid w:val="00FF4DB4"/>
    <w:rsid w:val="00FF55AE"/>
    <w:rsid w:val="00FF55DA"/>
    <w:rsid w:val="00FF5715"/>
    <w:rsid w:val="00FF5720"/>
    <w:rsid w:val="00FF5915"/>
    <w:rsid w:val="00FF5ABA"/>
    <w:rsid w:val="00FF5B8E"/>
    <w:rsid w:val="00FF60FC"/>
    <w:rsid w:val="00FF6261"/>
    <w:rsid w:val="00FF6428"/>
    <w:rsid w:val="00FF6725"/>
    <w:rsid w:val="00FF6A03"/>
    <w:rsid w:val="00FF6AC8"/>
    <w:rsid w:val="00FF6EA9"/>
    <w:rsid w:val="00FF6F77"/>
    <w:rsid w:val="00FF70EA"/>
    <w:rsid w:val="00FF722F"/>
    <w:rsid w:val="00FF728C"/>
    <w:rsid w:val="00FF72C0"/>
    <w:rsid w:val="00FF78F4"/>
    <w:rsid w:val="00FF7A67"/>
    <w:rsid w:val="00FF7F97"/>
    <w:rsid w:val="187E0A1B"/>
    <w:rsid w:val="221B08F0"/>
    <w:rsid w:val="2D022CFC"/>
    <w:rsid w:val="366AE27C"/>
    <w:rsid w:val="3AE7141C"/>
    <w:rsid w:val="4C286EED"/>
    <w:rsid w:val="4E6C82DE"/>
    <w:rsid w:val="56FF8857"/>
    <w:rsid w:val="5DA57C5C"/>
    <w:rsid w:val="7C4CCB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F0D34"/>
  <w15:docId w15:val="{0F45ED61-DA80-4966-B086-29E91703B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A88"/>
    <w:pPr>
      <w:spacing w:before="160" w:line="336" w:lineRule="auto"/>
    </w:pPr>
    <w:rPr>
      <w:lang w:val="en-AU"/>
    </w:rPr>
  </w:style>
  <w:style w:type="paragraph" w:styleId="Heading1">
    <w:name w:val="heading 1"/>
    <w:basedOn w:val="Normal"/>
    <w:next w:val="Normal"/>
    <w:link w:val="Heading1Char"/>
    <w:uiPriority w:val="9"/>
    <w:qFormat/>
    <w:rsid w:val="002E7385"/>
    <w:pPr>
      <w:keepNext/>
      <w:keepLines/>
      <w:pageBreakBefore/>
      <w:spacing w:before="240" w:after="320"/>
      <w:outlineLvl w:val="0"/>
    </w:pPr>
    <w:rPr>
      <w:rFonts w:ascii="Tahoma" w:eastAsiaTheme="majorEastAsia" w:hAnsi="Tahoma" w:cstheme="majorBidi"/>
      <w:color w:val="CE0058" w:themeColor="accent2"/>
      <w:sz w:val="40"/>
      <w:szCs w:val="32"/>
    </w:rPr>
  </w:style>
  <w:style w:type="paragraph" w:styleId="Heading2">
    <w:name w:val="heading 2"/>
    <w:basedOn w:val="Normal"/>
    <w:next w:val="Normal"/>
    <w:link w:val="Heading2Char"/>
    <w:uiPriority w:val="9"/>
    <w:unhideWhenUsed/>
    <w:qFormat/>
    <w:rsid w:val="002E7385"/>
    <w:pPr>
      <w:keepNext/>
      <w:keepLines/>
      <w:spacing w:before="240"/>
      <w:outlineLvl w:val="1"/>
    </w:pPr>
    <w:rPr>
      <w:rFonts w:ascii="Tahoma" w:eastAsiaTheme="majorEastAsia" w:hAnsi="Tahoma" w:cstheme="majorBidi"/>
      <w:b/>
      <w:sz w:val="26"/>
      <w:szCs w:val="26"/>
    </w:rPr>
  </w:style>
  <w:style w:type="paragraph" w:styleId="Heading3">
    <w:name w:val="heading 3"/>
    <w:basedOn w:val="Normal"/>
    <w:next w:val="Normal"/>
    <w:link w:val="Heading3Char"/>
    <w:uiPriority w:val="9"/>
    <w:unhideWhenUsed/>
    <w:qFormat/>
    <w:rsid w:val="002E7385"/>
    <w:pPr>
      <w:keepNext/>
      <w:keepLines/>
      <w:spacing w:before="200" w:after="120"/>
      <w:outlineLvl w:val="2"/>
    </w:pPr>
    <w:rPr>
      <w:rFonts w:ascii="Tahoma" w:eastAsiaTheme="majorEastAsia" w:hAnsi="Tahoma" w:cstheme="majorBidi"/>
      <w:b/>
      <w:color w:val="4986A0" w:themeColor="text2"/>
      <w:szCs w:val="24"/>
    </w:rPr>
  </w:style>
  <w:style w:type="paragraph" w:styleId="Heading4">
    <w:name w:val="heading 4"/>
    <w:basedOn w:val="Normal"/>
    <w:next w:val="Normal"/>
    <w:link w:val="Heading4Char"/>
    <w:uiPriority w:val="9"/>
    <w:unhideWhenUsed/>
    <w:qFormat/>
    <w:rsid w:val="002E7385"/>
    <w:pPr>
      <w:keepNext/>
      <w:keepLines/>
      <w:spacing w:before="120" w:after="0"/>
      <w:outlineLvl w:val="3"/>
    </w:pPr>
    <w:rPr>
      <w:rFonts w:ascii="Tahoma" w:eastAsiaTheme="majorEastAsia" w:hAnsi="Tahoma" w:cstheme="majorBidi"/>
      <w:b/>
      <w:iCs/>
      <w:color w:val="75787B" w:themeColor="background2"/>
    </w:rPr>
  </w:style>
  <w:style w:type="paragraph" w:styleId="Heading5">
    <w:name w:val="heading 5"/>
    <w:basedOn w:val="Normal"/>
    <w:next w:val="Normal"/>
    <w:link w:val="Heading5Char"/>
    <w:uiPriority w:val="9"/>
    <w:unhideWhenUsed/>
    <w:rsid w:val="006A0547"/>
    <w:pPr>
      <w:keepNext/>
      <w:keepLines/>
      <w:spacing w:before="200" w:after="0"/>
      <w:outlineLvl w:val="4"/>
    </w:pPr>
    <w:rPr>
      <w:rFonts w:asciiTheme="majorHAnsi" w:eastAsiaTheme="majorEastAsia" w:hAnsiTheme="majorHAnsi" w:cstheme="majorBidi"/>
      <w:i/>
      <w:color w:val="1130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E03FA"/>
    <w:pPr>
      <w:tabs>
        <w:tab w:val="center" w:pos="4680"/>
        <w:tab w:val="right" w:pos="9360"/>
      </w:tabs>
      <w:spacing w:after="0"/>
    </w:pPr>
  </w:style>
  <w:style w:type="character" w:customStyle="1" w:styleId="HeaderChar">
    <w:name w:val="Header Char"/>
    <w:basedOn w:val="DefaultParagraphFont"/>
    <w:link w:val="Header"/>
    <w:uiPriority w:val="99"/>
    <w:semiHidden/>
    <w:rsid w:val="00812056"/>
    <w:rPr>
      <w:lang w:val="en-AU"/>
    </w:rPr>
  </w:style>
  <w:style w:type="paragraph" w:styleId="Footer">
    <w:name w:val="footer"/>
    <w:basedOn w:val="Normal"/>
    <w:link w:val="FooterChar"/>
    <w:uiPriority w:val="99"/>
    <w:unhideWhenUsed/>
    <w:rsid w:val="00CF34D6"/>
    <w:pPr>
      <w:tabs>
        <w:tab w:val="center" w:pos="4680"/>
        <w:tab w:val="right" w:pos="9360"/>
      </w:tabs>
      <w:spacing w:before="120" w:after="0" w:line="288" w:lineRule="auto"/>
      <w:contextualSpacing/>
    </w:pPr>
    <w:rPr>
      <w:color w:val="75787B" w:themeColor="background2"/>
    </w:rPr>
  </w:style>
  <w:style w:type="character" w:customStyle="1" w:styleId="FooterChar">
    <w:name w:val="Footer Char"/>
    <w:basedOn w:val="DefaultParagraphFont"/>
    <w:link w:val="Footer"/>
    <w:uiPriority w:val="99"/>
    <w:rsid w:val="00CF34D6"/>
    <w:rPr>
      <w:color w:val="75787B" w:themeColor="background2"/>
    </w:rPr>
  </w:style>
  <w:style w:type="paragraph" w:styleId="Title">
    <w:name w:val="Title"/>
    <w:basedOn w:val="Normal"/>
    <w:next w:val="Normal"/>
    <w:link w:val="TitleChar"/>
    <w:uiPriority w:val="10"/>
    <w:semiHidden/>
    <w:qFormat/>
    <w:rsid w:val="002E7385"/>
    <w:pPr>
      <w:spacing w:after="280"/>
      <w:contextualSpacing/>
    </w:pPr>
    <w:rPr>
      <w:rFonts w:ascii="Tahoma" w:eastAsiaTheme="majorEastAsia" w:hAnsi="Tahoma" w:cstheme="majorBidi"/>
      <w:color w:val="4986A0" w:themeColor="text2"/>
      <w:kern w:val="28"/>
      <w:sz w:val="52"/>
      <w:szCs w:val="56"/>
    </w:rPr>
  </w:style>
  <w:style w:type="character" w:customStyle="1" w:styleId="TitleChar">
    <w:name w:val="Title Char"/>
    <w:basedOn w:val="DefaultParagraphFont"/>
    <w:link w:val="Title"/>
    <w:uiPriority w:val="10"/>
    <w:semiHidden/>
    <w:rsid w:val="00812056"/>
    <w:rPr>
      <w:rFonts w:ascii="Tahoma" w:eastAsiaTheme="majorEastAsia" w:hAnsi="Tahoma" w:cstheme="majorBidi"/>
      <w:color w:val="4986A0" w:themeColor="text2"/>
      <w:kern w:val="28"/>
      <w:sz w:val="52"/>
      <w:szCs w:val="56"/>
      <w:lang w:val="en-AU"/>
    </w:rPr>
  </w:style>
  <w:style w:type="paragraph" w:styleId="Subtitle">
    <w:name w:val="Subtitle"/>
    <w:basedOn w:val="Normal"/>
    <w:next w:val="Normal"/>
    <w:link w:val="SubtitleChar"/>
    <w:uiPriority w:val="11"/>
    <w:qFormat/>
    <w:rsid w:val="002E7385"/>
    <w:pPr>
      <w:numPr>
        <w:ilvl w:val="1"/>
      </w:numPr>
      <w:spacing w:after="240"/>
    </w:pPr>
    <w:rPr>
      <w:rFonts w:ascii="Tahoma" w:eastAsiaTheme="minorEastAsia" w:hAnsi="Tahoma"/>
      <w:color w:val="75787B" w:themeColor="background2"/>
      <w:sz w:val="28"/>
    </w:rPr>
  </w:style>
  <w:style w:type="character" w:customStyle="1" w:styleId="SubtitleChar">
    <w:name w:val="Subtitle Char"/>
    <w:basedOn w:val="DefaultParagraphFont"/>
    <w:link w:val="Subtitle"/>
    <w:uiPriority w:val="11"/>
    <w:rsid w:val="002E7385"/>
    <w:rPr>
      <w:rFonts w:ascii="Tahoma" w:eastAsiaTheme="minorEastAsia" w:hAnsi="Tahoma"/>
      <w:color w:val="75787B" w:themeColor="background2"/>
      <w:sz w:val="28"/>
    </w:rPr>
  </w:style>
  <w:style w:type="character" w:styleId="PlaceholderText">
    <w:name w:val="Placeholder Text"/>
    <w:basedOn w:val="DefaultParagraphFont"/>
    <w:uiPriority w:val="99"/>
    <w:semiHidden/>
    <w:rsid w:val="00615C49"/>
    <w:rPr>
      <w:color w:val="808080"/>
    </w:rPr>
  </w:style>
  <w:style w:type="table" w:styleId="TableGrid">
    <w:name w:val="Table Grid"/>
    <w:basedOn w:val="TableNormal"/>
    <w:uiPriority w:val="39"/>
    <w:rsid w:val="005C6E04"/>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table" w:customStyle="1" w:styleId="FooterTable">
    <w:name w:val="Footer Table"/>
    <w:basedOn w:val="TableNormal"/>
    <w:uiPriority w:val="99"/>
    <w:rsid w:val="007B6C8C"/>
    <w:pPr>
      <w:spacing w:after="0" w:line="240" w:lineRule="auto"/>
      <w:jc w:val="center"/>
    </w:pPr>
    <w:tblPr>
      <w:jc w:val="right"/>
      <w:tblBorders>
        <w:insideV w:val="single" w:sz="12" w:space="0" w:color="FFFFFF" w:themeColor="background1"/>
      </w:tblBorders>
      <w:tblCellMar>
        <w:left w:w="85" w:type="dxa"/>
        <w:right w:w="85" w:type="dxa"/>
      </w:tblCellMar>
    </w:tblPr>
    <w:trPr>
      <w:jc w:val="right"/>
    </w:trPr>
    <w:tcPr>
      <w:shd w:val="clear" w:color="auto" w:fill="CE0058" w:themeFill="accent2"/>
      <w:vAlign w:val="center"/>
    </w:tcPr>
    <w:tblStylePr w:type="firstCol">
      <w:tblPr/>
      <w:tcPr>
        <w:shd w:val="clear" w:color="auto" w:fill="CE0058" w:themeFill="accent2"/>
      </w:tcPr>
    </w:tblStylePr>
  </w:style>
  <w:style w:type="character" w:customStyle="1" w:styleId="Heading1Char">
    <w:name w:val="Heading 1 Char"/>
    <w:basedOn w:val="DefaultParagraphFont"/>
    <w:link w:val="Heading1"/>
    <w:uiPriority w:val="9"/>
    <w:rsid w:val="002E7385"/>
    <w:rPr>
      <w:rFonts w:ascii="Tahoma" w:eastAsiaTheme="majorEastAsia" w:hAnsi="Tahoma" w:cstheme="majorBidi"/>
      <w:color w:val="CE0058" w:themeColor="accent2"/>
      <w:sz w:val="40"/>
      <w:szCs w:val="32"/>
    </w:rPr>
  </w:style>
  <w:style w:type="character" w:customStyle="1" w:styleId="Heading2Char">
    <w:name w:val="Heading 2 Char"/>
    <w:basedOn w:val="DefaultParagraphFont"/>
    <w:link w:val="Heading2"/>
    <w:uiPriority w:val="9"/>
    <w:rsid w:val="002E7385"/>
    <w:rPr>
      <w:rFonts w:ascii="Tahoma" w:eastAsiaTheme="majorEastAsia" w:hAnsi="Tahoma" w:cstheme="majorBidi"/>
      <w:b/>
      <w:sz w:val="26"/>
      <w:szCs w:val="26"/>
    </w:rPr>
  </w:style>
  <w:style w:type="paragraph" w:styleId="ListBullet">
    <w:name w:val="List Bullet"/>
    <w:basedOn w:val="Normal"/>
    <w:link w:val="ListBulletChar"/>
    <w:autoRedefine/>
    <w:uiPriority w:val="99"/>
    <w:unhideWhenUsed/>
    <w:qFormat/>
    <w:rsid w:val="0004099F"/>
    <w:pPr>
      <w:numPr>
        <w:numId w:val="41"/>
      </w:numPr>
      <w:tabs>
        <w:tab w:val="num" w:pos="360"/>
      </w:tabs>
      <w:spacing w:before="20" w:after="0"/>
      <w:ind w:left="284" w:hanging="284"/>
      <w:contextualSpacing/>
    </w:pPr>
  </w:style>
  <w:style w:type="paragraph" w:styleId="BalloonText">
    <w:name w:val="Balloon Text"/>
    <w:basedOn w:val="Normal"/>
    <w:link w:val="BalloonTextChar"/>
    <w:uiPriority w:val="99"/>
    <w:semiHidden/>
    <w:unhideWhenUsed/>
    <w:rsid w:val="00865E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CE"/>
    <w:rPr>
      <w:rFonts w:ascii="Segoe UI" w:hAnsi="Segoe UI" w:cs="Segoe UI"/>
      <w:sz w:val="18"/>
      <w:szCs w:val="18"/>
    </w:rPr>
  </w:style>
  <w:style w:type="paragraph" w:customStyle="1" w:styleId="Heading1numbered">
    <w:name w:val="Heading 1 numbered"/>
    <w:basedOn w:val="Heading1"/>
    <w:next w:val="Normal"/>
    <w:qFormat/>
    <w:rsid w:val="005F5578"/>
    <w:pPr>
      <w:ind w:left="567" w:hanging="567"/>
    </w:pPr>
  </w:style>
  <w:style w:type="paragraph" w:customStyle="1" w:styleId="Heading2numbered">
    <w:name w:val="Heading 2 numbered"/>
    <w:basedOn w:val="Heading2"/>
    <w:next w:val="Normal"/>
    <w:qFormat/>
    <w:rsid w:val="005F5578"/>
    <w:pPr>
      <w:ind w:left="851" w:hanging="851"/>
    </w:pPr>
  </w:style>
  <w:style w:type="numbering" w:customStyle="1" w:styleId="Bullet">
    <w:name w:val="Bullet"/>
    <w:uiPriority w:val="99"/>
    <w:rsid w:val="00DC2B59"/>
    <w:pPr>
      <w:numPr>
        <w:numId w:val="2"/>
      </w:numPr>
    </w:pPr>
  </w:style>
  <w:style w:type="numbering" w:customStyle="1" w:styleId="NumberedHeadings">
    <w:name w:val="Numbered Headings"/>
    <w:uiPriority w:val="99"/>
    <w:rsid w:val="005F5578"/>
  </w:style>
  <w:style w:type="paragraph" w:styleId="ListBullet2">
    <w:name w:val="List Bullet 2"/>
    <w:basedOn w:val="Normal"/>
    <w:link w:val="ListBullet2Char"/>
    <w:uiPriority w:val="99"/>
    <w:unhideWhenUsed/>
    <w:qFormat/>
    <w:rsid w:val="004750DB"/>
    <w:pPr>
      <w:numPr>
        <w:numId w:val="37"/>
      </w:numPr>
      <w:ind w:left="568" w:hanging="284"/>
      <w:contextualSpacing/>
    </w:pPr>
  </w:style>
  <w:style w:type="paragraph" w:customStyle="1" w:styleId="TitleCentred">
    <w:name w:val="Title Centred"/>
    <w:basedOn w:val="Title"/>
    <w:link w:val="TitleCentredChar"/>
    <w:semiHidden/>
    <w:qFormat/>
    <w:rsid w:val="00062AE4"/>
    <w:pPr>
      <w:framePr w:wrap="around" w:vAnchor="page" w:hAnchor="page" w:xAlign="center" w:yAlign="center" w:anchorLock="1"/>
      <w:jc w:val="center"/>
    </w:pPr>
  </w:style>
  <w:style w:type="paragraph" w:customStyle="1" w:styleId="SubtitleCentred">
    <w:name w:val="Subtitle Centred"/>
    <w:basedOn w:val="Subtitle"/>
    <w:rsid w:val="00062AE4"/>
    <w:pPr>
      <w:framePr w:wrap="around" w:vAnchor="page" w:hAnchor="page" w:xAlign="center" w:yAlign="center" w:anchorLock="1"/>
      <w:jc w:val="center"/>
    </w:pPr>
  </w:style>
  <w:style w:type="character" w:customStyle="1" w:styleId="TitleCentredChar">
    <w:name w:val="Title Centred Char"/>
    <w:basedOn w:val="TitleChar"/>
    <w:link w:val="TitleCentred"/>
    <w:semiHidden/>
    <w:rsid w:val="00812056"/>
    <w:rPr>
      <w:rFonts w:ascii="Tahoma" w:eastAsiaTheme="majorEastAsia" w:hAnsi="Tahoma" w:cstheme="majorBidi"/>
      <w:color w:val="4986A0" w:themeColor="text2"/>
      <w:kern w:val="28"/>
      <w:sz w:val="52"/>
      <w:szCs w:val="56"/>
      <w:lang w:val="en-AU"/>
    </w:rPr>
  </w:style>
  <w:style w:type="character" w:styleId="PageNumber">
    <w:name w:val="page number"/>
    <w:basedOn w:val="DefaultParagraphFont"/>
    <w:uiPriority w:val="99"/>
    <w:semiHidden/>
    <w:rsid w:val="007B6C8C"/>
    <w:rPr>
      <w:b/>
      <w:color w:val="FFFFFF" w:themeColor="background1"/>
      <w:sz w:val="22"/>
      <w:bdr w:val="none" w:sz="0" w:space="0" w:color="auto"/>
      <w:shd w:val="clear" w:color="auto" w:fill="CE0058" w:themeFill="accent2"/>
    </w:rPr>
  </w:style>
  <w:style w:type="paragraph" w:customStyle="1" w:styleId="Pull-out">
    <w:name w:val="Pull-out"/>
    <w:basedOn w:val="Normal"/>
    <w:qFormat/>
    <w:rsid w:val="00C753B8"/>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198" w:right="198"/>
    </w:pPr>
  </w:style>
  <w:style w:type="paragraph" w:styleId="Quote">
    <w:name w:val="Quote"/>
    <w:basedOn w:val="Normal"/>
    <w:next w:val="Normal"/>
    <w:link w:val="QuoteChar"/>
    <w:uiPriority w:val="29"/>
    <w:qFormat/>
    <w:rsid w:val="00C753B8"/>
    <w:pPr>
      <w:spacing w:before="240" w:after="240"/>
      <w:ind w:left="567"/>
    </w:pPr>
    <w:rPr>
      <w:iCs/>
      <w:color w:val="4986A0" w:themeColor="text2"/>
    </w:rPr>
  </w:style>
  <w:style w:type="character" w:customStyle="1" w:styleId="QuoteChar">
    <w:name w:val="Quote Char"/>
    <w:basedOn w:val="DefaultParagraphFont"/>
    <w:link w:val="Quote"/>
    <w:uiPriority w:val="29"/>
    <w:rsid w:val="00C753B8"/>
    <w:rPr>
      <w:iCs/>
      <w:color w:val="4986A0" w:themeColor="text2"/>
    </w:rPr>
  </w:style>
  <w:style w:type="paragraph" w:styleId="NoSpacing">
    <w:name w:val="No Spacing"/>
    <w:link w:val="NoSpacingChar"/>
    <w:uiPriority w:val="1"/>
    <w:semiHidden/>
    <w:qFormat/>
    <w:rsid w:val="005C6E04"/>
    <w:pPr>
      <w:spacing w:after="0" w:line="240" w:lineRule="auto"/>
    </w:pPr>
  </w:style>
  <w:style w:type="table" w:customStyle="1" w:styleId="TwoColumnTable">
    <w:name w:val="Two Column Table"/>
    <w:basedOn w:val="TableNormal"/>
    <w:uiPriority w:val="99"/>
    <w:rsid w:val="00B027ED"/>
    <w:pPr>
      <w:spacing w:after="0" w:line="240" w:lineRule="auto"/>
    </w:pPr>
    <w:tblPr>
      <w:tblCellMar>
        <w:top w:w="113" w:type="dxa"/>
        <w:left w:w="85" w:type="dxa"/>
        <w:right w:w="0" w:type="dxa"/>
      </w:tblCellMar>
    </w:tblPr>
    <w:tblStylePr w:type="firstRow">
      <w:tblPr/>
      <w:tcPr>
        <w:tcBorders>
          <w:top w:val="single" w:sz="8" w:space="0" w:color="4986A0" w:themeColor="text2"/>
          <w:left w:val="nil"/>
          <w:bottom w:val="nil"/>
          <w:right w:val="nil"/>
          <w:insideH w:val="nil"/>
          <w:insideV w:val="nil"/>
          <w:tl2br w:val="nil"/>
          <w:tr2bl w:val="nil"/>
        </w:tcBorders>
      </w:tcPr>
    </w:tblStylePr>
    <w:tblStylePr w:type="lastRow">
      <w:tblPr/>
      <w:tcPr>
        <w:tcBorders>
          <w:top w:val="nil"/>
          <w:left w:val="nil"/>
          <w:bottom w:val="single" w:sz="8" w:space="0" w:color="4986A0" w:themeColor="text2"/>
          <w:right w:val="nil"/>
          <w:insideH w:val="nil"/>
          <w:insideV w:val="nil"/>
          <w:tl2br w:val="nil"/>
          <w:tr2bl w:val="nil"/>
        </w:tcBorders>
      </w:tcPr>
    </w:tblStylePr>
  </w:style>
  <w:style w:type="character" w:customStyle="1" w:styleId="Heading3Char">
    <w:name w:val="Heading 3 Char"/>
    <w:basedOn w:val="DefaultParagraphFont"/>
    <w:link w:val="Heading3"/>
    <w:uiPriority w:val="9"/>
    <w:rsid w:val="002E7385"/>
    <w:rPr>
      <w:rFonts w:ascii="Tahoma" w:eastAsiaTheme="majorEastAsia" w:hAnsi="Tahoma" w:cstheme="majorBidi"/>
      <w:b/>
      <w:color w:val="4986A0" w:themeColor="text2"/>
      <w:szCs w:val="24"/>
    </w:rPr>
  </w:style>
  <w:style w:type="paragraph" w:styleId="TOC2">
    <w:name w:val="toc 2"/>
    <w:basedOn w:val="TOC1"/>
    <w:next w:val="Normal"/>
    <w:autoRedefine/>
    <w:uiPriority w:val="39"/>
    <w:rsid w:val="00BE4631"/>
    <w:rPr>
      <w:bCs/>
      <w:noProof/>
    </w:rPr>
  </w:style>
  <w:style w:type="paragraph" w:styleId="TOC1">
    <w:name w:val="toc 1"/>
    <w:basedOn w:val="Normal"/>
    <w:next w:val="Normal"/>
    <w:autoRedefine/>
    <w:uiPriority w:val="39"/>
    <w:rsid w:val="009D67CC"/>
    <w:pPr>
      <w:tabs>
        <w:tab w:val="right" w:pos="9582"/>
      </w:tabs>
      <w:spacing w:before="80" w:after="40" w:line="288" w:lineRule="auto"/>
      <w:ind w:left="425" w:right="567" w:hanging="425"/>
      <w:contextualSpacing/>
    </w:pPr>
    <w:rPr>
      <w:b/>
    </w:rPr>
  </w:style>
  <w:style w:type="character" w:styleId="Hyperlink">
    <w:name w:val="Hyperlink"/>
    <w:basedOn w:val="DefaultParagraphFont"/>
    <w:uiPriority w:val="99"/>
    <w:unhideWhenUsed/>
    <w:rsid w:val="00F40927"/>
    <w:rPr>
      <w:color w:val="0000FF"/>
      <w:u w:val="single"/>
    </w:rPr>
  </w:style>
  <w:style w:type="paragraph" w:styleId="TOCHeading">
    <w:name w:val="TOC Heading"/>
    <w:next w:val="Normal"/>
    <w:uiPriority w:val="39"/>
    <w:unhideWhenUsed/>
    <w:qFormat/>
    <w:rsid w:val="002E7385"/>
    <w:pPr>
      <w:spacing w:before="240" w:after="320" w:line="240" w:lineRule="auto"/>
    </w:pPr>
    <w:rPr>
      <w:rFonts w:ascii="Tahoma" w:eastAsiaTheme="majorEastAsia" w:hAnsi="Tahoma" w:cstheme="majorBidi"/>
      <w:color w:val="CE0058" w:themeColor="accent2"/>
      <w:sz w:val="40"/>
      <w:szCs w:val="32"/>
    </w:rPr>
  </w:style>
  <w:style w:type="character" w:styleId="Strong">
    <w:name w:val="Strong"/>
    <w:basedOn w:val="DefaultParagraphFont"/>
    <w:uiPriority w:val="22"/>
    <w:semiHidden/>
    <w:qFormat/>
    <w:rsid w:val="00710792"/>
    <w:rPr>
      <w:b/>
      <w:bCs/>
    </w:rPr>
  </w:style>
  <w:style w:type="paragraph" w:styleId="ListParagraph">
    <w:name w:val="List Paragraph"/>
    <w:basedOn w:val="Normal"/>
    <w:uiPriority w:val="34"/>
    <w:qFormat/>
    <w:rsid w:val="00DC2B59"/>
    <w:pPr>
      <w:ind w:left="2520" w:hanging="360"/>
      <w:contextualSpacing/>
    </w:pPr>
  </w:style>
  <w:style w:type="paragraph" w:styleId="ListBullet3">
    <w:name w:val="List Bullet 3"/>
    <w:basedOn w:val="Normal"/>
    <w:uiPriority w:val="99"/>
    <w:unhideWhenUsed/>
    <w:rsid w:val="00DC2B59"/>
    <w:pPr>
      <w:tabs>
        <w:tab w:val="num" w:pos="926"/>
      </w:tabs>
      <w:ind w:left="926" w:hanging="360"/>
      <w:contextualSpacing/>
    </w:pPr>
  </w:style>
  <w:style w:type="paragraph" w:styleId="ListNumber">
    <w:name w:val="List Number"/>
    <w:basedOn w:val="Normal"/>
    <w:uiPriority w:val="99"/>
    <w:unhideWhenUsed/>
    <w:rsid w:val="006F29EA"/>
    <w:pPr>
      <w:tabs>
        <w:tab w:val="num" w:pos="360"/>
      </w:tabs>
      <w:ind w:left="360" w:hanging="360"/>
      <w:contextualSpacing/>
    </w:pPr>
  </w:style>
  <w:style w:type="paragraph" w:styleId="ListNumber2">
    <w:name w:val="List Number 2"/>
    <w:basedOn w:val="Normal"/>
    <w:uiPriority w:val="99"/>
    <w:unhideWhenUsed/>
    <w:qFormat/>
    <w:rsid w:val="006F29EA"/>
    <w:pPr>
      <w:ind w:left="851" w:hanging="851"/>
      <w:contextualSpacing/>
    </w:pPr>
  </w:style>
  <w:style w:type="numbering" w:customStyle="1" w:styleId="CustomNumberlist">
    <w:name w:val="Custom Number list"/>
    <w:uiPriority w:val="99"/>
    <w:rsid w:val="006F29EA"/>
    <w:pPr>
      <w:numPr>
        <w:numId w:val="7"/>
      </w:numPr>
    </w:pPr>
  </w:style>
  <w:style w:type="paragraph" w:customStyle="1" w:styleId="ListLetters0">
    <w:name w:val="List Letters"/>
    <w:link w:val="ListLettersChar"/>
    <w:qFormat/>
    <w:rsid w:val="00CF34D6"/>
    <w:pPr>
      <w:spacing w:line="336" w:lineRule="auto"/>
      <w:ind w:left="284" w:hanging="284"/>
      <w:contextualSpacing/>
    </w:pPr>
  </w:style>
  <w:style w:type="paragraph" w:styleId="ListNumber3">
    <w:name w:val="List Number 3"/>
    <w:basedOn w:val="Normal"/>
    <w:link w:val="ListNumber3Char"/>
    <w:uiPriority w:val="99"/>
    <w:unhideWhenUsed/>
    <w:qFormat/>
    <w:rsid w:val="006F29EA"/>
    <w:pPr>
      <w:ind w:left="1134" w:hanging="1134"/>
      <w:contextualSpacing/>
    </w:pPr>
  </w:style>
  <w:style w:type="paragraph" w:customStyle="1" w:styleId="TableHeading">
    <w:name w:val="Table Heading"/>
    <w:basedOn w:val="NoSpacing"/>
    <w:link w:val="TableHeadingChar"/>
    <w:qFormat/>
    <w:rsid w:val="00792B10"/>
    <w:rPr>
      <w:color w:val="FFFFFF" w:themeColor="background1"/>
    </w:rPr>
  </w:style>
  <w:style w:type="character" w:customStyle="1" w:styleId="ListNumber3Char">
    <w:name w:val="List Number 3 Char"/>
    <w:basedOn w:val="DefaultParagraphFont"/>
    <w:link w:val="ListNumber3"/>
    <w:uiPriority w:val="99"/>
    <w:rsid w:val="00DC2B59"/>
    <w:rPr>
      <w:lang w:val="en-AU"/>
    </w:rPr>
  </w:style>
  <w:style w:type="character" w:customStyle="1" w:styleId="ListLettersChar">
    <w:name w:val="List Letters Char"/>
    <w:basedOn w:val="ListNumber3Char"/>
    <w:link w:val="ListLetters0"/>
    <w:rsid w:val="00CF34D6"/>
    <w:rPr>
      <w:lang w:val="en-AU"/>
    </w:rPr>
  </w:style>
  <w:style w:type="paragraph" w:customStyle="1" w:styleId="TableBody">
    <w:name w:val="Table Body"/>
    <w:basedOn w:val="NoSpacing"/>
    <w:link w:val="TableBodyChar"/>
    <w:qFormat/>
    <w:rsid w:val="00792B10"/>
  </w:style>
  <w:style w:type="character" w:customStyle="1" w:styleId="NoSpacingChar">
    <w:name w:val="No Spacing Char"/>
    <w:basedOn w:val="DefaultParagraphFont"/>
    <w:link w:val="NoSpacing"/>
    <w:uiPriority w:val="1"/>
    <w:semiHidden/>
    <w:rsid w:val="00812056"/>
  </w:style>
  <w:style w:type="character" w:customStyle="1" w:styleId="TableHeadingChar">
    <w:name w:val="Table Heading Char"/>
    <w:basedOn w:val="NoSpacingChar"/>
    <w:link w:val="TableHeading"/>
    <w:rsid w:val="00792B10"/>
    <w:rPr>
      <w:color w:val="FFFFFF" w:themeColor="background1"/>
    </w:rPr>
  </w:style>
  <w:style w:type="paragraph" w:customStyle="1" w:styleId="TableBold">
    <w:name w:val="Table Bold"/>
    <w:basedOn w:val="NoSpacing"/>
    <w:link w:val="TableBoldChar"/>
    <w:qFormat/>
    <w:rsid w:val="00792B10"/>
    <w:rPr>
      <w:b/>
    </w:rPr>
  </w:style>
  <w:style w:type="character" w:customStyle="1" w:styleId="TableBodyChar">
    <w:name w:val="Table Body Char"/>
    <w:basedOn w:val="NoSpacingChar"/>
    <w:link w:val="TableBody"/>
    <w:rsid w:val="00792B10"/>
  </w:style>
  <w:style w:type="paragraph" w:styleId="TOC3">
    <w:name w:val="toc 3"/>
    <w:basedOn w:val="TOC2"/>
    <w:next w:val="Normal"/>
    <w:autoRedefine/>
    <w:uiPriority w:val="39"/>
    <w:rsid w:val="004A1702"/>
    <w:pPr>
      <w:tabs>
        <w:tab w:val="left" w:pos="1276"/>
      </w:tabs>
      <w:ind w:left="568" w:firstLine="0"/>
    </w:pPr>
  </w:style>
  <w:style w:type="character" w:customStyle="1" w:styleId="TableBoldChar">
    <w:name w:val="Table Bold Char"/>
    <w:basedOn w:val="NoSpacingChar"/>
    <w:link w:val="TableBold"/>
    <w:rsid w:val="00792B10"/>
    <w:rPr>
      <w:b/>
    </w:rPr>
  </w:style>
  <w:style w:type="paragraph" w:customStyle="1" w:styleId="TableBullet">
    <w:name w:val="Table Bullet"/>
    <w:basedOn w:val="ListBullet"/>
    <w:link w:val="TableBulletChar"/>
    <w:autoRedefine/>
    <w:qFormat/>
    <w:rsid w:val="008E33D7"/>
    <w:pPr>
      <w:spacing w:before="0" w:after="120" w:line="288" w:lineRule="auto"/>
      <w:ind w:left="1004"/>
    </w:pPr>
  </w:style>
  <w:style w:type="paragraph" w:customStyle="1" w:styleId="TableBullet2">
    <w:name w:val="Table Bullet 2"/>
    <w:basedOn w:val="ListBullet2"/>
    <w:link w:val="TableBullet2Char"/>
    <w:qFormat/>
    <w:rsid w:val="00E03B00"/>
    <w:pPr>
      <w:spacing w:after="0"/>
    </w:pPr>
  </w:style>
  <w:style w:type="character" w:customStyle="1" w:styleId="ListBulletChar">
    <w:name w:val="List Bullet Char"/>
    <w:basedOn w:val="DefaultParagraphFont"/>
    <w:link w:val="ListBullet"/>
    <w:uiPriority w:val="99"/>
    <w:rsid w:val="00821A3A"/>
    <w:rPr>
      <w:lang w:val="en-AU"/>
    </w:rPr>
  </w:style>
  <w:style w:type="character" w:customStyle="1" w:styleId="TableBulletChar">
    <w:name w:val="Table Bullet Char"/>
    <w:basedOn w:val="ListBulletChar"/>
    <w:link w:val="TableBullet"/>
    <w:rsid w:val="00FC3B6D"/>
    <w:rPr>
      <w:lang w:val="en-AU"/>
    </w:rPr>
  </w:style>
  <w:style w:type="numbering" w:customStyle="1" w:styleId="TableBullets">
    <w:name w:val="Table Bullets"/>
    <w:uiPriority w:val="99"/>
    <w:rsid w:val="00E03B00"/>
    <w:pPr>
      <w:numPr>
        <w:numId w:val="1"/>
      </w:numPr>
    </w:pPr>
  </w:style>
  <w:style w:type="character" w:customStyle="1" w:styleId="ListBullet2Char">
    <w:name w:val="List Bullet 2 Char"/>
    <w:basedOn w:val="DefaultParagraphFont"/>
    <w:link w:val="ListBullet2"/>
    <w:uiPriority w:val="99"/>
    <w:rsid w:val="00E03B00"/>
    <w:rPr>
      <w:lang w:val="en-AU"/>
    </w:rPr>
  </w:style>
  <w:style w:type="character" w:customStyle="1" w:styleId="TableBullet2Char">
    <w:name w:val="Table Bullet 2 Char"/>
    <w:basedOn w:val="ListBullet2Char"/>
    <w:link w:val="TableBullet2"/>
    <w:rsid w:val="00E03B00"/>
    <w:rPr>
      <w:lang w:val="en-AU"/>
    </w:rPr>
  </w:style>
  <w:style w:type="paragraph" w:customStyle="1" w:styleId="TableListNumber">
    <w:name w:val="Table List Number"/>
    <w:basedOn w:val="TableBullet"/>
    <w:link w:val="TableListNumberChar"/>
    <w:qFormat/>
    <w:rsid w:val="00E03B00"/>
  </w:style>
  <w:style w:type="paragraph" w:customStyle="1" w:styleId="TableListNumber2">
    <w:name w:val="Table List Number 2"/>
    <w:basedOn w:val="TableListNumber"/>
    <w:link w:val="TableListNumber2Char"/>
    <w:qFormat/>
    <w:rsid w:val="00E03B00"/>
    <w:pPr>
      <w:ind w:left="567" w:hanging="283"/>
    </w:pPr>
  </w:style>
  <w:style w:type="character" w:customStyle="1" w:styleId="TableListNumberChar">
    <w:name w:val="Table List Number Char"/>
    <w:basedOn w:val="TableBulletChar"/>
    <w:link w:val="TableListNumber"/>
    <w:rsid w:val="00E03B00"/>
    <w:rPr>
      <w:lang w:val="en-AU"/>
    </w:rPr>
  </w:style>
  <w:style w:type="character" w:customStyle="1" w:styleId="TableListNumber2Char">
    <w:name w:val="Table List Number 2 Char"/>
    <w:basedOn w:val="TableListNumberChar"/>
    <w:link w:val="TableListNumber2"/>
    <w:rsid w:val="00E03B00"/>
    <w:rPr>
      <w:lang w:val="en-AU"/>
    </w:rPr>
  </w:style>
  <w:style w:type="table" w:customStyle="1" w:styleId="TwoColumnImage">
    <w:name w:val="Two Column Image"/>
    <w:basedOn w:val="TableNormal"/>
    <w:uiPriority w:val="99"/>
    <w:rsid w:val="0043066B"/>
    <w:pPr>
      <w:spacing w:after="0" w:line="240" w:lineRule="auto"/>
    </w:pPr>
    <w:tblPr>
      <w:tblCellMar>
        <w:left w:w="0" w:type="dxa"/>
        <w:right w:w="170" w:type="dxa"/>
      </w:tblCellMar>
    </w:tblPr>
  </w:style>
  <w:style w:type="paragraph" w:customStyle="1" w:styleId="PageNumberBox">
    <w:name w:val="Page Number Box"/>
    <w:basedOn w:val="NoSpacing"/>
    <w:semiHidden/>
    <w:qFormat/>
    <w:rsid w:val="006E6B2B"/>
    <w:pPr>
      <w:framePr w:hSpace="57" w:wrap="around" w:hAnchor="text" w:xAlign="right" w:yAlign="bottom"/>
      <w:suppressOverlap/>
      <w:jc w:val="center"/>
    </w:pPr>
  </w:style>
  <w:style w:type="paragraph" w:customStyle="1" w:styleId="FooterSpace">
    <w:name w:val="Footer Space"/>
    <w:basedOn w:val="Footer"/>
    <w:semiHidden/>
    <w:qFormat/>
    <w:rsid w:val="00E9393A"/>
    <w:pPr>
      <w:spacing w:before="480"/>
    </w:pPr>
  </w:style>
  <w:style w:type="paragraph" w:customStyle="1" w:styleId="Pa2">
    <w:name w:val="Pa2"/>
    <w:basedOn w:val="Normal"/>
    <w:next w:val="Normal"/>
    <w:uiPriority w:val="99"/>
    <w:semiHidden/>
    <w:rsid w:val="002C2ADF"/>
    <w:pPr>
      <w:autoSpaceDE w:val="0"/>
      <w:autoSpaceDN w:val="0"/>
      <w:adjustRightInd w:val="0"/>
      <w:spacing w:after="0" w:line="201" w:lineRule="atLeast"/>
    </w:pPr>
    <w:rPr>
      <w:rFonts w:ascii="Arial" w:hAnsi="Arial" w:cs="Arial"/>
      <w:sz w:val="24"/>
      <w:szCs w:val="24"/>
      <w:lang w:val="en-GB"/>
    </w:rPr>
  </w:style>
  <w:style w:type="paragraph" w:styleId="FootnoteText">
    <w:name w:val="footnote text"/>
    <w:basedOn w:val="Normal"/>
    <w:link w:val="FootnoteTextChar"/>
    <w:uiPriority w:val="99"/>
    <w:unhideWhenUsed/>
    <w:rsid w:val="00E110CF"/>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E110CF"/>
    <w:rPr>
      <w:sz w:val="18"/>
      <w:szCs w:val="20"/>
      <w:lang w:val="en-AU"/>
    </w:rPr>
  </w:style>
  <w:style w:type="character" w:styleId="FootnoteReference">
    <w:name w:val="footnote reference"/>
    <w:aliases w:val="(NECG) Footnote Reference"/>
    <w:basedOn w:val="DefaultParagraphFont"/>
    <w:unhideWhenUsed/>
    <w:rsid w:val="00E9393A"/>
    <w:rPr>
      <w:vertAlign w:val="superscript"/>
    </w:rPr>
  </w:style>
  <w:style w:type="paragraph" w:customStyle="1" w:styleId="Figure-Table-BoxHeading">
    <w:name w:val="Figure-Table-Box Heading"/>
    <w:link w:val="Figure-Table-BoxHeadingChar"/>
    <w:qFormat/>
    <w:rsid w:val="00CF34D6"/>
    <w:pPr>
      <w:spacing w:before="120" w:after="120" w:line="432" w:lineRule="auto"/>
      <w:ind w:left="851" w:hanging="851"/>
    </w:pPr>
    <w:rPr>
      <w:rFonts w:asciiTheme="majorHAnsi" w:eastAsiaTheme="majorEastAsia" w:hAnsiTheme="majorHAnsi" w:cstheme="majorBidi"/>
      <w:b/>
      <w:color w:val="4986A0" w:themeColor="text2"/>
      <w:szCs w:val="24"/>
    </w:rPr>
  </w:style>
  <w:style w:type="paragraph" w:customStyle="1" w:styleId="Figure-Table-BoxSubtitle">
    <w:name w:val="Figure-Table-Box Subtitle"/>
    <w:basedOn w:val="Figure-Table-BoxHeading"/>
    <w:link w:val="Figure-Table-BoxSubtitleChar"/>
    <w:qFormat/>
    <w:rsid w:val="00DC3BE7"/>
    <w:pPr>
      <w:ind w:firstLine="0"/>
    </w:pPr>
    <w:rPr>
      <w:b w:val="0"/>
    </w:rPr>
  </w:style>
  <w:style w:type="character" w:customStyle="1" w:styleId="Figure-Table-BoxHeadingChar">
    <w:name w:val="Figure-Table-Box Heading Char"/>
    <w:basedOn w:val="Heading3Char"/>
    <w:link w:val="Figure-Table-BoxHeading"/>
    <w:rsid w:val="00CF34D6"/>
    <w:rPr>
      <w:rFonts w:asciiTheme="majorHAnsi" w:eastAsiaTheme="majorEastAsia" w:hAnsiTheme="majorHAnsi" w:cstheme="majorBidi"/>
      <w:b/>
      <w:color w:val="4986A0" w:themeColor="text2"/>
      <w:szCs w:val="24"/>
    </w:rPr>
  </w:style>
  <w:style w:type="paragraph" w:customStyle="1" w:styleId="Heading3numbered">
    <w:name w:val="Heading 3 numbered"/>
    <w:basedOn w:val="Heading3"/>
    <w:next w:val="Normal"/>
    <w:link w:val="Heading3numberedChar"/>
    <w:qFormat/>
    <w:rsid w:val="005F5578"/>
    <w:pPr>
      <w:ind w:left="1134" w:hanging="1134"/>
    </w:pPr>
  </w:style>
  <w:style w:type="character" w:customStyle="1" w:styleId="Figure-Table-BoxSubtitleChar">
    <w:name w:val="Figure-Table-Box Subtitle Char"/>
    <w:basedOn w:val="Figure-Table-BoxHeadingChar"/>
    <w:link w:val="Figure-Table-BoxSubtitle"/>
    <w:rsid w:val="00DC3BE7"/>
    <w:rPr>
      <w:rFonts w:asciiTheme="majorHAnsi" w:eastAsiaTheme="majorEastAsia" w:hAnsiTheme="majorHAnsi" w:cstheme="majorBidi"/>
      <w:b w:val="0"/>
      <w:color w:val="4986A0" w:themeColor="text2"/>
      <w:szCs w:val="24"/>
    </w:rPr>
  </w:style>
  <w:style w:type="character" w:customStyle="1" w:styleId="Heading4Char">
    <w:name w:val="Heading 4 Char"/>
    <w:basedOn w:val="DefaultParagraphFont"/>
    <w:link w:val="Heading4"/>
    <w:uiPriority w:val="9"/>
    <w:rsid w:val="002E7385"/>
    <w:rPr>
      <w:rFonts w:ascii="Tahoma" w:eastAsiaTheme="majorEastAsia" w:hAnsi="Tahoma" w:cstheme="majorBidi"/>
      <w:b/>
      <w:iCs/>
      <w:color w:val="75787B" w:themeColor="background2"/>
    </w:rPr>
  </w:style>
  <w:style w:type="character" w:customStyle="1" w:styleId="Heading3numberedChar">
    <w:name w:val="Heading 3 numbered Char"/>
    <w:basedOn w:val="Heading3Char"/>
    <w:link w:val="Heading3numbered"/>
    <w:rsid w:val="005F5578"/>
    <w:rPr>
      <w:rFonts w:ascii="Tahoma" w:eastAsiaTheme="majorEastAsia" w:hAnsi="Tahoma" w:cstheme="majorBidi"/>
      <w:b/>
      <w:color w:val="4986A0" w:themeColor="text2"/>
      <w:szCs w:val="24"/>
      <w:lang w:val="en-AU"/>
    </w:rPr>
  </w:style>
  <w:style w:type="numbering" w:customStyle="1" w:styleId="ListLetters">
    <w:name w:val="ListLetters"/>
    <w:uiPriority w:val="99"/>
    <w:rsid w:val="009B583F"/>
    <w:pPr>
      <w:numPr>
        <w:numId w:val="4"/>
      </w:numPr>
    </w:pPr>
  </w:style>
  <w:style w:type="paragraph" w:styleId="Caption">
    <w:name w:val="caption"/>
    <w:basedOn w:val="Normal"/>
    <w:next w:val="Normal"/>
    <w:uiPriority w:val="35"/>
    <w:unhideWhenUsed/>
    <w:qFormat/>
    <w:rsid w:val="00232581"/>
    <w:pPr>
      <w:spacing w:before="120"/>
    </w:pPr>
    <w:rPr>
      <w:iCs/>
      <w:color w:val="4986A0" w:themeColor="text2"/>
      <w:sz w:val="18"/>
      <w:szCs w:val="18"/>
    </w:rPr>
  </w:style>
  <w:style w:type="paragraph" w:customStyle="1" w:styleId="Source">
    <w:name w:val="Source"/>
    <w:basedOn w:val="Caption"/>
    <w:qFormat/>
    <w:rsid w:val="00232581"/>
    <w:pPr>
      <w:jc w:val="right"/>
    </w:pPr>
  </w:style>
  <w:style w:type="paragraph" w:customStyle="1" w:styleId="Pull-outHeading">
    <w:name w:val="Pull-out Heading"/>
    <w:basedOn w:val="Pull-out"/>
    <w:qFormat/>
    <w:rsid w:val="00BD19DB"/>
    <w:rPr>
      <w:b/>
      <w:bCs/>
    </w:rPr>
  </w:style>
  <w:style w:type="paragraph" w:customStyle="1" w:styleId="Pull-outBullet1">
    <w:name w:val="Pull-out Bullet 1"/>
    <w:basedOn w:val="Pull-out"/>
    <w:qFormat/>
    <w:rsid w:val="00BD19DB"/>
    <w:pPr>
      <w:ind w:left="482" w:hanging="284"/>
    </w:pPr>
  </w:style>
  <w:style w:type="paragraph" w:customStyle="1" w:styleId="Pull-outBullet2">
    <w:name w:val="Pull-out Bullet 2"/>
    <w:basedOn w:val="Pull-outBullet1"/>
    <w:qFormat/>
    <w:rsid w:val="00BD19DB"/>
  </w:style>
  <w:style w:type="paragraph" w:customStyle="1" w:styleId="Pull-outListNumber1">
    <w:name w:val="Pull-out List Number 1"/>
    <w:basedOn w:val="Pull-outBullet2"/>
    <w:qFormat/>
    <w:rsid w:val="00BD19DB"/>
  </w:style>
  <w:style w:type="paragraph" w:customStyle="1" w:styleId="Pull-outListNumber2">
    <w:name w:val="Pull-out List Number 2"/>
    <w:basedOn w:val="Pull-outListNumber1"/>
    <w:qFormat/>
    <w:rsid w:val="00BD19DB"/>
    <w:pPr>
      <w:ind w:left="765" w:hanging="567"/>
    </w:pPr>
  </w:style>
  <w:style w:type="numbering" w:customStyle="1" w:styleId="Pull-outlists">
    <w:name w:val="Pull-out lists"/>
    <w:uiPriority w:val="99"/>
    <w:rsid w:val="00BD19DB"/>
    <w:pPr>
      <w:numPr>
        <w:numId w:val="3"/>
      </w:numPr>
    </w:pPr>
  </w:style>
  <w:style w:type="paragraph" w:styleId="TOC4">
    <w:name w:val="toc 4"/>
    <w:basedOn w:val="Normal"/>
    <w:next w:val="Normal"/>
    <w:autoRedefine/>
    <w:uiPriority w:val="39"/>
    <w:rsid w:val="0001506F"/>
    <w:pPr>
      <w:tabs>
        <w:tab w:val="right" w:pos="9582"/>
      </w:tabs>
      <w:adjustRightInd w:val="0"/>
      <w:spacing w:before="80" w:after="40" w:line="288" w:lineRule="auto"/>
      <w:ind w:left="992" w:right="567" w:hanging="567"/>
      <w:contextualSpacing/>
    </w:pPr>
    <w:rPr>
      <w:noProof/>
    </w:rPr>
  </w:style>
  <w:style w:type="paragraph" w:customStyle="1" w:styleId="CC07A0386FA64D568AFDD5FEA5383BC7">
    <w:name w:val="CC07A0386FA64D568AFDD5FEA5383BC7"/>
    <w:semiHidden/>
    <w:locked/>
    <w:rsid w:val="008A7A8E"/>
    <w:rPr>
      <w:rFonts w:eastAsiaTheme="minorEastAsia"/>
    </w:rPr>
  </w:style>
  <w:style w:type="paragraph" w:styleId="TOC5">
    <w:name w:val="toc 5"/>
    <w:basedOn w:val="Normal"/>
    <w:next w:val="Normal"/>
    <w:autoRedefine/>
    <w:uiPriority w:val="39"/>
    <w:rsid w:val="00E84BB6"/>
    <w:pPr>
      <w:tabs>
        <w:tab w:val="left" w:pos="1985"/>
        <w:tab w:val="right" w:pos="9582"/>
      </w:tabs>
      <w:spacing w:before="40" w:after="40" w:line="288" w:lineRule="auto"/>
      <w:ind w:left="1276" w:right="567"/>
      <w:contextualSpacing/>
    </w:pPr>
  </w:style>
  <w:style w:type="paragraph" w:styleId="TOC6">
    <w:name w:val="toc 6"/>
    <w:basedOn w:val="Normal"/>
    <w:next w:val="Normal"/>
    <w:autoRedefine/>
    <w:uiPriority w:val="39"/>
    <w:rsid w:val="00BE4631"/>
    <w:pPr>
      <w:tabs>
        <w:tab w:val="right" w:pos="9582"/>
      </w:tabs>
      <w:spacing w:before="40" w:after="40" w:line="288" w:lineRule="auto"/>
      <w:ind w:left="1702" w:right="567" w:hanging="709"/>
    </w:pPr>
  </w:style>
  <w:style w:type="character" w:customStyle="1" w:styleId="Heading5Char">
    <w:name w:val="Heading 5 Char"/>
    <w:basedOn w:val="DefaultParagraphFont"/>
    <w:link w:val="Heading5"/>
    <w:uiPriority w:val="9"/>
    <w:rsid w:val="006A0547"/>
    <w:rPr>
      <w:rFonts w:asciiTheme="majorHAnsi" w:eastAsiaTheme="majorEastAsia" w:hAnsiTheme="majorHAnsi" w:cstheme="majorBidi"/>
      <w:i/>
      <w:color w:val="113048" w:themeColor="accent1" w:themeShade="7F"/>
      <w:lang w:val="en-AU"/>
    </w:rPr>
  </w:style>
  <w:style w:type="character" w:customStyle="1" w:styleId="Legislationquote">
    <w:name w:val="Legislation quote"/>
    <w:basedOn w:val="DefaultParagraphFont"/>
    <w:uiPriority w:val="1"/>
    <w:qFormat/>
    <w:rsid w:val="00F260CA"/>
    <w:rPr>
      <w:color w:val="FF4895" w:themeColor="accent2" w:themeTint="99"/>
    </w:rPr>
  </w:style>
  <w:style w:type="paragraph" w:styleId="TOC7">
    <w:name w:val="toc 7"/>
    <w:basedOn w:val="Normal"/>
    <w:next w:val="Normal"/>
    <w:autoRedefine/>
    <w:uiPriority w:val="39"/>
    <w:semiHidden/>
    <w:unhideWhenUsed/>
    <w:rsid w:val="00936B74"/>
    <w:pPr>
      <w:spacing w:before="40" w:after="40" w:line="288" w:lineRule="auto"/>
      <w:ind w:left="1321"/>
    </w:pPr>
  </w:style>
  <w:style w:type="paragraph" w:styleId="TOC8">
    <w:name w:val="toc 8"/>
    <w:basedOn w:val="Normal"/>
    <w:next w:val="Normal"/>
    <w:autoRedefine/>
    <w:uiPriority w:val="39"/>
    <w:semiHidden/>
    <w:unhideWhenUsed/>
    <w:rsid w:val="00936B74"/>
    <w:pPr>
      <w:spacing w:before="40" w:after="40" w:line="288" w:lineRule="auto"/>
      <w:ind w:left="1542"/>
    </w:pPr>
  </w:style>
  <w:style w:type="paragraph" w:styleId="TOC9">
    <w:name w:val="toc 9"/>
    <w:basedOn w:val="Normal"/>
    <w:next w:val="Normal"/>
    <w:autoRedefine/>
    <w:uiPriority w:val="39"/>
    <w:semiHidden/>
    <w:unhideWhenUsed/>
    <w:rsid w:val="00936B74"/>
    <w:pPr>
      <w:spacing w:before="40" w:after="40" w:line="288" w:lineRule="auto"/>
      <w:ind w:left="1758"/>
    </w:pPr>
  </w:style>
  <w:style w:type="character" w:styleId="UnresolvedMention">
    <w:name w:val="Unresolved Mention"/>
    <w:basedOn w:val="DefaultParagraphFont"/>
    <w:uiPriority w:val="99"/>
    <w:semiHidden/>
    <w:unhideWhenUsed/>
    <w:rsid w:val="00141DAC"/>
    <w:rPr>
      <w:color w:val="605E5C"/>
      <w:shd w:val="clear" w:color="auto" w:fill="E1DFDD"/>
    </w:rPr>
  </w:style>
  <w:style w:type="character" w:styleId="FollowedHyperlink">
    <w:name w:val="FollowedHyperlink"/>
    <w:basedOn w:val="DefaultParagraphFont"/>
    <w:uiPriority w:val="99"/>
    <w:semiHidden/>
    <w:unhideWhenUsed/>
    <w:rsid w:val="00E16796"/>
    <w:rPr>
      <w:color w:val="000000" w:themeColor="followedHyperlink"/>
      <w:u w:val="single"/>
    </w:rPr>
  </w:style>
  <w:style w:type="character" w:styleId="CommentReference">
    <w:name w:val="annotation reference"/>
    <w:basedOn w:val="DefaultParagraphFont"/>
    <w:uiPriority w:val="99"/>
    <w:unhideWhenUsed/>
    <w:rsid w:val="00F82F28"/>
    <w:rPr>
      <w:sz w:val="16"/>
      <w:szCs w:val="16"/>
    </w:rPr>
  </w:style>
  <w:style w:type="paragraph" w:styleId="CommentText">
    <w:name w:val="annotation text"/>
    <w:basedOn w:val="Normal"/>
    <w:link w:val="CommentTextChar"/>
    <w:uiPriority w:val="99"/>
    <w:unhideWhenUsed/>
    <w:rsid w:val="00F82F28"/>
    <w:pPr>
      <w:spacing w:line="240" w:lineRule="auto"/>
    </w:pPr>
    <w:rPr>
      <w:sz w:val="20"/>
      <w:szCs w:val="20"/>
    </w:rPr>
  </w:style>
  <w:style w:type="character" w:customStyle="1" w:styleId="CommentTextChar">
    <w:name w:val="Comment Text Char"/>
    <w:basedOn w:val="DefaultParagraphFont"/>
    <w:link w:val="CommentText"/>
    <w:uiPriority w:val="99"/>
    <w:rsid w:val="00F82F28"/>
    <w:rPr>
      <w:sz w:val="20"/>
      <w:szCs w:val="20"/>
      <w:lang w:val="en-AU"/>
    </w:rPr>
  </w:style>
  <w:style w:type="paragraph" w:styleId="CommentSubject">
    <w:name w:val="annotation subject"/>
    <w:basedOn w:val="CommentText"/>
    <w:next w:val="CommentText"/>
    <w:link w:val="CommentSubjectChar"/>
    <w:uiPriority w:val="99"/>
    <w:semiHidden/>
    <w:unhideWhenUsed/>
    <w:rsid w:val="00F82F28"/>
    <w:rPr>
      <w:b/>
      <w:bCs/>
    </w:rPr>
  </w:style>
  <w:style w:type="character" w:customStyle="1" w:styleId="CommentSubjectChar">
    <w:name w:val="Comment Subject Char"/>
    <w:basedOn w:val="CommentTextChar"/>
    <w:link w:val="CommentSubject"/>
    <w:uiPriority w:val="99"/>
    <w:semiHidden/>
    <w:rsid w:val="00F82F28"/>
    <w:rPr>
      <w:b/>
      <w:bCs/>
      <w:sz w:val="20"/>
      <w:szCs w:val="20"/>
      <w:lang w:val="en-AU"/>
    </w:rPr>
  </w:style>
  <w:style w:type="character" w:styleId="Mention">
    <w:name w:val="Mention"/>
    <w:basedOn w:val="DefaultParagraphFont"/>
    <w:uiPriority w:val="99"/>
    <w:unhideWhenUsed/>
    <w:rsid w:val="00665BF3"/>
    <w:rPr>
      <w:color w:val="2B579A"/>
      <w:shd w:val="clear" w:color="auto" w:fill="E1DFDD"/>
    </w:rPr>
  </w:style>
  <w:style w:type="paragraph" w:styleId="Revision">
    <w:name w:val="Revision"/>
    <w:hidden/>
    <w:uiPriority w:val="99"/>
    <w:semiHidden/>
    <w:rsid w:val="00FD2F59"/>
    <w:pPr>
      <w:spacing w:after="0" w:line="240" w:lineRule="auto"/>
    </w:pPr>
    <w:rPr>
      <w:lang w:val="en-AU"/>
    </w:rPr>
  </w:style>
  <w:style w:type="table" w:customStyle="1" w:styleId="TableGrid2">
    <w:name w:val="Table Grid2"/>
    <w:basedOn w:val="TableNormal"/>
    <w:next w:val="TableGrid"/>
    <w:uiPriority w:val="39"/>
    <w:rsid w:val="00B13D78"/>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character" w:customStyle="1" w:styleId="ui-provider">
    <w:name w:val="ui-provider"/>
    <w:basedOn w:val="DefaultParagraphFont"/>
    <w:rsid w:val="00046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99149">
      <w:bodyDiv w:val="1"/>
      <w:marLeft w:val="0"/>
      <w:marRight w:val="0"/>
      <w:marTop w:val="0"/>
      <w:marBottom w:val="0"/>
      <w:divBdr>
        <w:top w:val="none" w:sz="0" w:space="0" w:color="auto"/>
        <w:left w:val="none" w:sz="0" w:space="0" w:color="auto"/>
        <w:bottom w:val="none" w:sz="0" w:space="0" w:color="auto"/>
        <w:right w:val="none" w:sz="0" w:space="0" w:color="auto"/>
      </w:divBdr>
    </w:div>
    <w:div w:id="467288428">
      <w:bodyDiv w:val="1"/>
      <w:marLeft w:val="0"/>
      <w:marRight w:val="0"/>
      <w:marTop w:val="0"/>
      <w:marBottom w:val="0"/>
      <w:divBdr>
        <w:top w:val="none" w:sz="0" w:space="0" w:color="auto"/>
        <w:left w:val="none" w:sz="0" w:space="0" w:color="auto"/>
        <w:bottom w:val="none" w:sz="0" w:space="0" w:color="auto"/>
        <w:right w:val="none" w:sz="0" w:space="0" w:color="auto"/>
      </w:divBdr>
    </w:div>
    <w:div w:id="485557103">
      <w:bodyDiv w:val="1"/>
      <w:marLeft w:val="0"/>
      <w:marRight w:val="0"/>
      <w:marTop w:val="0"/>
      <w:marBottom w:val="0"/>
      <w:divBdr>
        <w:top w:val="none" w:sz="0" w:space="0" w:color="auto"/>
        <w:left w:val="none" w:sz="0" w:space="0" w:color="auto"/>
        <w:bottom w:val="none" w:sz="0" w:space="0" w:color="auto"/>
        <w:right w:val="none" w:sz="0" w:space="0" w:color="auto"/>
      </w:divBdr>
    </w:div>
    <w:div w:id="550312322">
      <w:bodyDiv w:val="1"/>
      <w:marLeft w:val="0"/>
      <w:marRight w:val="0"/>
      <w:marTop w:val="0"/>
      <w:marBottom w:val="0"/>
      <w:divBdr>
        <w:top w:val="none" w:sz="0" w:space="0" w:color="auto"/>
        <w:left w:val="none" w:sz="0" w:space="0" w:color="auto"/>
        <w:bottom w:val="none" w:sz="0" w:space="0" w:color="auto"/>
        <w:right w:val="none" w:sz="0" w:space="0" w:color="auto"/>
      </w:divBdr>
    </w:div>
    <w:div w:id="1175925370">
      <w:bodyDiv w:val="1"/>
      <w:marLeft w:val="0"/>
      <w:marRight w:val="0"/>
      <w:marTop w:val="0"/>
      <w:marBottom w:val="0"/>
      <w:divBdr>
        <w:top w:val="none" w:sz="0" w:space="0" w:color="auto"/>
        <w:left w:val="none" w:sz="0" w:space="0" w:color="auto"/>
        <w:bottom w:val="none" w:sz="0" w:space="0" w:color="auto"/>
        <w:right w:val="none" w:sz="0" w:space="0" w:color="auto"/>
      </w:divBdr>
    </w:div>
    <w:div w:id="1227105766">
      <w:bodyDiv w:val="1"/>
      <w:marLeft w:val="0"/>
      <w:marRight w:val="0"/>
      <w:marTop w:val="0"/>
      <w:marBottom w:val="0"/>
      <w:divBdr>
        <w:top w:val="none" w:sz="0" w:space="0" w:color="auto"/>
        <w:left w:val="none" w:sz="0" w:space="0" w:color="auto"/>
        <w:bottom w:val="none" w:sz="0" w:space="0" w:color="auto"/>
        <w:right w:val="none" w:sz="0" w:space="0" w:color="auto"/>
      </w:divBdr>
    </w:div>
    <w:div w:id="1234201007">
      <w:bodyDiv w:val="1"/>
      <w:marLeft w:val="0"/>
      <w:marRight w:val="0"/>
      <w:marTop w:val="0"/>
      <w:marBottom w:val="0"/>
      <w:divBdr>
        <w:top w:val="none" w:sz="0" w:space="0" w:color="auto"/>
        <w:left w:val="none" w:sz="0" w:space="0" w:color="auto"/>
        <w:bottom w:val="none" w:sz="0" w:space="0" w:color="auto"/>
        <w:right w:val="none" w:sz="0" w:space="0" w:color="auto"/>
      </w:divBdr>
    </w:div>
    <w:div w:id="1632400930">
      <w:bodyDiv w:val="1"/>
      <w:marLeft w:val="0"/>
      <w:marRight w:val="0"/>
      <w:marTop w:val="0"/>
      <w:marBottom w:val="0"/>
      <w:divBdr>
        <w:top w:val="none" w:sz="0" w:space="0" w:color="auto"/>
        <w:left w:val="none" w:sz="0" w:space="0" w:color="auto"/>
        <w:bottom w:val="none" w:sz="0" w:space="0" w:color="auto"/>
        <w:right w:val="none" w:sz="0" w:space="0" w:color="auto"/>
      </w:divBdr>
    </w:div>
    <w:div w:id="169812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oter" Target="footer7.xml"/><Relationship Id="rId39" Type="http://schemas.openxmlformats.org/officeDocument/2006/relationships/footer" Target="footer15.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footer" Target="footer18.xml"/><Relationship Id="rId47" Type="http://schemas.openxmlformats.org/officeDocument/2006/relationships/footer" Target="footer23.xml"/><Relationship Id="rId50" Type="http://schemas.openxmlformats.org/officeDocument/2006/relationships/footer" Target="footer2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engage.vic.gov.au/ESC-water-price-review-2024" TargetMode="External"/><Relationship Id="rId11" Type="http://schemas.openxmlformats.org/officeDocument/2006/relationships/header" Target="header1.xml"/><Relationship Id="rId24" Type="http://schemas.openxmlformats.org/officeDocument/2006/relationships/image" Target="media/image4.svg"/><Relationship Id="rId32" Type="http://schemas.openxmlformats.org/officeDocument/2006/relationships/footer" Target="footer9.xml"/><Relationship Id="rId37" Type="http://schemas.openxmlformats.org/officeDocument/2006/relationships/footer" Target="footer13.xml"/><Relationship Id="rId40" Type="http://schemas.openxmlformats.org/officeDocument/2006/relationships/footer" Target="footer16.xml"/><Relationship Id="rId45" Type="http://schemas.openxmlformats.org/officeDocument/2006/relationships/footer" Target="footer21.xml"/><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8.xml"/><Relationship Id="rId44" Type="http://schemas.openxmlformats.org/officeDocument/2006/relationships/footer" Target="footer20.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hyperlink" Target="https://engage.vic.gov.au/ESC-water-price-review-2024" TargetMode="External"/><Relationship Id="rId35" Type="http://schemas.openxmlformats.org/officeDocument/2006/relationships/footer" Target="footer12.xml"/><Relationship Id="rId43" Type="http://schemas.openxmlformats.org/officeDocument/2006/relationships/footer" Target="footer19.xml"/><Relationship Id="rId48" Type="http://schemas.openxmlformats.org/officeDocument/2006/relationships/footer" Target="footer24.xml"/><Relationship Id="rId8" Type="http://schemas.openxmlformats.org/officeDocument/2006/relationships/webSettings" Target="webSettings.xml"/><Relationship Id="rId51" Type="http://schemas.openxmlformats.org/officeDocument/2006/relationships/footer" Target="footer27.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creativecommons.org/licenses/by/4.0/" TargetMode="External"/><Relationship Id="rId25" Type="http://schemas.openxmlformats.org/officeDocument/2006/relationships/hyperlink" Target="https://engage.vic.gov.au/ESC-water-price-review-2024" TargetMode="External"/><Relationship Id="rId33" Type="http://schemas.openxmlformats.org/officeDocument/2006/relationships/footer" Target="footer10.xml"/><Relationship Id="rId38" Type="http://schemas.openxmlformats.org/officeDocument/2006/relationships/footer" Target="footer14.xml"/><Relationship Id="rId46" Type="http://schemas.openxmlformats.org/officeDocument/2006/relationships/footer" Target="footer22.xml"/><Relationship Id="rId20" Type="http://schemas.openxmlformats.org/officeDocument/2006/relationships/footer" Target="footer4.xml"/><Relationship Id="rId41" Type="http://schemas.openxmlformats.org/officeDocument/2006/relationships/footer" Target="footer1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6.svg"/><Relationship Id="rId36" Type="http://schemas.openxmlformats.org/officeDocument/2006/relationships/chart" Target="charts/chart1.xml"/><Relationship Id="rId49" Type="http://schemas.openxmlformats.org/officeDocument/2006/relationships/footer" Target="footer25.xml"/></Relationships>
</file>

<file path=word/_rels/footnotes.xml.rels><?xml version="1.0" encoding="UTF-8" standalone="yes"?>
<Relationships xmlns="http://schemas.openxmlformats.org/package/2006/relationships"><Relationship Id="rId3" Type="http://schemas.openxmlformats.org/officeDocument/2006/relationships/hyperlink" Target="https://www.waternsw.com.au/customer-services/water-licensing/applications-and-fees" TargetMode="External"/><Relationship Id="rId2" Type="http://schemas.openxmlformats.org/officeDocument/2006/relationships/hyperlink" Target="https://escvic.sharepoint.com/teams/2023WaterPriceReview/Shared%20Documents/PMs%20and%20Project%20management/Decision%20paper%20templates%20-%20working%20files/www.esc.vic.gov.au" TargetMode="External"/><Relationship Id="rId1" Type="http://schemas.openxmlformats.org/officeDocument/2006/relationships/hyperlink" Target="https://www.accc.gov.au/by-industry/water/water-charge-rules/goulburn-murray-water-decisions-under-part-6-of-the-water-charge-rules-2010/goulburn-murray-water-part-6-ceasing-decision" TargetMode="External"/><Relationship Id="rId4" Type="http://schemas.openxmlformats.org/officeDocument/2006/relationships/hyperlink" Target="https://www.g-mwater.com.au/about/gmw-overvie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939289544079802E-2"/>
          <c:y val="0.15183596255024523"/>
          <c:w val="0.90811910956051356"/>
          <c:h val="0.55623984049957254"/>
        </c:manualLayout>
      </c:layout>
      <c:barChart>
        <c:barDir val="col"/>
        <c:grouping val="stacked"/>
        <c:varyColors val="0"/>
        <c:ser>
          <c:idx val="0"/>
          <c:order val="0"/>
          <c:tx>
            <c:strRef>
              <c:f>'Dashboard - Data'!$Y$8</c:f>
              <c:strCache>
                <c:ptCount val="1"/>
                <c:pt idx="0">
                  <c:v>Irrigation</c:v>
                </c:pt>
              </c:strCache>
            </c:strRef>
          </c:tx>
          <c:spPr>
            <a:solidFill>
              <a:schemeClr val="accent1"/>
            </a:solidFill>
            <a:ln>
              <a:noFill/>
            </a:ln>
            <a:effectLst/>
          </c:spPr>
          <c:invertIfNegative val="0"/>
          <c:cat>
            <c:strRef>
              <c:f>'Dashboard - Data'!$Z$7:$AH$7</c:f>
              <c:strCache>
                <c:ptCount val="9"/>
                <c:pt idx="0">
                  <c:v>2019-20</c:v>
                </c:pt>
                <c:pt idx="1">
                  <c:v>2020-21</c:v>
                </c:pt>
                <c:pt idx="2">
                  <c:v>2021-22</c:v>
                </c:pt>
                <c:pt idx="3">
                  <c:v>2022-23</c:v>
                </c:pt>
                <c:pt idx="4">
                  <c:v>2023-24</c:v>
                </c:pt>
                <c:pt idx="5">
                  <c:v>2024-25</c:v>
                </c:pt>
                <c:pt idx="6">
                  <c:v>2025-26</c:v>
                </c:pt>
                <c:pt idx="7">
                  <c:v>2026-27</c:v>
                </c:pt>
                <c:pt idx="8">
                  <c:v>2027-28</c:v>
                </c:pt>
              </c:strCache>
              <c:extLst/>
            </c:strRef>
          </c:cat>
          <c:val>
            <c:numRef>
              <c:f>'Dashboard - Data'!$Z$8:$AH$8</c:f>
              <c:numCache>
                <c:formatCode>_(#,##0.00_);\(#,##0.00\);_("-"_)</c:formatCode>
                <c:ptCount val="9"/>
                <c:pt idx="0">
                  <c:v>7.0891853352364365</c:v>
                </c:pt>
                <c:pt idx="1">
                  <c:v>19.228712868644759</c:v>
                </c:pt>
                <c:pt idx="2">
                  <c:v>17.557730983012164</c:v>
                </c:pt>
                <c:pt idx="3">
                  <c:v>15.589218698357946</c:v>
                </c:pt>
                <c:pt idx="4">
                  <c:v>22.542469019499617</c:v>
                </c:pt>
                <c:pt idx="5">
                  <c:v>19.351286111154263</c:v>
                </c:pt>
                <c:pt idx="6">
                  <c:v>16.876157351238188</c:v>
                </c:pt>
                <c:pt idx="7">
                  <c:v>17.93776944587772</c:v>
                </c:pt>
                <c:pt idx="8">
                  <c:v>15.943412744008558</c:v>
                </c:pt>
              </c:numCache>
              <c:extLst/>
            </c:numRef>
          </c:val>
          <c:extLst>
            <c:ext xmlns:c16="http://schemas.microsoft.com/office/drawing/2014/chart" uri="{C3380CC4-5D6E-409C-BE32-E72D297353CC}">
              <c16:uniqueId val="{00000000-91A8-4126-8844-4F553C24A43A}"/>
            </c:ext>
          </c:extLst>
        </c:ser>
        <c:ser>
          <c:idx val="1"/>
          <c:order val="1"/>
          <c:tx>
            <c:strRef>
              <c:f>'Dashboard - Data'!$Y$9</c:f>
              <c:strCache>
                <c:ptCount val="1"/>
                <c:pt idx="0">
                  <c:v>Drainage</c:v>
                </c:pt>
              </c:strCache>
            </c:strRef>
          </c:tx>
          <c:spPr>
            <a:solidFill>
              <a:schemeClr val="accent2"/>
            </a:solidFill>
            <a:ln>
              <a:noFill/>
            </a:ln>
            <a:effectLst/>
          </c:spPr>
          <c:invertIfNegative val="0"/>
          <c:cat>
            <c:strRef>
              <c:f>'Dashboard - Data'!$Z$7:$AH$7</c:f>
              <c:strCache>
                <c:ptCount val="9"/>
                <c:pt idx="0">
                  <c:v>2019-20</c:v>
                </c:pt>
                <c:pt idx="1">
                  <c:v>2020-21</c:v>
                </c:pt>
                <c:pt idx="2">
                  <c:v>2021-22</c:v>
                </c:pt>
                <c:pt idx="3">
                  <c:v>2022-23</c:v>
                </c:pt>
                <c:pt idx="4">
                  <c:v>2023-24</c:v>
                </c:pt>
                <c:pt idx="5">
                  <c:v>2024-25</c:v>
                </c:pt>
                <c:pt idx="6">
                  <c:v>2025-26</c:v>
                </c:pt>
                <c:pt idx="7">
                  <c:v>2026-27</c:v>
                </c:pt>
                <c:pt idx="8">
                  <c:v>2027-28</c:v>
                </c:pt>
              </c:strCache>
              <c:extLst/>
            </c:strRef>
          </c:cat>
          <c:val>
            <c:numRef>
              <c:f>'Dashboard - Data'!$Z$9:$AH$9</c:f>
              <c:numCache>
                <c:formatCode>_(#,##0.00_);\(#,##0.00\);_("-"_)</c:formatCode>
                <c:ptCount val="9"/>
                <c:pt idx="0">
                  <c:v>1.2387516228887661</c:v>
                </c:pt>
                <c:pt idx="1">
                  <c:v>0.83240656626295184</c:v>
                </c:pt>
                <c:pt idx="2">
                  <c:v>1.1633296938124043</c:v>
                </c:pt>
                <c:pt idx="3">
                  <c:v>0.82764832340539374</c:v>
                </c:pt>
                <c:pt idx="4">
                  <c:v>0.60362142335427971</c:v>
                </c:pt>
                <c:pt idx="5">
                  <c:v>1.1549305480061878</c:v>
                </c:pt>
                <c:pt idx="6">
                  <c:v>1.3806844281784263</c:v>
                </c:pt>
                <c:pt idx="7">
                  <c:v>1.1868392227997908</c:v>
                </c:pt>
                <c:pt idx="8">
                  <c:v>1.180168119695314</c:v>
                </c:pt>
              </c:numCache>
              <c:extLst/>
            </c:numRef>
          </c:val>
          <c:extLst>
            <c:ext xmlns:c16="http://schemas.microsoft.com/office/drawing/2014/chart" uri="{C3380CC4-5D6E-409C-BE32-E72D297353CC}">
              <c16:uniqueId val="{00000001-91A8-4126-8844-4F553C24A43A}"/>
            </c:ext>
          </c:extLst>
        </c:ser>
        <c:ser>
          <c:idx val="2"/>
          <c:order val="2"/>
          <c:tx>
            <c:strRef>
              <c:f>'Dashboard - Data'!$Y$10</c:f>
              <c:strCache>
                <c:ptCount val="1"/>
                <c:pt idx="0">
                  <c:v>Water supply districts</c:v>
                </c:pt>
              </c:strCache>
            </c:strRef>
          </c:tx>
          <c:spPr>
            <a:solidFill>
              <a:schemeClr val="accent3"/>
            </a:solidFill>
            <a:ln>
              <a:noFill/>
            </a:ln>
            <a:effectLst/>
          </c:spPr>
          <c:invertIfNegative val="0"/>
          <c:cat>
            <c:strRef>
              <c:f>'Dashboard - Data'!$Z$7:$AH$7</c:f>
              <c:strCache>
                <c:ptCount val="9"/>
                <c:pt idx="0">
                  <c:v>2019-20</c:v>
                </c:pt>
                <c:pt idx="1">
                  <c:v>2020-21</c:v>
                </c:pt>
                <c:pt idx="2">
                  <c:v>2021-22</c:v>
                </c:pt>
                <c:pt idx="3">
                  <c:v>2022-23</c:v>
                </c:pt>
                <c:pt idx="4">
                  <c:v>2023-24</c:v>
                </c:pt>
                <c:pt idx="5">
                  <c:v>2024-25</c:v>
                </c:pt>
                <c:pt idx="6">
                  <c:v>2025-26</c:v>
                </c:pt>
                <c:pt idx="7">
                  <c:v>2026-27</c:v>
                </c:pt>
                <c:pt idx="8">
                  <c:v>2027-28</c:v>
                </c:pt>
              </c:strCache>
              <c:extLst/>
            </c:strRef>
          </c:cat>
          <c:val>
            <c:numRef>
              <c:f>'Dashboard - Data'!$Z$10:$AH$10</c:f>
              <c:numCache>
                <c:formatCode>_(#,##0.00_);\(#,##0.00\);_("-"_)</c:formatCode>
                <c:ptCount val="9"/>
                <c:pt idx="0">
                  <c:v>0.15356589617675245</c:v>
                </c:pt>
                <c:pt idx="1">
                  <c:v>4.9159660393157401</c:v>
                </c:pt>
                <c:pt idx="2">
                  <c:v>0.13214903509146728</c:v>
                </c:pt>
                <c:pt idx="3">
                  <c:v>-0.45014645422359595</c:v>
                </c:pt>
                <c:pt idx="4">
                  <c:v>3.4560126180655848E-2</c:v>
                </c:pt>
                <c:pt idx="5">
                  <c:v>4.9731302488503347E-2</c:v>
                </c:pt>
                <c:pt idx="6">
                  <c:v>0.13148225159707033</c:v>
                </c:pt>
                <c:pt idx="7">
                  <c:v>0.12198067130994593</c:v>
                </c:pt>
                <c:pt idx="8">
                  <c:v>3.8825385059933E-2</c:v>
                </c:pt>
              </c:numCache>
              <c:extLst/>
            </c:numRef>
          </c:val>
          <c:extLst>
            <c:ext xmlns:c16="http://schemas.microsoft.com/office/drawing/2014/chart" uri="{C3380CC4-5D6E-409C-BE32-E72D297353CC}">
              <c16:uniqueId val="{00000002-91A8-4126-8844-4F553C24A43A}"/>
            </c:ext>
          </c:extLst>
        </c:ser>
        <c:ser>
          <c:idx val="3"/>
          <c:order val="3"/>
          <c:tx>
            <c:strRef>
              <c:f>'Dashboard - Data'!$Y$11</c:f>
              <c:strCache>
                <c:ptCount val="1"/>
                <c:pt idx="0">
                  <c:v>Surface water diversions</c:v>
                </c:pt>
              </c:strCache>
            </c:strRef>
          </c:tx>
          <c:spPr>
            <a:solidFill>
              <a:schemeClr val="accent4"/>
            </a:solidFill>
            <a:ln>
              <a:noFill/>
            </a:ln>
            <a:effectLst/>
          </c:spPr>
          <c:invertIfNegative val="0"/>
          <c:cat>
            <c:strRef>
              <c:f>'Dashboard - Data'!$Z$7:$AH$7</c:f>
              <c:strCache>
                <c:ptCount val="9"/>
                <c:pt idx="0">
                  <c:v>2019-20</c:v>
                </c:pt>
                <c:pt idx="1">
                  <c:v>2020-21</c:v>
                </c:pt>
                <c:pt idx="2">
                  <c:v>2021-22</c:v>
                </c:pt>
                <c:pt idx="3">
                  <c:v>2022-23</c:v>
                </c:pt>
                <c:pt idx="4">
                  <c:v>2023-24</c:v>
                </c:pt>
                <c:pt idx="5">
                  <c:v>2024-25</c:v>
                </c:pt>
                <c:pt idx="6">
                  <c:v>2025-26</c:v>
                </c:pt>
                <c:pt idx="7">
                  <c:v>2026-27</c:v>
                </c:pt>
                <c:pt idx="8">
                  <c:v>2027-28</c:v>
                </c:pt>
              </c:strCache>
              <c:extLst/>
            </c:strRef>
          </c:cat>
          <c:val>
            <c:numRef>
              <c:f>'Dashboard - Data'!$Z$11:$AH$11</c:f>
              <c:numCache>
                <c:formatCode>_(#,##0.00_);\(#,##0.00\);_("-"_)</c:formatCode>
                <c:ptCount val="9"/>
                <c:pt idx="0">
                  <c:v>0.35046873975583331</c:v>
                </c:pt>
                <c:pt idx="1">
                  <c:v>0.22756371347864052</c:v>
                </c:pt>
                <c:pt idx="2">
                  <c:v>0.31855315087879177</c:v>
                </c:pt>
                <c:pt idx="3">
                  <c:v>1.8501176166154782</c:v>
                </c:pt>
                <c:pt idx="4">
                  <c:v>0.93110153548674257</c:v>
                </c:pt>
                <c:pt idx="5">
                  <c:v>1.2496359268200246</c:v>
                </c:pt>
                <c:pt idx="6">
                  <c:v>1.2276636601994797</c:v>
                </c:pt>
                <c:pt idx="7">
                  <c:v>1.1849615587002797</c:v>
                </c:pt>
                <c:pt idx="8">
                  <c:v>1.1964393282197243</c:v>
                </c:pt>
              </c:numCache>
              <c:extLst/>
            </c:numRef>
          </c:val>
          <c:extLst>
            <c:ext xmlns:c16="http://schemas.microsoft.com/office/drawing/2014/chart" uri="{C3380CC4-5D6E-409C-BE32-E72D297353CC}">
              <c16:uniqueId val="{00000003-91A8-4126-8844-4F553C24A43A}"/>
            </c:ext>
          </c:extLst>
        </c:ser>
        <c:ser>
          <c:idx val="4"/>
          <c:order val="4"/>
          <c:tx>
            <c:strRef>
              <c:f>'Dashboard - Data'!$Y$12</c:f>
              <c:strCache>
                <c:ptCount val="1"/>
                <c:pt idx="0">
                  <c:v>Groundwater diversions</c:v>
                </c:pt>
              </c:strCache>
            </c:strRef>
          </c:tx>
          <c:spPr>
            <a:solidFill>
              <a:schemeClr val="accent5"/>
            </a:solidFill>
            <a:ln>
              <a:noFill/>
            </a:ln>
            <a:effectLst/>
          </c:spPr>
          <c:invertIfNegative val="0"/>
          <c:cat>
            <c:strRef>
              <c:f>'Dashboard - Data'!$Z$7:$AH$7</c:f>
              <c:strCache>
                <c:ptCount val="9"/>
                <c:pt idx="0">
                  <c:v>2019-20</c:v>
                </c:pt>
                <c:pt idx="1">
                  <c:v>2020-21</c:v>
                </c:pt>
                <c:pt idx="2">
                  <c:v>2021-22</c:v>
                </c:pt>
                <c:pt idx="3">
                  <c:v>2022-23</c:v>
                </c:pt>
                <c:pt idx="4">
                  <c:v>2023-24</c:v>
                </c:pt>
                <c:pt idx="5">
                  <c:v>2024-25</c:v>
                </c:pt>
                <c:pt idx="6">
                  <c:v>2025-26</c:v>
                </c:pt>
                <c:pt idx="7">
                  <c:v>2026-27</c:v>
                </c:pt>
                <c:pt idx="8">
                  <c:v>2027-28</c:v>
                </c:pt>
              </c:strCache>
              <c:extLst/>
            </c:strRef>
          </c:cat>
          <c:val>
            <c:numRef>
              <c:f>'Dashboard - Data'!$Z$12:$AH$12</c:f>
              <c:numCache>
                <c:formatCode>_(#,##0.00_);\(#,##0.00\);_("-"_)</c:formatCode>
                <c:ptCount val="9"/>
                <c:pt idx="0">
                  <c:v>0.18418386370988832</c:v>
                </c:pt>
                <c:pt idx="1">
                  <c:v>0.11021975926657912</c:v>
                </c:pt>
                <c:pt idx="2">
                  <c:v>9.6938775444501829E-2</c:v>
                </c:pt>
                <c:pt idx="3">
                  <c:v>0.19306385066648418</c:v>
                </c:pt>
                <c:pt idx="4">
                  <c:v>0.15264336420166311</c:v>
                </c:pt>
                <c:pt idx="5">
                  <c:v>0.93253862782625985</c:v>
                </c:pt>
                <c:pt idx="6">
                  <c:v>0.91790914744508934</c:v>
                </c:pt>
                <c:pt idx="7">
                  <c:v>0.89360992011067863</c:v>
                </c:pt>
                <c:pt idx="8">
                  <c:v>0.90206423748072928</c:v>
                </c:pt>
              </c:numCache>
              <c:extLst/>
            </c:numRef>
          </c:val>
          <c:extLst>
            <c:ext xmlns:c16="http://schemas.microsoft.com/office/drawing/2014/chart" uri="{C3380CC4-5D6E-409C-BE32-E72D297353CC}">
              <c16:uniqueId val="{00000004-91A8-4126-8844-4F553C24A43A}"/>
            </c:ext>
          </c:extLst>
        </c:ser>
        <c:ser>
          <c:idx val="5"/>
          <c:order val="5"/>
          <c:tx>
            <c:strRef>
              <c:f>'Dashboard - Data'!$Y$13</c:f>
              <c:strCache>
                <c:ptCount val="1"/>
                <c:pt idx="0">
                  <c:v>Bulk water services</c:v>
                </c:pt>
              </c:strCache>
            </c:strRef>
          </c:tx>
          <c:spPr>
            <a:solidFill>
              <a:schemeClr val="accent1">
                <a:lumMod val="60000"/>
                <a:lumOff val="40000"/>
              </a:schemeClr>
            </a:solidFill>
            <a:ln>
              <a:noFill/>
            </a:ln>
            <a:effectLst/>
          </c:spPr>
          <c:invertIfNegative val="0"/>
          <c:cat>
            <c:strRef>
              <c:f>'Dashboard - Data'!$Z$7:$AH$7</c:f>
              <c:strCache>
                <c:ptCount val="9"/>
                <c:pt idx="0">
                  <c:v>2019-20</c:v>
                </c:pt>
                <c:pt idx="1">
                  <c:v>2020-21</c:v>
                </c:pt>
                <c:pt idx="2">
                  <c:v>2021-22</c:v>
                </c:pt>
                <c:pt idx="3">
                  <c:v>2022-23</c:v>
                </c:pt>
                <c:pt idx="4">
                  <c:v>2023-24</c:v>
                </c:pt>
                <c:pt idx="5">
                  <c:v>2024-25</c:v>
                </c:pt>
                <c:pt idx="6">
                  <c:v>2025-26</c:v>
                </c:pt>
                <c:pt idx="7">
                  <c:v>2026-27</c:v>
                </c:pt>
                <c:pt idx="8">
                  <c:v>2027-28</c:v>
                </c:pt>
              </c:strCache>
              <c:extLst/>
            </c:strRef>
          </c:cat>
          <c:val>
            <c:numRef>
              <c:f>'Dashboard - Data'!$Z$13:$AH$13</c:f>
              <c:numCache>
                <c:formatCode>_(#,##0.00_);\(#,##0.00\);_("-"_)</c:formatCode>
                <c:ptCount val="9"/>
                <c:pt idx="0">
                  <c:v>4.1892186362323205</c:v>
                </c:pt>
                <c:pt idx="1">
                  <c:v>3.3204752724735984</c:v>
                </c:pt>
                <c:pt idx="2">
                  <c:v>3.8135191511971507</c:v>
                </c:pt>
                <c:pt idx="3">
                  <c:v>6.4461788068332764</c:v>
                </c:pt>
                <c:pt idx="4">
                  <c:v>7.5074985049227134</c:v>
                </c:pt>
                <c:pt idx="5">
                  <c:v>9.6485694927652972</c:v>
                </c:pt>
                <c:pt idx="6">
                  <c:v>9.4898722154420838</c:v>
                </c:pt>
                <c:pt idx="7">
                  <c:v>5.8145691568885338</c:v>
                </c:pt>
                <c:pt idx="8">
                  <c:v>5.8320740091443586</c:v>
                </c:pt>
              </c:numCache>
              <c:extLst/>
            </c:numRef>
          </c:val>
          <c:extLst>
            <c:ext xmlns:c16="http://schemas.microsoft.com/office/drawing/2014/chart" uri="{C3380CC4-5D6E-409C-BE32-E72D297353CC}">
              <c16:uniqueId val="{00000005-91A8-4126-8844-4F553C24A43A}"/>
            </c:ext>
          </c:extLst>
        </c:ser>
        <c:dLbls>
          <c:showLegendKey val="0"/>
          <c:showVal val="0"/>
          <c:showCatName val="0"/>
          <c:showSerName val="0"/>
          <c:showPercent val="0"/>
          <c:showBubbleSize val="0"/>
        </c:dLbls>
        <c:gapWidth val="75"/>
        <c:overlap val="100"/>
        <c:axId val="199871488"/>
        <c:axId val="199877376"/>
      </c:barChart>
      <c:catAx>
        <c:axId val="199871488"/>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99877376"/>
        <c:crossesAt val="0"/>
        <c:auto val="1"/>
        <c:lblAlgn val="ctr"/>
        <c:lblOffset val="100"/>
        <c:noMultiLvlLbl val="0"/>
      </c:catAx>
      <c:valAx>
        <c:axId val="199877376"/>
        <c:scaling>
          <c:orientation val="minMax"/>
          <c:min val="0"/>
        </c:scaling>
        <c:delete val="0"/>
        <c:axPos val="l"/>
        <c:majorGridlines>
          <c:spPr>
            <a:ln w="6350" cap="flat" cmpd="sng" algn="ctr">
              <a:solidFill>
                <a:schemeClr val="tx1">
                  <a:tint val="75000"/>
                </a:schemeClr>
              </a:solidFill>
              <a:prstDash val="solid"/>
              <a:round/>
            </a:ln>
            <a:effectLst/>
          </c:spPr>
        </c:majorGridlines>
        <c:numFmt formatCode="#,##0.0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99871488"/>
        <c:crosses val="autoZero"/>
        <c:crossBetween val="between"/>
      </c:valAx>
      <c:spPr>
        <a:solidFill>
          <a:schemeClr val="bg1"/>
        </a:solidFill>
        <a:ln>
          <a:noFill/>
        </a:ln>
        <a:effectLst/>
      </c:spPr>
    </c:plotArea>
    <c:legend>
      <c:legendPos val="b"/>
      <c:layout>
        <c:manualLayout>
          <c:xMode val="edge"/>
          <c:yMode val="edge"/>
          <c:x val="0.15215795181204053"/>
          <c:y val="0.80538283667155186"/>
          <c:w val="0.75148655556941624"/>
          <c:h val="0.1663484412169775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ADE071DAEA41E78F612AFD418C39B7"/>
        <w:category>
          <w:name w:val="General"/>
          <w:gallery w:val="placeholder"/>
        </w:category>
        <w:types>
          <w:type w:val="bbPlcHdr"/>
        </w:types>
        <w:behaviors>
          <w:behavior w:val="content"/>
        </w:behaviors>
        <w:guid w:val="{0794DEF3-FA4A-4C9F-9F46-6F8B50CB2672}"/>
      </w:docPartPr>
      <w:docPartBody>
        <w:p w:rsidR="00104CE1" w:rsidRDefault="00494D55">
          <w:pPr>
            <w:pStyle w:val="7EADE071DAEA41E78F612AFD418C39B7"/>
          </w:pPr>
          <w:r>
            <w:t xml:space="preserve">  </w:t>
          </w:r>
        </w:p>
      </w:docPartBody>
    </w:docPart>
    <w:docPart>
      <w:docPartPr>
        <w:name w:val="34EC1314B48946F9AB9A023C3A43A56C"/>
        <w:category>
          <w:name w:val="General"/>
          <w:gallery w:val="placeholder"/>
        </w:category>
        <w:types>
          <w:type w:val="bbPlcHdr"/>
        </w:types>
        <w:behaviors>
          <w:behavior w:val="content"/>
        </w:behaviors>
        <w:guid w:val="{3A45C6C8-DC89-498B-8897-B2261D627534}"/>
      </w:docPartPr>
      <w:docPartBody>
        <w:p w:rsidR="00104CE1" w:rsidRDefault="00494D55">
          <w:pPr>
            <w:pStyle w:val="34EC1314B48946F9AB9A023C3A43A56C"/>
          </w:pPr>
          <w:r w:rsidRPr="00DA005C">
            <w:t>[Title, use ‘Title’ type style. Content will automatically link to internal footer]</w:t>
          </w:r>
        </w:p>
      </w:docPartBody>
    </w:docPart>
    <w:docPart>
      <w:docPartPr>
        <w:name w:val="F3C3A57147344A77851F182346213046"/>
        <w:category>
          <w:name w:val="General"/>
          <w:gallery w:val="placeholder"/>
        </w:category>
        <w:types>
          <w:type w:val="bbPlcHdr"/>
        </w:types>
        <w:behaviors>
          <w:behavior w:val="content"/>
        </w:behaviors>
        <w:guid w:val="{293D21E6-368A-4CE2-8C8B-321B18981F16}"/>
      </w:docPartPr>
      <w:docPartBody>
        <w:p w:rsidR="00104CE1" w:rsidRDefault="00494D55">
          <w:pPr>
            <w:pStyle w:val="F3C3A57147344A77851F182346213046"/>
          </w:pPr>
          <w:r w:rsidRPr="008249C5">
            <w:rPr>
              <w:rStyle w:val="PlaceholderText"/>
            </w:rPr>
            <w:t>[</w:t>
          </w:r>
          <w:r>
            <w:rPr>
              <w:rStyle w:val="PlaceholderText"/>
            </w:rPr>
            <w:t>Subtitle</w:t>
          </w:r>
          <w:r w:rsidRPr="008249C5">
            <w:rPr>
              <w:rStyle w:val="PlaceholderText"/>
            </w:rPr>
            <w:t>]</w:t>
          </w:r>
        </w:p>
      </w:docPartBody>
    </w:docPart>
    <w:docPart>
      <w:docPartPr>
        <w:name w:val="67DD3D462EAE4C6E8B7D70E61E480038"/>
        <w:category>
          <w:name w:val="General"/>
          <w:gallery w:val="placeholder"/>
        </w:category>
        <w:types>
          <w:type w:val="bbPlcHdr"/>
        </w:types>
        <w:behaviors>
          <w:behavior w:val="content"/>
        </w:behaviors>
        <w:guid w:val="{97FC1B89-5DA8-4AE7-9C30-3D8AB196AD04}"/>
      </w:docPartPr>
      <w:docPartBody>
        <w:p w:rsidR="00104CE1" w:rsidRDefault="00494D55">
          <w:pPr>
            <w:pStyle w:val="67DD3D462EAE4C6E8B7D70E61E480038"/>
          </w:pPr>
          <w:r w:rsidRPr="00360763">
            <w:rPr>
              <w:highlight w:val="lightGray"/>
            </w:rPr>
            <w:t>[Click to select a year]</w:t>
          </w:r>
        </w:p>
      </w:docPartBody>
    </w:docPart>
    <w:docPart>
      <w:docPartPr>
        <w:name w:val="C41C5A18611B41BDB65BD4BDF4A2EAF3"/>
        <w:category>
          <w:name w:val="General"/>
          <w:gallery w:val="placeholder"/>
        </w:category>
        <w:types>
          <w:type w:val="bbPlcHdr"/>
        </w:types>
        <w:behaviors>
          <w:behavior w:val="content"/>
        </w:behaviors>
        <w:guid w:val="{F987D2C4-CB5E-419B-AB2A-F061F89FDE8B}"/>
      </w:docPartPr>
      <w:docPartBody>
        <w:p w:rsidR="00104CE1" w:rsidRDefault="00494D55">
          <w:pPr>
            <w:pStyle w:val="C41C5A18611B41BDB65BD4BDF4A2EAF3"/>
          </w:pPr>
          <w:r w:rsidRPr="005F3D90">
            <w:rPr>
              <w:highlight w:val="lightGray"/>
            </w:rPr>
            <w:t>[Title]</w:t>
          </w:r>
        </w:p>
      </w:docPartBody>
    </w:docPart>
    <w:docPart>
      <w:docPartPr>
        <w:name w:val="8354013ECA134B9FB69E14D68AF69B72"/>
        <w:category>
          <w:name w:val="General"/>
          <w:gallery w:val="placeholder"/>
        </w:category>
        <w:types>
          <w:type w:val="bbPlcHdr"/>
        </w:types>
        <w:behaviors>
          <w:behavior w:val="content"/>
        </w:behaviors>
        <w:guid w:val="{FF40D858-89DB-424F-A36D-A304A7260C54}"/>
      </w:docPartPr>
      <w:docPartBody>
        <w:p w:rsidR="00104CE1" w:rsidRDefault="00494D55">
          <w:pPr>
            <w:pStyle w:val="8354013ECA134B9FB69E14D68AF69B72"/>
          </w:pPr>
          <w:r w:rsidRPr="00563AD8">
            <w:rPr>
              <w:highlight w:val="lightGray"/>
            </w:rPr>
            <w:t>[Subtitle]</w:t>
          </w:r>
        </w:p>
      </w:docPartBody>
    </w:docPart>
    <w:docPart>
      <w:docPartPr>
        <w:name w:val="2FD311BECF124DFFAEBE6B54F1D46810"/>
        <w:category>
          <w:name w:val="General"/>
          <w:gallery w:val="placeholder"/>
        </w:category>
        <w:types>
          <w:type w:val="bbPlcHdr"/>
        </w:types>
        <w:behaviors>
          <w:behavior w:val="content"/>
        </w:behaviors>
        <w:guid w:val="{D78EEDC8-36DB-42CB-8B32-CD39E77D1193}"/>
      </w:docPartPr>
      <w:docPartBody>
        <w:p w:rsidR="00104CE1" w:rsidRDefault="00494D55">
          <w:pPr>
            <w:pStyle w:val="2FD311BECF124DFFAEBE6B54F1D46810"/>
          </w:pPr>
          <w:r w:rsidRPr="00360763">
            <w:rPr>
              <w:highlight w:val="lightGray"/>
            </w:rPr>
            <w:t>[Click to select a year]</w:t>
          </w:r>
        </w:p>
      </w:docPartBody>
    </w:docPart>
    <w:docPart>
      <w:docPartPr>
        <w:name w:val="B9DE4E6574DA49069C706AC679A5F08E"/>
        <w:category>
          <w:name w:val="General"/>
          <w:gallery w:val="placeholder"/>
        </w:category>
        <w:types>
          <w:type w:val="bbPlcHdr"/>
        </w:types>
        <w:behaviors>
          <w:behavior w:val="content"/>
        </w:behaviors>
        <w:guid w:val="{7B311EE2-7562-4180-A363-4A4FC0319BA2}"/>
      </w:docPartPr>
      <w:docPartBody>
        <w:p w:rsidR="00104CE1" w:rsidRDefault="00494D55">
          <w:pPr>
            <w:pStyle w:val="B9DE4E6574DA49069C706AC679A5F08E"/>
          </w:pPr>
          <w:r w:rsidRPr="005F3D90">
            <w:rPr>
              <w:highlight w:val="lightGray"/>
            </w:rPr>
            <w:t>[Title]</w:t>
          </w:r>
        </w:p>
      </w:docPartBody>
    </w:docPart>
    <w:docPart>
      <w:docPartPr>
        <w:name w:val="7D23570527974AA099E9AC7114E4E31E"/>
        <w:category>
          <w:name w:val="General"/>
          <w:gallery w:val="placeholder"/>
        </w:category>
        <w:types>
          <w:type w:val="bbPlcHdr"/>
        </w:types>
        <w:behaviors>
          <w:behavior w:val="content"/>
        </w:behaviors>
        <w:guid w:val="{7E7ABF12-118E-4FC0-B2D4-6B50EAE13B4E}"/>
      </w:docPartPr>
      <w:docPartBody>
        <w:p w:rsidR="00104CE1" w:rsidRDefault="00494D55">
          <w:pPr>
            <w:pStyle w:val="7D23570527974AA099E9AC7114E4E31E"/>
          </w:pPr>
          <w:r>
            <w:t xml:space="preserve">  </w:t>
          </w:r>
        </w:p>
      </w:docPartBody>
    </w:docPart>
    <w:docPart>
      <w:docPartPr>
        <w:name w:val="0D8C47B280514B998F856862935366E6"/>
        <w:category>
          <w:name w:val="General"/>
          <w:gallery w:val="placeholder"/>
        </w:category>
        <w:types>
          <w:type w:val="bbPlcHdr"/>
        </w:types>
        <w:behaviors>
          <w:behavior w:val="content"/>
        </w:behaviors>
        <w:guid w:val="{F24414B1-1236-465D-B054-965A35F85EA8}"/>
      </w:docPartPr>
      <w:docPartBody>
        <w:p w:rsidR="00104CE1" w:rsidRDefault="00494D55">
          <w:pPr>
            <w:pStyle w:val="0D8C47B280514B998F856862935366E6"/>
          </w:pPr>
          <w:r w:rsidRPr="00AD2E14">
            <w:rPr>
              <w:b/>
              <w:highlight w:val="lightGray"/>
            </w:rPr>
            <w:t>[Title]</w:t>
          </w:r>
        </w:p>
      </w:docPartBody>
    </w:docPart>
    <w:docPart>
      <w:docPartPr>
        <w:name w:val="F92DE4CB5F3D4409942609ECF7F112C8"/>
        <w:category>
          <w:name w:val="General"/>
          <w:gallery w:val="placeholder"/>
        </w:category>
        <w:types>
          <w:type w:val="bbPlcHdr"/>
        </w:types>
        <w:behaviors>
          <w:behavior w:val="content"/>
        </w:behaviors>
        <w:guid w:val="{3B3B294C-CC87-442B-9967-6373803BA1B3}"/>
      </w:docPartPr>
      <w:docPartBody>
        <w:p w:rsidR="00104CE1" w:rsidRDefault="00494D55">
          <w:pPr>
            <w:pStyle w:val="F92DE4CB5F3D4409942609ECF7F112C8"/>
          </w:pPr>
          <w:r w:rsidRPr="00AD2E14">
            <w:rPr>
              <w:b/>
              <w:highlight w:val="lightGray"/>
            </w:rPr>
            <w:t>[Title]</w:t>
          </w:r>
        </w:p>
      </w:docPartBody>
    </w:docPart>
    <w:docPart>
      <w:docPartPr>
        <w:name w:val="CBB558AD63A54A23BA83322EC5CE4376"/>
        <w:category>
          <w:name w:val="General"/>
          <w:gallery w:val="placeholder"/>
        </w:category>
        <w:types>
          <w:type w:val="bbPlcHdr"/>
        </w:types>
        <w:behaviors>
          <w:behavior w:val="content"/>
        </w:behaviors>
        <w:guid w:val="{C6BD35F6-1F88-46E2-B6F8-A230BF961333}"/>
      </w:docPartPr>
      <w:docPartBody>
        <w:p w:rsidR="00104CE1" w:rsidRDefault="00494D55">
          <w:pPr>
            <w:pStyle w:val="CBB558AD63A54A23BA83322EC5CE4376"/>
          </w:pPr>
          <w:r w:rsidRPr="00AD2E14">
            <w:rPr>
              <w:b/>
              <w:highlight w:val="lightGray"/>
            </w:rPr>
            <w:t>[Title]</w:t>
          </w:r>
        </w:p>
      </w:docPartBody>
    </w:docPart>
    <w:docPart>
      <w:docPartPr>
        <w:name w:val="214E0707627E471AB3EC0B79B6D2F405"/>
        <w:category>
          <w:name w:val="General"/>
          <w:gallery w:val="placeholder"/>
        </w:category>
        <w:types>
          <w:type w:val="bbPlcHdr"/>
        </w:types>
        <w:behaviors>
          <w:behavior w:val="content"/>
        </w:behaviors>
        <w:guid w:val="{44AAA3AF-1D3C-4111-BD1B-A0604EA7575C}"/>
      </w:docPartPr>
      <w:docPartBody>
        <w:p w:rsidR="00104CE1" w:rsidRDefault="00494D55">
          <w:pPr>
            <w:pStyle w:val="214E0707627E471AB3EC0B79B6D2F405"/>
          </w:pPr>
          <w:r w:rsidRPr="00AD2E14">
            <w:rPr>
              <w:b/>
              <w:highlight w:val="lightGray"/>
            </w:rPr>
            <w:t>[Title]</w:t>
          </w:r>
        </w:p>
      </w:docPartBody>
    </w:docPart>
    <w:docPart>
      <w:docPartPr>
        <w:name w:val="B4B87671E4104AA3857A6481E2189FCF"/>
        <w:category>
          <w:name w:val="General"/>
          <w:gallery w:val="placeholder"/>
        </w:category>
        <w:types>
          <w:type w:val="bbPlcHdr"/>
        </w:types>
        <w:behaviors>
          <w:behavior w:val="content"/>
        </w:behaviors>
        <w:guid w:val="{8C421EC2-7052-4049-930A-4017476244A1}"/>
      </w:docPartPr>
      <w:docPartBody>
        <w:p w:rsidR="00104CE1" w:rsidRDefault="00494D55" w:rsidP="00494D55">
          <w:pPr>
            <w:pStyle w:val="B4B87671E4104AA3857A6481E2189FCF"/>
          </w:pPr>
          <w:r w:rsidRPr="00AD2E14">
            <w:rPr>
              <w:b/>
              <w:highlight w:val="lightGray"/>
            </w:rPr>
            <w:t>[Title]</w:t>
          </w:r>
        </w:p>
      </w:docPartBody>
    </w:docPart>
    <w:docPart>
      <w:docPartPr>
        <w:name w:val="95E81FE8971D4DA0984381202E99ECBB"/>
        <w:category>
          <w:name w:val="General"/>
          <w:gallery w:val="placeholder"/>
        </w:category>
        <w:types>
          <w:type w:val="bbPlcHdr"/>
        </w:types>
        <w:behaviors>
          <w:behavior w:val="content"/>
        </w:behaviors>
        <w:guid w:val="{2AB1B99D-1E12-4390-A665-B4ED99A15E13}"/>
      </w:docPartPr>
      <w:docPartBody>
        <w:p w:rsidR="00104CE1" w:rsidRDefault="00494D55" w:rsidP="00494D55">
          <w:pPr>
            <w:pStyle w:val="95E81FE8971D4DA0984381202E99ECBB"/>
          </w:pPr>
          <w:r w:rsidRPr="00AD2E14">
            <w:rPr>
              <w:b/>
              <w:highlight w:val="lightGray"/>
            </w:rPr>
            <w:t>[Title]</w:t>
          </w:r>
        </w:p>
      </w:docPartBody>
    </w:docPart>
    <w:docPart>
      <w:docPartPr>
        <w:name w:val="307D8913B3F44B87874977D2938EAB5A"/>
        <w:category>
          <w:name w:val="General"/>
          <w:gallery w:val="placeholder"/>
        </w:category>
        <w:types>
          <w:type w:val="bbPlcHdr"/>
        </w:types>
        <w:behaviors>
          <w:behavior w:val="content"/>
        </w:behaviors>
        <w:guid w:val="{F4DB3664-3F26-4D50-8CDB-0FBFD89E1609}"/>
      </w:docPartPr>
      <w:docPartBody>
        <w:p w:rsidR="00104CE1" w:rsidRDefault="00494D55" w:rsidP="00494D55">
          <w:pPr>
            <w:pStyle w:val="307D8913B3F44B87874977D2938EAB5A"/>
          </w:pPr>
          <w:r w:rsidRPr="00AD2E14">
            <w:rPr>
              <w:b/>
              <w:highlight w:val="lightGray"/>
            </w:rPr>
            <w:t>[Title]</w:t>
          </w:r>
        </w:p>
      </w:docPartBody>
    </w:docPart>
    <w:docPart>
      <w:docPartPr>
        <w:name w:val="567F915EBA9D43F3BFA4445247AF7E8D"/>
        <w:category>
          <w:name w:val="General"/>
          <w:gallery w:val="placeholder"/>
        </w:category>
        <w:types>
          <w:type w:val="bbPlcHdr"/>
        </w:types>
        <w:behaviors>
          <w:behavior w:val="content"/>
        </w:behaviors>
        <w:guid w:val="{039867F0-D13C-4E2F-8C61-B9B9732D99A3}"/>
      </w:docPartPr>
      <w:docPartBody>
        <w:p w:rsidR="00104CE1" w:rsidRDefault="00494D55" w:rsidP="00494D55">
          <w:pPr>
            <w:pStyle w:val="567F915EBA9D43F3BFA4445247AF7E8D"/>
          </w:pPr>
          <w:r w:rsidRPr="00AD2E14">
            <w:rPr>
              <w:b/>
              <w:highlight w:val="lightGray"/>
            </w:rPr>
            <w:t>[Title]</w:t>
          </w:r>
        </w:p>
      </w:docPartBody>
    </w:docPart>
    <w:docPart>
      <w:docPartPr>
        <w:name w:val="1758A017CD6B41D088D263D4E6DEDA78"/>
        <w:category>
          <w:name w:val="General"/>
          <w:gallery w:val="placeholder"/>
        </w:category>
        <w:types>
          <w:type w:val="bbPlcHdr"/>
        </w:types>
        <w:behaviors>
          <w:behavior w:val="content"/>
        </w:behaviors>
        <w:guid w:val="{B3D372A3-4645-41D4-B381-31EBE9DFB225}"/>
      </w:docPartPr>
      <w:docPartBody>
        <w:p w:rsidR="00AD2A41" w:rsidRDefault="00104CE1" w:rsidP="00104CE1">
          <w:pPr>
            <w:pStyle w:val="1758A017CD6B41D088D263D4E6DEDA78"/>
          </w:pPr>
          <w:r w:rsidRPr="00AD2E14">
            <w:rPr>
              <w:b/>
              <w:highlight w:val="lightGray"/>
            </w:rPr>
            <w:t>[Title]</w:t>
          </w:r>
        </w:p>
      </w:docPartBody>
    </w:docPart>
    <w:docPart>
      <w:docPartPr>
        <w:name w:val="CC1463DA7ABD447A96090107B133C92F"/>
        <w:category>
          <w:name w:val="General"/>
          <w:gallery w:val="placeholder"/>
        </w:category>
        <w:types>
          <w:type w:val="bbPlcHdr"/>
        </w:types>
        <w:behaviors>
          <w:behavior w:val="content"/>
        </w:behaviors>
        <w:guid w:val="{85A366F0-53D7-4EEB-B62C-BDA97979680B}"/>
      </w:docPartPr>
      <w:docPartBody>
        <w:p w:rsidR="00592430" w:rsidRDefault="00370A00" w:rsidP="00370A00">
          <w:pPr>
            <w:pStyle w:val="CC1463DA7ABD447A96090107B133C92F"/>
          </w:pPr>
          <w:r w:rsidRPr="00AD2E14">
            <w:rPr>
              <w:b/>
              <w:highlight w:val="lightGray"/>
            </w:rPr>
            <w:t>[Title]</w:t>
          </w:r>
        </w:p>
      </w:docPartBody>
    </w:docPart>
    <w:docPart>
      <w:docPartPr>
        <w:name w:val="6B52C7CDD4574D6782B02CB85E79AEDC"/>
        <w:category>
          <w:name w:val="General"/>
          <w:gallery w:val="placeholder"/>
        </w:category>
        <w:types>
          <w:type w:val="bbPlcHdr"/>
        </w:types>
        <w:behaviors>
          <w:behavior w:val="content"/>
        </w:behaviors>
        <w:guid w:val="{9FFC41C3-E141-425C-920D-BF98E0D829AE}"/>
      </w:docPartPr>
      <w:docPartBody>
        <w:p w:rsidR="002F2A3F" w:rsidRDefault="00BD7D82">
          <w:pPr>
            <w:pStyle w:val="6B52C7CDD4574D6782B02CB85E79AEDC"/>
          </w:pPr>
          <w:r w:rsidRPr="005F3D90">
            <w:rPr>
              <w:highlight w:val="lightGray"/>
            </w:rPr>
            <w:t xml:space="preserve">[Click to select </w:t>
          </w:r>
          <w:r>
            <w:rPr>
              <w:highlight w:val="lightGray"/>
            </w:rPr>
            <w:t>a date</w:t>
          </w:r>
          <w:r w:rsidRPr="005F3D90">
            <w:rPr>
              <w:highlight w:val="lightGray"/>
            </w:rPr>
            <w:t>]</w:t>
          </w:r>
        </w:p>
      </w:docPartBody>
    </w:docPart>
    <w:docPart>
      <w:docPartPr>
        <w:name w:val="1D183FCE16D04DBAB2EA9F06C740945E"/>
        <w:category>
          <w:name w:val="General"/>
          <w:gallery w:val="placeholder"/>
        </w:category>
        <w:types>
          <w:type w:val="bbPlcHdr"/>
        </w:types>
        <w:behaviors>
          <w:behavior w:val="content"/>
        </w:behaviors>
        <w:guid w:val="{60EA839C-E60E-43DC-B824-A26D05233697}"/>
      </w:docPartPr>
      <w:docPartBody>
        <w:p w:rsidR="00B35BEC" w:rsidRDefault="00BD7D82">
          <w:pPr>
            <w:pStyle w:val="1D183FCE16D04DBAB2EA9F06C740945E"/>
          </w:pPr>
          <w:r w:rsidRPr="00AD2E14">
            <w:rPr>
              <w:b/>
              <w:highlight w:val="lightGray"/>
            </w:rPr>
            <w:t>[Title]</w:t>
          </w:r>
        </w:p>
      </w:docPartBody>
    </w:docPart>
    <w:docPart>
      <w:docPartPr>
        <w:name w:val="F1B30C5AEB004994A6262674874B7B34"/>
        <w:category>
          <w:name w:val="General"/>
          <w:gallery w:val="placeholder"/>
        </w:category>
        <w:types>
          <w:type w:val="bbPlcHdr"/>
        </w:types>
        <w:behaviors>
          <w:behavior w:val="content"/>
        </w:behaviors>
        <w:guid w:val="{629A52E6-2FD6-4963-8D9C-0C52D3B76726}"/>
      </w:docPartPr>
      <w:docPartBody>
        <w:p w:rsidR="00BD7D82" w:rsidRDefault="00B35BEC" w:rsidP="00B35BEC">
          <w:pPr>
            <w:pStyle w:val="F1B30C5AEB004994A6262674874B7B34"/>
          </w:pPr>
          <w:r w:rsidRPr="00AD2E14">
            <w:rPr>
              <w:b/>
              <w:highlight w:val="lightGray"/>
            </w:rPr>
            <w:t>[Title]</w:t>
          </w:r>
        </w:p>
      </w:docPartBody>
    </w:docPart>
    <w:docPart>
      <w:docPartPr>
        <w:name w:val="F1D204BF7AAB4A69ADE110252FE44046"/>
        <w:category>
          <w:name w:val="General"/>
          <w:gallery w:val="placeholder"/>
        </w:category>
        <w:types>
          <w:type w:val="bbPlcHdr"/>
        </w:types>
        <w:behaviors>
          <w:behavior w:val="content"/>
        </w:behaviors>
        <w:guid w:val="{BCB8ED18-FA4A-4C46-8477-492340F1BF67}"/>
      </w:docPartPr>
      <w:docPartBody>
        <w:p w:rsidR="00BD7D82" w:rsidRDefault="00B35BEC" w:rsidP="00B35BEC">
          <w:pPr>
            <w:pStyle w:val="F1D204BF7AAB4A69ADE110252FE44046"/>
          </w:pPr>
          <w:r w:rsidRPr="00AD2E14">
            <w:rPr>
              <w:b/>
              <w:highlight w:val="lightGray"/>
            </w:rPr>
            <w:t>[Title]</w:t>
          </w:r>
        </w:p>
      </w:docPartBody>
    </w:docPart>
    <w:docPart>
      <w:docPartPr>
        <w:name w:val="8C95EC23ADA8403888A36759A5171A03"/>
        <w:category>
          <w:name w:val="General"/>
          <w:gallery w:val="placeholder"/>
        </w:category>
        <w:types>
          <w:type w:val="bbPlcHdr"/>
        </w:types>
        <w:behaviors>
          <w:behavior w:val="content"/>
        </w:behaviors>
        <w:guid w:val="{8A414595-D830-448F-A930-1C9377D41A50}"/>
      </w:docPartPr>
      <w:docPartBody>
        <w:p w:rsidR="00BD7D82" w:rsidRDefault="00B35BEC" w:rsidP="00B35BEC">
          <w:pPr>
            <w:pStyle w:val="8C95EC23ADA8403888A36759A5171A03"/>
          </w:pPr>
          <w:r w:rsidRPr="00AD2E14">
            <w:rPr>
              <w:b/>
              <w:highlight w:val="lightGray"/>
            </w:rPr>
            <w:t>[Title]</w:t>
          </w:r>
        </w:p>
      </w:docPartBody>
    </w:docPart>
    <w:docPart>
      <w:docPartPr>
        <w:name w:val="93CE704FC4684CD0955823AD0E391489"/>
        <w:category>
          <w:name w:val="General"/>
          <w:gallery w:val="placeholder"/>
        </w:category>
        <w:types>
          <w:type w:val="bbPlcHdr"/>
        </w:types>
        <w:behaviors>
          <w:behavior w:val="content"/>
        </w:behaviors>
        <w:guid w:val="{FC90CA97-984B-4913-AFE1-633450A65E7E}"/>
      </w:docPartPr>
      <w:docPartBody>
        <w:p w:rsidR="00BD7D82" w:rsidRDefault="00B35BEC" w:rsidP="00B35BEC">
          <w:pPr>
            <w:pStyle w:val="93CE704FC4684CD0955823AD0E391489"/>
          </w:pPr>
          <w:r w:rsidRPr="00AD2E14">
            <w:rPr>
              <w:b/>
              <w:highlight w:val="lightGray"/>
            </w:rPr>
            <w:t>[Title]</w:t>
          </w:r>
        </w:p>
      </w:docPartBody>
    </w:docPart>
    <w:docPart>
      <w:docPartPr>
        <w:name w:val="5961CCE4384A474DAF0A13D2A7C541DB"/>
        <w:category>
          <w:name w:val="General"/>
          <w:gallery w:val="placeholder"/>
        </w:category>
        <w:types>
          <w:type w:val="bbPlcHdr"/>
        </w:types>
        <w:behaviors>
          <w:behavior w:val="content"/>
        </w:behaviors>
        <w:guid w:val="{F8A513F6-B6A6-4281-B21C-262C5508EEF3}"/>
      </w:docPartPr>
      <w:docPartBody>
        <w:p w:rsidR="00BD7D82" w:rsidRDefault="00B35BEC" w:rsidP="00B35BEC">
          <w:pPr>
            <w:pStyle w:val="5961CCE4384A474DAF0A13D2A7C541DB"/>
          </w:pPr>
          <w:r w:rsidRPr="00AD2E14">
            <w:rPr>
              <w:b/>
              <w:highlight w:val="lightGray"/>
            </w:rPr>
            <w:t>[Title]</w:t>
          </w:r>
        </w:p>
      </w:docPartBody>
    </w:docPart>
    <w:docPart>
      <w:docPartPr>
        <w:name w:val="A732708EA6F44CB59B2398AF92E439BD"/>
        <w:category>
          <w:name w:val="General"/>
          <w:gallery w:val="placeholder"/>
        </w:category>
        <w:types>
          <w:type w:val="bbPlcHdr"/>
        </w:types>
        <w:behaviors>
          <w:behavior w:val="content"/>
        </w:behaviors>
        <w:guid w:val="{8DC29A31-6D2D-4835-AC05-3E2FD688B074}"/>
      </w:docPartPr>
      <w:docPartBody>
        <w:p w:rsidR="00BD7D82" w:rsidRDefault="00B35BEC" w:rsidP="00B35BEC">
          <w:pPr>
            <w:pStyle w:val="A732708EA6F44CB59B2398AF92E439BD"/>
          </w:pPr>
          <w:r w:rsidRPr="00AD2E14">
            <w:rPr>
              <w:b/>
              <w:highlight w:val="lightGray"/>
            </w:rPr>
            <w:t>[Title]</w:t>
          </w:r>
        </w:p>
      </w:docPartBody>
    </w:docPart>
    <w:docPart>
      <w:docPartPr>
        <w:name w:val="38A64778E6A0418E9EBFB742F375001E"/>
        <w:category>
          <w:name w:val="General"/>
          <w:gallery w:val="placeholder"/>
        </w:category>
        <w:types>
          <w:type w:val="bbPlcHdr"/>
        </w:types>
        <w:behaviors>
          <w:behavior w:val="content"/>
        </w:behaviors>
        <w:guid w:val="{06C15842-6999-41DF-AF49-2D3A640FEA4F}"/>
      </w:docPartPr>
      <w:docPartBody>
        <w:p w:rsidR="00BD7D82" w:rsidRDefault="00B35BEC" w:rsidP="00B35BEC">
          <w:pPr>
            <w:pStyle w:val="38A64778E6A0418E9EBFB742F375001E"/>
          </w:pPr>
          <w:r w:rsidRPr="00AD2E14">
            <w:rPr>
              <w:b/>
              <w:highlight w:val="lightGray"/>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D55"/>
    <w:rsid w:val="0000723C"/>
    <w:rsid w:val="000415C5"/>
    <w:rsid w:val="000445F8"/>
    <w:rsid w:val="00052CFE"/>
    <w:rsid w:val="000A4B83"/>
    <w:rsid w:val="000B5D06"/>
    <w:rsid w:val="000D1ECF"/>
    <w:rsid w:val="00104CE1"/>
    <w:rsid w:val="00106583"/>
    <w:rsid w:val="001B6630"/>
    <w:rsid w:val="001C3F76"/>
    <w:rsid w:val="001F5D1E"/>
    <w:rsid w:val="00216216"/>
    <w:rsid w:val="00234EFF"/>
    <w:rsid w:val="002620DA"/>
    <w:rsid w:val="002A4D0C"/>
    <w:rsid w:val="002B1729"/>
    <w:rsid w:val="002C261B"/>
    <w:rsid w:val="002D30EB"/>
    <w:rsid w:val="002F2A3F"/>
    <w:rsid w:val="003246C4"/>
    <w:rsid w:val="003427E2"/>
    <w:rsid w:val="00352879"/>
    <w:rsid w:val="00353932"/>
    <w:rsid w:val="00364C4A"/>
    <w:rsid w:val="00370A00"/>
    <w:rsid w:val="003776D4"/>
    <w:rsid w:val="00383CCB"/>
    <w:rsid w:val="003A2825"/>
    <w:rsid w:val="003D0774"/>
    <w:rsid w:val="00416F4C"/>
    <w:rsid w:val="00435B48"/>
    <w:rsid w:val="004615EF"/>
    <w:rsid w:val="00494D55"/>
    <w:rsid w:val="004A35C9"/>
    <w:rsid w:val="004B25BE"/>
    <w:rsid w:val="004C63E2"/>
    <w:rsid w:val="004F3E64"/>
    <w:rsid w:val="005101E1"/>
    <w:rsid w:val="0055659F"/>
    <w:rsid w:val="00570E43"/>
    <w:rsid w:val="00592430"/>
    <w:rsid w:val="00593A85"/>
    <w:rsid w:val="005D1E4E"/>
    <w:rsid w:val="005D2899"/>
    <w:rsid w:val="00607611"/>
    <w:rsid w:val="006E5FB2"/>
    <w:rsid w:val="006F240A"/>
    <w:rsid w:val="006F5115"/>
    <w:rsid w:val="00774B07"/>
    <w:rsid w:val="00775167"/>
    <w:rsid w:val="00782E66"/>
    <w:rsid w:val="00784536"/>
    <w:rsid w:val="007A5235"/>
    <w:rsid w:val="007C6189"/>
    <w:rsid w:val="008129B4"/>
    <w:rsid w:val="00822CB8"/>
    <w:rsid w:val="00841226"/>
    <w:rsid w:val="00863395"/>
    <w:rsid w:val="00880045"/>
    <w:rsid w:val="008F13D3"/>
    <w:rsid w:val="008F614E"/>
    <w:rsid w:val="00910CD8"/>
    <w:rsid w:val="00942769"/>
    <w:rsid w:val="00942F5E"/>
    <w:rsid w:val="009B7C41"/>
    <w:rsid w:val="009D23B2"/>
    <w:rsid w:val="00A140E5"/>
    <w:rsid w:val="00A16CDD"/>
    <w:rsid w:val="00A3035C"/>
    <w:rsid w:val="00A55949"/>
    <w:rsid w:val="00A81296"/>
    <w:rsid w:val="00A94F34"/>
    <w:rsid w:val="00AC2966"/>
    <w:rsid w:val="00AD2A41"/>
    <w:rsid w:val="00AD4D87"/>
    <w:rsid w:val="00B3253F"/>
    <w:rsid w:val="00B35BEC"/>
    <w:rsid w:val="00BB4CAF"/>
    <w:rsid w:val="00BB5ACE"/>
    <w:rsid w:val="00BD41A4"/>
    <w:rsid w:val="00BD7D82"/>
    <w:rsid w:val="00C30FBB"/>
    <w:rsid w:val="00C342AB"/>
    <w:rsid w:val="00C348EE"/>
    <w:rsid w:val="00C64D38"/>
    <w:rsid w:val="00C84D62"/>
    <w:rsid w:val="00CD49FB"/>
    <w:rsid w:val="00CF6878"/>
    <w:rsid w:val="00D0508C"/>
    <w:rsid w:val="00D16ED2"/>
    <w:rsid w:val="00D3145E"/>
    <w:rsid w:val="00D74C2D"/>
    <w:rsid w:val="00D85612"/>
    <w:rsid w:val="00D91F13"/>
    <w:rsid w:val="00DA0740"/>
    <w:rsid w:val="00DA25D2"/>
    <w:rsid w:val="00DD67A5"/>
    <w:rsid w:val="00DF74DC"/>
    <w:rsid w:val="00E47DD3"/>
    <w:rsid w:val="00E521A9"/>
    <w:rsid w:val="00ED127D"/>
    <w:rsid w:val="00F22185"/>
    <w:rsid w:val="00F31076"/>
    <w:rsid w:val="00F358CE"/>
    <w:rsid w:val="00F455C8"/>
    <w:rsid w:val="00F67376"/>
    <w:rsid w:val="00F7388C"/>
    <w:rsid w:val="00F75070"/>
    <w:rsid w:val="00F8137B"/>
    <w:rsid w:val="00F842DC"/>
    <w:rsid w:val="00FB1ABA"/>
    <w:rsid w:val="00FB326E"/>
    <w:rsid w:val="00FB530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FB2C22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ADE071DAEA41E78F612AFD418C39B7">
    <w:name w:val="7EADE071DAEA41E78F612AFD418C39B7"/>
  </w:style>
  <w:style w:type="paragraph" w:customStyle="1" w:styleId="34EC1314B48946F9AB9A023C3A43A56C">
    <w:name w:val="34EC1314B48946F9AB9A023C3A43A56C"/>
  </w:style>
  <w:style w:type="character" w:styleId="PlaceholderText">
    <w:name w:val="Placeholder Text"/>
    <w:basedOn w:val="DefaultParagraphFont"/>
    <w:uiPriority w:val="99"/>
    <w:semiHidden/>
    <w:rPr>
      <w:color w:val="808080"/>
    </w:rPr>
  </w:style>
  <w:style w:type="paragraph" w:customStyle="1" w:styleId="F3C3A57147344A77851F182346213046">
    <w:name w:val="F3C3A57147344A77851F182346213046"/>
  </w:style>
  <w:style w:type="paragraph" w:customStyle="1" w:styleId="1758A017CD6B41D088D263D4E6DEDA78">
    <w:name w:val="1758A017CD6B41D088D263D4E6DEDA78"/>
    <w:rsid w:val="00104CE1"/>
  </w:style>
  <w:style w:type="paragraph" w:customStyle="1" w:styleId="67DD3D462EAE4C6E8B7D70E61E480038">
    <w:name w:val="67DD3D462EAE4C6E8B7D70E61E480038"/>
  </w:style>
  <w:style w:type="paragraph" w:customStyle="1" w:styleId="C41C5A18611B41BDB65BD4BDF4A2EAF3">
    <w:name w:val="C41C5A18611B41BDB65BD4BDF4A2EAF3"/>
  </w:style>
  <w:style w:type="paragraph" w:customStyle="1" w:styleId="8354013ECA134B9FB69E14D68AF69B72">
    <w:name w:val="8354013ECA134B9FB69E14D68AF69B72"/>
  </w:style>
  <w:style w:type="paragraph" w:customStyle="1" w:styleId="2FD311BECF124DFFAEBE6B54F1D46810">
    <w:name w:val="2FD311BECF124DFFAEBE6B54F1D46810"/>
  </w:style>
  <w:style w:type="paragraph" w:customStyle="1" w:styleId="B9DE4E6574DA49069C706AC679A5F08E">
    <w:name w:val="B9DE4E6574DA49069C706AC679A5F08E"/>
  </w:style>
  <w:style w:type="paragraph" w:customStyle="1" w:styleId="7D23570527974AA099E9AC7114E4E31E">
    <w:name w:val="7D23570527974AA099E9AC7114E4E31E"/>
  </w:style>
  <w:style w:type="paragraph" w:customStyle="1" w:styleId="0D8C47B280514B998F856862935366E6">
    <w:name w:val="0D8C47B280514B998F856862935366E6"/>
  </w:style>
  <w:style w:type="paragraph" w:customStyle="1" w:styleId="F92DE4CB5F3D4409942609ECF7F112C8">
    <w:name w:val="F92DE4CB5F3D4409942609ECF7F112C8"/>
  </w:style>
  <w:style w:type="paragraph" w:customStyle="1" w:styleId="CBB558AD63A54A23BA83322EC5CE4376">
    <w:name w:val="CBB558AD63A54A23BA83322EC5CE4376"/>
  </w:style>
  <w:style w:type="paragraph" w:customStyle="1" w:styleId="214E0707627E471AB3EC0B79B6D2F405">
    <w:name w:val="214E0707627E471AB3EC0B79B6D2F405"/>
  </w:style>
  <w:style w:type="paragraph" w:customStyle="1" w:styleId="B4B87671E4104AA3857A6481E2189FCF">
    <w:name w:val="B4B87671E4104AA3857A6481E2189FCF"/>
    <w:rsid w:val="00494D55"/>
  </w:style>
  <w:style w:type="paragraph" w:customStyle="1" w:styleId="95E81FE8971D4DA0984381202E99ECBB">
    <w:name w:val="95E81FE8971D4DA0984381202E99ECBB"/>
    <w:rsid w:val="00494D55"/>
  </w:style>
  <w:style w:type="paragraph" w:customStyle="1" w:styleId="307D8913B3F44B87874977D2938EAB5A">
    <w:name w:val="307D8913B3F44B87874977D2938EAB5A"/>
    <w:rsid w:val="00494D55"/>
  </w:style>
  <w:style w:type="paragraph" w:customStyle="1" w:styleId="567F915EBA9D43F3BFA4445247AF7E8D">
    <w:name w:val="567F915EBA9D43F3BFA4445247AF7E8D"/>
    <w:rsid w:val="00494D55"/>
  </w:style>
  <w:style w:type="paragraph" w:customStyle="1" w:styleId="CC1463DA7ABD447A96090107B133C92F">
    <w:name w:val="CC1463DA7ABD447A96090107B133C92F"/>
    <w:rsid w:val="00370A00"/>
  </w:style>
  <w:style w:type="paragraph" w:customStyle="1" w:styleId="6B52C7CDD4574D6782B02CB85E79AEDC">
    <w:name w:val="6B52C7CDD4574D6782B02CB85E79AEDC"/>
    <w:rPr>
      <w:kern w:val="2"/>
      <w14:ligatures w14:val="standardContextual"/>
    </w:rPr>
  </w:style>
  <w:style w:type="paragraph" w:customStyle="1" w:styleId="1D183FCE16D04DBAB2EA9F06C740945E">
    <w:name w:val="1D183FCE16D04DBAB2EA9F06C740945E"/>
    <w:rPr>
      <w:kern w:val="2"/>
      <w14:ligatures w14:val="standardContextual"/>
    </w:rPr>
  </w:style>
  <w:style w:type="paragraph" w:customStyle="1" w:styleId="F1B30C5AEB004994A6262674874B7B34">
    <w:name w:val="F1B30C5AEB004994A6262674874B7B34"/>
    <w:rsid w:val="00B35BEC"/>
    <w:rPr>
      <w:kern w:val="2"/>
      <w14:ligatures w14:val="standardContextual"/>
    </w:rPr>
  </w:style>
  <w:style w:type="paragraph" w:customStyle="1" w:styleId="F1D204BF7AAB4A69ADE110252FE44046">
    <w:name w:val="F1D204BF7AAB4A69ADE110252FE44046"/>
    <w:rsid w:val="00B35BEC"/>
    <w:rPr>
      <w:kern w:val="2"/>
      <w14:ligatures w14:val="standardContextual"/>
    </w:rPr>
  </w:style>
  <w:style w:type="paragraph" w:customStyle="1" w:styleId="8C95EC23ADA8403888A36759A5171A03">
    <w:name w:val="8C95EC23ADA8403888A36759A5171A03"/>
    <w:rsid w:val="00B35BEC"/>
    <w:rPr>
      <w:kern w:val="2"/>
      <w14:ligatures w14:val="standardContextual"/>
    </w:rPr>
  </w:style>
  <w:style w:type="paragraph" w:customStyle="1" w:styleId="93CE704FC4684CD0955823AD0E391489">
    <w:name w:val="93CE704FC4684CD0955823AD0E391489"/>
    <w:rsid w:val="00B35BEC"/>
    <w:rPr>
      <w:kern w:val="2"/>
      <w14:ligatures w14:val="standardContextual"/>
    </w:rPr>
  </w:style>
  <w:style w:type="paragraph" w:customStyle="1" w:styleId="5961CCE4384A474DAF0A13D2A7C541DB">
    <w:name w:val="5961CCE4384A474DAF0A13D2A7C541DB"/>
    <w:rsid w:val="00B35BEC"/>
    <w:rPr>
      <w:kern w:val="2"/>
      <w14:ligatures w14:val="standardContextual"/>
    </w:rPr>
  </w:style>
  <w:style w:type="paragraph" w:customStyle="1" w:styleId="A732708EA6F44CB59B2398AF92E439BD">
    <w:name w:val="A732708EA6F44CB59B2398AF92E439BD"/>
    <w:rsid w:val="00B35BEC"/>
    <w:rPr>
      <w:kern w:val="2"/>
      <w14:ligatures w14:val="standardContextual"/>
    </w:rPr>
  </w:style>
  <w:style w:type="paragraph" w:customStyle="1" w:styleId="38A64778E6A0418E9EBFB742F375001E">
    <w:name w:val="38A64778E6A0418E9EBFB742F375001E"/>
    <w:rsid w:val="00B35BE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SC PINK">
      <a:dk1>
        <a:sysClr val="windowText" lastClr="000000"/>
      </a:dk1>
      <a:lt1>
        <a:sysClr val="window" lastClr="FFFFFF"/>
      </a:lt1>
      <a:dk2>
        <a:srgbClr val="4986A0"/>
      </a:dk2>
      <a:lt2>
        <a:srgbClr val="75787B"/>
      </a:lt2>
      <a:accent1>
        <a:srgbClr val="236192"/>
      </a:accent1>
      <a:accent2>
        <a:srgbClr val="CE0058"/>
      </a:accent2>
      <a:accent3>
        <a:srgbClr val="4986A0"/>
      </a:accent3>
      <a:accent4>
        <a:srgbClr val="ED8B00"/>
      </a:accent4>
      <a:accent5>
        <a:srgbClr val="183028"/>
      </a:accent5>
      <a:accent6>
        <a:srgbClr val="D50032"/>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F5B4F566EDE04E8FC82BBE258AC15C" ma:contentTypeVersion="14" ma:contentTypeDescription="Create a new document." ma:contentTypeScope="" ma:versionID="937e523ea204917ac0e26a8d22988327">
  <xsd:schema xmlns:xsd="http://www.w3.org/2001/XMLSchema" xmlns:xs="http://www.w3.org/2001/XMLSchema" xmlns:p="http://schemas.microsoft.com/office/2006/metadata/properties" xmlns:ns2="12fa1e3f-bff0-4a68-a0e1-8991d6694121" xmlns:ns3="1fe0551b-aea2-4114-b38d-c5f7409b7e34" targetNamespace="http://schemas.microsoft.com/office/2006/metadata/properties" ma:root="true" ma:fieldsID="8ab1ed9b54158f2d93e9be0bdcb76016" ns2:_="" ns3:_="">
    <xsd:import namespace="12fa1e3f-bff0-4a68-a0e1-8991d6694121"/>
    <xsd:import namespace="1fe0551b-aea2-4114-b38d-c5f7409b7e3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a1e3f-bff0-4a68-a0e1-8991d6694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f688115-0302-4e1f-a4da-adfe537ad00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e0551b-aea2-4114-b38d-c5f7409b7e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8288a8e-65dc-4165-b790-78dfaf9314fe}" ma:internalName="TaxCatchAll" ma:showField="CatchAllData" ma:web="1fe0551b-aea2-4114-b38d-c5f7409b7e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2fa1e3f-bff0-4a68-a0e1-8991d6694121">
      <Terms xmlns="http://schemas.microsoft.com/office/infopath/2007/PartnerControls"/>
    </lcf76f155ced4ddcb4097134ff3c332f>
    <TaxCatchAll xmlns="1fe0551b-aea2-4114-b38d-c5f7409b7e34" xsi:nil="true"/>
    <SharedWithUsers xmlns="1fe0551b-aea2-4114-b38d-c5f7409b7e34">
      <UserInfo>
        <DisplayName>Dean Wickenton (ESC)</DisplayName>
        <AccountId>30</AccountId>
        <AccountType/>
      </UserInfo>
      <UserInfo>
        <DisplayName>Marcus Crudden (ESC)</DisplayName>
        <AccountId>44</AccountId>
        <AccountType/>
      </UserInfo>
      <UserInfo>
        <DisplayName>Kate Brookes (ESC)</DisplayName>
        <AccountId>85</AccountId>
        <AccountType/>
      </UserInfo>
    </SharedWithUsers>
  </documentManagement>
</p:properties>
</file>

<file path=customXml/itemProps1.xml><?xml version="1.0" encoding="utf-8"?>
<ds:datastoreItem xmlns:ds="http://schemas.openxmlformats.org/officeDocument/2006/customXml" ds:itemID="{291246EF-D13B-472E-A1E2-E75FE3B6183A}">
  <ds:schemaRefs>
    <ds:schemaRef ds:uri="http://schemas.microsoft.com/sharepoint/v3/contenttype/forms"/>
  </ds:schemaRefs>
</ds:datastoreItem>
</file>

<file path=customXml/itemProps2.xml><?xml version="1.0" encoding="utf-8"?>
<ds:datastoreItem xmlns:ds="http://schemas.openxmlformats.org/officeDocument/2006/customXml" ds:itemID="{0CF6D13D-8769-4B38-B1CD-3D04BAB7D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a1e3f-bff0-4a68-a0e1-8991d6694121"/>
    <ds:schemaRef ds:uri="1fe0551b-aea2-4114-b38d-c5f7409b7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897EA1-FDE9-4134-A2A2-2566CF18171F}">
  <ds:schemaRefs>
    <ds:schemaRef ds:uri="http://schemas.openxmlformats.org/officeDocument/2006/bibliography"/>
  </ds:schemaRefs>
</ds:datastoreItem>
</file>

<file path=customXml/itemProps4.xml><?xml version="1.0" encoding="utf-8"?>
<ds:datastoreItem xmlns:ds="http://schemas.openxmlformats.org/officeDocument/2006/customXml" ds:itemID="{B93F963C-303C-4F5B-AC6B-7A1EA68D6D86}">
  <ds:schemaRefs>
    <ds:schemaRef ds:uri="http://schemas.microsoft.com/office/2006/metadata/properties"/>
    <ds:schemaRef ds:uri="http://schemas.microsoft.com/office/infopath/2007/PartnerControls"/>
    <ds:schemaRef ds:uri="12fa1e3f-bff0-4a68-a0e1-8991d6694121"/>
    <ds:schemaRef ds:uri="1fe0551b-aea2-4114-b38d-c5f7409b7e34"/>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83</Pages>
  <Words>21285</Words>
  <Characters>123455</Characters>
  <Application>Microsoft Office Word</Application>
  <DocSecurity>0</DocSecurity>
  <Lines>2469</Lines>
  <Paragraphs>1378</Paragraphs>
  <ScaleCrop>false</ScaleCrop>
  <Company/>
  <LinksUpToDate>false</LinksUpToDate>
  <CharactersWithSpaces>143362</CharactersWithSpaces>
  <SharedDoc>false</SharedDoc>
  <HLinks>
    <vt:vector size="312" baseType="variant">
      <vt:variant>
        <vt:i4>65551</vt:i4>
      </vt:variant>
      <vt:variant>
        <vt:i4>279</vt:i4>
      </vt:variant>
      <vt:variant>
        <vt:i4>0</vt:i4>
      </vt:variant>
      <vt:variant>
        <vt:i4>5</vt:i4>
      </vt:variant>
      <vt:variant>
        <vt:lpwstr>https://engage.vic.gov.au/ESC-water-price-review-2024</vt:lpwstr>
      </vt:variant>
      <vt:variant>
        <vt:lpwstr/>
      </vt:variant>
      <vt:variant>
        <vt:i4>65551</vt:i4>
      </vt:variant>
      <vt:variant>
        <vt:i4>276</vt:i4>
      </vt:variant>
      <vt:variant>
        <vt:i4>0</vt:i4>
      </vt:variant>
      <vt:variant>
        <vt:i4>5</vt:i4>
      </vt:variant>
      <vt:variant>
        <vt:lpwstr>https://engage.vic.gov.au/ESC-water-price-review-2024</vt:lpwstr>
      </vt:variant>
      <vt:variant>
        <vt:lpwstr/>
      </vt:variant>
      <vt:variant>
        <vt:i4>65551</vt:i4>
      </vt:variant>
      <vt:variant>
        <vt:i4>273</vt:i4>
      </vt:variant>
      <vt:variant>
        <vt:i4>0</vt:i4>
      </vt:variant>
      <vt:variant>
        <vt:i4>5</vt:i4>
      </vt:variant>
      <vt:variant>
        <vt:lpwstr>https://engage.vic.gov.au/ESC-water-price-review-2024</vt:lpwstr>
      </vt:variant>
      <vt:variant>
        <vt:lpwstr/>
      </vt:variant>
      <vt:variant>
        <vt:i4>1179696</vt:i4>
      </vt:variant>
      <vt:variant>
        <vt:i4>266</vt:i4>
      </vt:variant>
      <vt:variant>
        <vt:i4>0</vt:i4>
      </vt:variant>
      <vt:variant>
        <vt:i4>5</vt:i4>
      </vt:variant>
      <vt:variant>
        <vt:lpwstr/>
      </vt:variant>
      <vt:variant>
        <vt:lpwstr>_Toc161400076</vt:lpwstr>
      </vt:variant>
      <vt:variant>
        <vt:i4>1179696</vt:i4>
      </vt:variant>
      <vt:variant>
        <vt:i4>260</vt:i4>
      </vt:variant>
      <vt:variant>
        <vt:i4>0</vt:i4>
      </vt:variant>
      <vt:variant>
        <vt:i4>5</vt:i4>
      </vt:variant>
      <vt:variant>
        <vt:lpwstr/>
      </vt:variant>
      <vt:variant>
        <vt:lpwstr>_Toc161400075</vt:lpwstr>
      </vt:variant>
      <vt:variant>
        <vt:i4>1179696</vt:i4>
      </vt:variant>
      <vt:variant>
        <vt:i4>254</vt:i4>
      </vt:variant>
      <vt:variant>
        <vt:i4>0</vt:i4>
      </vt:variant>
      <vt:variant>
        <vt:i4>5</vt:i4>
      </vt:variant>
      <vt:variant>
        <vt:lpwstr/>
      </vt:variant>
      <vt:variant>
        <vt:lpwstr>_Toc161400070</vt:lpwstr>
      </vt:variant>
      <vt:variant>
        <vt:i4>1245232</vt:i4>
      </vt:variant>
      <vt:variant>
        <vt:i4>248</vt:i4>
      </vt:variant>
      <vt:variant>
        <vt:i4>0</vt:i4>
      </vt:variant>
      <vt:variant>
        <vt:i4>5</vt:i4>
      </vt:variant>
      <vt:variant>
        <vt:lpwstr/>
      </vt:variant>
      <vt:variant>
        <vt:lpwstr>_Toc161400069</vt:lpwstr>
      </vt:variant>
      <vt:variant>
        <vt:i4>1245232</vt:i4>
      </vt:variant>
      <vt:variant>
        <vt:i4>242</vt:i4>
      </vt:variant>
      <vt:variant>
        <vt:i4>0</vt:i4>
      </vt:variant>
      <vt:variant>
        <vt:i4>5</vt:i4>
      </vt:variant>
      <vt:variant>
        <vt:lpwstr/>
      </vt:variant>
      <vt:variant>
        <vt:lpwstr>_Toc161400068</vt:lpwstr>
      </vt:variant>
      <vt:variant>
        <vt:i4>1245232</vt:i4>
      </vt:variant>
      <vt:variant>
        <vt:i4>236</vt:i4>
      </vt:variant>
      <vt:variant>
        <vt:i4>0</vt:i4>
      </vt:variant>
      <vt:variant>
        <vt:i4>5</vt:i4>
      </vt:variant>
      <vt:variant>
        <vt:lpwstr/>
      </vt:variant>
      <vt:variant>
        <vt:lpwstr>_Toc161400067</vt:lpwstr>
      </vt:variant>
      <vt:variant>
        <vt:i4>1245232</vt:i4>
      </vt:variant>
      <vt:variant>
        <vt:i4>230</vt:i4>
      </vt:variant>
      <vt:variant>
        <vt:i4>0</vt:i4>
      </vt:variant>
      <vt:variant>
        <vt:i4>5</vt:i4>
      </vt:variant>
      <vt:variant>
        <vt:lpwstr/>
      </vt:variant>
      <vt:variant>
        <vt:lpwstr>_Toc161400066</vt:lpwstr>
      </vt:variant>
      <vt:variant>
        <vt:i4>1245232</vt:i4>
      </vt:variant>
      <vt:variant>
        <vt:i4>224</vt:i4>
      </vt:variant>
      <vt:variant>
        <vt:i4>0</vt:i4>
      </vt:variant>
      <vt:variant>
        <vt:i4>5</vt:i4>
      </vt:variant>
      <vt:variant>
        <vt:lpwstr/>
      </vt:variant>
      <vt:variant>
        <vt:lpwstr>_Toc161400065</vt:lpwstr>
      </vt:variant>
      <vt:variant>
        <vt:i4>1245232</vt:i4>
      </vt:variant>
      <vt:variant>
        <vt:i4>218</vt:i4>
      </vt:variant>
      <vt:variant>
        <vt:i4>0</vt:i4>
      </vt:variant>
      <vt:variant>
        <vt:i4>5</vt:i4>
      </vt:variant>
      <vt:variant>
        <vt:lpwstr/>
      </vt:variant>
      <vt:variant>
        <vt:lpwstr>_Toc161400064</vt:lpwstr>
      </vt:variant>
      <vt:variant>
        <vt:i4>1245232</vt:i4>
      </vt:variant>
      <vt:variant>
        <vt:i4>212</vt:i4>
      </vt:variant>
      <vt:variant>
        <vt:i4>0</vt:i4>
      </vt:variant>
      <vt:variant>
        <vt:i4>5</vt:i4>
      </vt:variant>
      <vt:variant>
        <vt:lpwstr/>
      </vt:variant>
      <vt:variant>
        <vt:lpwstr>_Toc161400063</vt:lpwstr>
      </vt:variant>
      <vt:variant>
        <vt:i4>1245232</vt:i4>
      </vt:variant>
      <vt:variant>
        <vt:i4>206</vt:i4>
      </vt:variant>
      <vt:variant>
        <vt:i4>0</vt:i4>
      </vt:variant>
      <vt:variant>
        <vt:i4>5</vt:i4>
      </vt:variant>
      <vt:variant>
        <vt:lpwstr/>
      </vt:variant>
      <vt:variant>
        <vt:lpwstr>_Toc161400062</vt:lpwstr>
      </vt:variant>
      <vt:variant>
        <vt:i4>1048624</vt:i4>
      </vt:variant>
      <vt:variant>
        <vt:i4>200</vt:i4>
      </vt:variant>
      <vt:variant>
        <vt:i4>0</vt:i4>
      </vt:variant>
      <vt:variant>
        <vt:i4>5</vt:i4>
      </vt:variant>
      <vt:variant>
        <vt:lpwstr/>
      </vt:variant>
      <vt:variant>
        <vt:lpwstr>_Toc161400058</vt:lpwstr>
      </vt:variant>
      <vt:variant>
        <vt:i4>1048624</vt:i4>
      </vt:variant>
      <vt:variant>
        <vt:i4>194</vt:i4>
      </vt:variant>
      <vt:variant>
        <vt:i4>0</vt:i4>
      </vt:variant>
      <vt:variant>
        <vt:i4>5</vt:i4>
      </vt:variant>
      <vt:variant>
        <vt:lpwstr/>
      </vt:variant>
      <vt:variant>
        <vt:lpwstr>_Toc161400057</vt:lpwstr>
      </vt:variant>
      <vt:variant>
        <vt:i4>1048624</vt:i4>
      </vt:variant>
      <vt:variant>
        <vt:i4>188</vt:i4>
      </vt:variant>
      <vt:variant>
        <vt:i4>0</vt:i4>
      </vt:variant>
      <vt:variant>
        <vt:i4>5</vt:i4>
      </vt:variant>
      <vt:variant>
        <vt:lpwstr/>
      </vt:variant>
      <vt:variant>
        <vt:lpwstr>_Toc161400056</vt:lpwstr>
      </vt:variant>
      <vt:variant>
        <vt:i4>1048624</vt:i4>
      </vt:variant>
      <vt:variant>
        <vt:i4>182</vt:i4>
      </vt:variant>
      <vt:variant>
        <vt:i4>0</vt:i4>
      </vt:variant>
      <vt:variant>
        <vt:i4>5</vt:i4>
      </vt:variant>
      <vt:variant>
        <vt:lpwstr/>
      </vt:variant>
      <vt:variant>
        <vt:lpwstr>_Toc161400053</vt:lpwstr>
      </vt:variant>
      <vt:variant>
        <vt:i4>1048624</vt:i4>
      </vt:variant>
      <vt:variant>
        <vt:i4>176</vt:i4>
      </vt:variant>
      <vt:variant>
        <vt:i4>0</vt:i4>
      </vt:variant>
      <vt:variant>
        <vt:i4>5</vt:i4>
      </vt:variant>
      <vt:variant>
        <vt:lpwstr/>
      </vt:variant>
      <vt:variant>
        <vt:lpwstr>_Toc161400052</vt:lpwstr>
      </vt:variant>
      <vt:variant>
        <vt:i4>1048624</vt:i4>
      </vt:variant>
      <vt:variant>
        <vt:i4>170</vt:i4>
      </vt:variant>
      <vt:variant>
        <vt:i4>0</vt:i4>
      </vt:variant>
      <vt:variant>
        <vt:i4>5</vt:i4>
      </vt:variant>
      <vt:variant>
        <vt:lpwstr/>
      </vt:variant>
      <vt:variant>
        <vt:lpwstr>_Toc161400051</vt:lpwstr>
      </vt:variant>
      <vt:variant>
        <vt:i4>1048624</vt:i4>
      </vt:variant>
      <vt:variant>
        <vt:i4>164</vt:i4>
      </vt:variant>
      <vt:variant>
        <vt:i4>0</vt:i4>
      </vt:variant>
      <vt:variant>
        <vt:i4>5</vt:i4>
      </vt:variant>
      <vt:variant>
        <vt:lpwstr/>
      </vt:variant>
      <vt:variant>
        <vt:lpwstr>_Toc161400050</vt:lpwstr>
      </vt:variant>
      <vt:variant>
        <vt:i4>1114160</vt:i4>
      </vt:variant>
      <vt:variant>
        <vt:i4>158</vt:i4>
      </vt:variant>
      <vt:variant>
        <vt:i4>0</vt:i4>
      </vt:variant>
      <vt:variant>
        <vt:i4>5</vt:i4>
      </vt:variant>
      <vt:variant>
        <vt:lpwstr/>
      </vt:variant>
      <vt:variant>
        <vt:lpwstr>_Toc161400049</vt:lpwstr>
      </vt:variant>
      <vt:variant>
        <vt:i4>1114160</vt:i4>
      </vt:variant>
      <vt:variant>
        <vt:i4>152</vt:i4>
      </vt:variant>
      <vt:variant>
        <vt:i4>0</vt:i4>
      </vt:variant>
      <vt:variant>
        <vt:i4>5</vt:i4>
      </vt:variant>
      <vt:variant>
        <vt:lpwstr/>
      </vt:variant>
      <vt:variant>
        <vt:lpwstr>_Toc161400048</vt:lpwstr>
      </vt:variant>
      <vt:variant>
        <vt:i4>1114160</vt:i4>
      </vt:variant>
      <vt:variant>
        <vt:i4>146</vt:i4>
      </vt:variant>
      <vt:variant>
        <vt:i4>0</vt:i4>
      </vt:variant>
      <vt:variant>
        <vt:i4>5</vt:i4>
      </vt:variant>
      <vt:variant>
        <vt:lpwstr/>
      </vt:variant>
      <vt:variant>
        <vt:lpwstr>_Toc161400045</vt:lpwstr>
      </vt:variant>
      <vt:variant>
        <vt:i4>1114160</vt:i4>
      </vt:variant>
      <vt:variant>
        <vt:i4>140</vt:i4>
      </vt:variant>
      <vt:variant>
        <vt:i4>0</vt:i4>
      </vt:variant>
      <vt:variant>
        <vt:i4>5</vt:i4>
      </vt:variant>
      <vt:variant>
        <vt:lpwstr/>
      </vt:variant>
      <vt:variant>
        <vt:lpwstr>_Toc161400044</vt:lpwstr>
      </vt:variant>
      <vt:variant>
        <vt:i4>1114160</vt:i4>
      </vt:variant>
      <vt:variant>
        <vt:i4>134</vt:i4>
      </vt:variant>
      <vt:variant>
        <vt:i4>0</vt:i4>
      </vt:variant>
      <vt:variant>
        <vt:i4>5</vt:i4>
      </vt:variant>
      <vt:variant>
        <vt:lpwstr/>
      </vt:variant>
      <vt:variant>
        <vt:lpwstr>_Toc161400043</vt:lpwstr>
      </vt:variant>
      <vt:variant>
        <vt:i4>1114160</vt:i4>
      </vt:variant>
      <vt:variant>
        <vt:i4>128</vt:i4>
      </vt:variant>
      <vt:variant>
        <vt:i4>0</vt:i4>
      </vt:variant>
      <vt:variant>
        <vt:i4>5</vt:i4>
      </vt:variant>
      <vt:variant>
        <vt:lpwstr/>
      </vt:variant>
      <vt:variant>
        <vt:lpwstr>_Toc161400042</vt:lpwstr>
      </vt:variant>
      <vt:variant>
        <vt:i4>1114160</vt:i4>
      </vt:variant>
      <vt:variant>
        <vt:i4>122</vt:i4>
      </vt:variant>
      <vt:variant>
        <vt:i4>0</vt:i4>
      </vt:variant>
      <vt:variant>
        <vt:i4>5</vt:i4>
      </vt:variant>
      <vt:variant>
        <vt:lpwstr/>
      </vt:variant>
      <vt:variant>
        <vt:lpwstr>_Toc161400041</vt:lpwstr>
      </vt:variant>
      <vt:variant>
        <vt:i4>1114160</vt:i4>
      </vt:variant>
      <vt:variant>
        <vt:i4>116</vt:i4>
      </vt:variant>
      <vt:variant>
        <vt:i4>0</vt:i4>
      </vt:variant>
      <vt:variant>
        <vt:i4>5</vt:i4>
      </vt:variant>
      <vt:variant>
        <vt:lpwstr/>
      </vt:variant>
      <vt:variant>
        <vt:lpwstr>_Toc161400040</vt:lpwstr>
      </vt:variant>
      <vt:variant>
        <vt:i4>1441840</vt:i4>
      </vt:variant>
      <vt:variant>
        <vt:i4>110</vt:i4>
      </vt:variant>
      <vt:variant>
        <vt:i4>0</vt:i4>
      </vt:variant>
      <vt:variant>
        <vt:i4>5</vt:i4>
      </vt:variant>
      <vt:variant>
        <vt:lpwstr/>
      </vt:variant>
      <vt:variant>
        <vt:lpwstr>_Toc161400037</vt:lpwstr>
      </vt:variant>
      <vt:variant>
        <vt:i4>1441840</vt:i4>
      </vt:variant>
      <vt:variant>
        <vt:i4>104</vt:i4>
      </vt:variant>
      <vt:variant>
        <vt:i4>0</vt:i4>
      </vt:variant>
      <vt:variant>
        <vt:i4>5</vt:i4>
      </vt:variant>
      <vt:variant>
        <vt:lpwstr/>
      </vt:variant>
      <vt:variant>
        <vt:lpwstr>_Toc161400034</vt:lpwstr>
      </vt:variant>
      <vt:variant>
        <vt:i4>1441840</vt:i4>
      </vt:variant>
      <vt:variant>
        <vt:i4>98</vt:i4>
      </vt:variant>
      <vt:variant>
        <vt:i4>0</vt:i4>
      </vt:variant>
      <vt:variant>
        <vt:i4>5</vt:i4>
      </vt:variant>
      <vt:variant>
        <vt:lpwstr/>
      </vt:variant>
      <vt:variant>
        <vt:lpwstr>_Toc161400032</vt:lpwstr>
      </vt:variant>
      <vt:variant>
        <vt:i4>1507376</vt:i4>
      </vt:variant>
      <vt:variant>
        <vt:i4>92</vt:i4>
      </vt:variant>
      <vt:variant>
        <vt:i4>0</vt:i4>
      </vt:variant>
      <vt:variant>
        <vt:i4>5</vt:i4>
      </vt:variant>
      <vt:variant>
        <vt:lpwstr/>
      </vt:variant>
      <vt:variant>
        <vt:lpwstr>_Toc161400029</vt:lpwstr>
      </vt:variant>
      <vt:variant>
        <vt:i4>1507376</vt:i4>
      </vt:variant>
      <vt:variant>
        <vt:i4>86</vt:i4>
      </vt:variant>
      <vt:variant>
        <vt:i4>0</vt:i4>
      </vt:variant>
      <vt:variant>
        <vt:i4>5</vt:i4>
      </vt:variant>
      <vt:variant>
        <vt:lpwstr/>
      </vt:variant>
      <vt:variant>
        <vt:lpwstr>_Toc161400028</vt:lpwstr>
      </vt:variant>
      <vt:variant>
        <vt:i4>1507376</vt:i4>
      </vt:variant>
      <vt:variant>
        <vt:i4>80</vt:i4>
      </vt:variant>
      <vt:variant>
        <vt:i4>0</vt:i4>
      </vt:variant>
      <vt:variant>
        <vt:i4>5</vt:i4>
      </vt:variant>
      <vt:variant>
        <vt:lpwstr/>
      </vt:variant>
      <vt:variant>
        <vt:lpwstr>_Toc161400027</vt:lpwstr>
      </vt:variant>
      <vt:variant>
        <vt:i4>1507376</vt:i4>
      </vt:variant>
      <vt:variant>
        <vt:i4>74</vt:i4>
      </vt:variant>
      <vt:variant>
        <vt:i4>0</vt:i4>
      </vt:variant>
      <vt:variant>
        <vt:i4>5</vt:i4>
      </vt:variant>
      <vt:variant>
        <vt:lpwstr/>
      </vt:variant>
      <vt:variant>
        <vt:lpwstr>_Toc161400026</vt:lpwstr>
      </vt:variant>
      <vt:variant>
        <vt:i4>1507376</vt:i4>
      </vt:variant>
      <vt:variant>
        <vt:i4>68</vt:i4>
      </vt:variant>
      <vt:variant>
        <vt:i4>0</vt:i4>
      </vt:variant>
      <vt:variant>
        <vt:i4>5</vt:i4>
      </vt:variant>
      <vt:variant>
        <vt:lpwstr/>
      </vt:variant>
      <vt:variant>
        <vt:lpwstr>_Toc161400023</vt:lpwstr>
      </vt:variant>
      <vt:variant>
        <vt:i4>1507376</vt:i4>
      </vt:variant>
      <vt:variant>
        <vt:i4>62</vt:i4>
      </vt:variant>
      <vt:variant>
        <vt:i4>0</vt:i4>
      </vt:variant>
      <vt:variant>
        <vt:i4>5</vt:i4>
      </vt:variant>
      <vt:variant>
        <vt:lpwstr/>
      </vt:variant>
      <vt:variant>
        <vt:lpwstr>_Toc161400022</vt:lpwstr>
      </vt:variant>
      <vt:variant>
        <vt:i4>1507376</vt:i4>
      </vt:variant>
      <vt:variant>
        <vt:i4>56</vt:i4>
      </vt:variant>
      <vt:variant>
        <vt:i4>0</vt:i4>
      </vt:variant>
      <vt:variant>
        <vt:i4>5</vt:i4>
      </vt:variant>
      <vt:variant>
        <vt:lpwstr/>
      </vt:variant>
      <vt:variant>
        <vt:lpwstr>_Toc161400021</vt:lpwstr>
      </vt:variant>
      <vt:variant>
        <vt:i4>1507376</vt:i4>
      </vt:variant>
      <vt:variant>
        <vt:i4>50</vt:i4>
      </vt:variant>
      <vt:variant>
        <vt:i4>0</vt:i4>
      </vt:variant>
      <vt:variant>
        <vt:i4>5</vt:i4>
      </vt:variant>
      <vt:variant>
        <vt:lpwstr/>
      </vt:variant>
      <vt:variant>
        <vt:lpwstr>_Toc161400020</vt:lpwstr>
      </vt:variant>
      <vt:variant>
        <vt:i4>1310768</vt:i4>
      </vt:variant>
      <vt:variant>
        <vt:i4>44</vt:i4>
      </vt:variant>
      <vt:variant>
        <vt:i4>0</vt:i4>
      </vt:variant>
      <vt:variant>
        <vt:i4>5</vt:i4>
      </vt:variant>
      <vt:variant>
        <vt:lpwstr/>
      </vt:variant>
      <vt:variant>
        <vt:lpwstr>_Toc161400019</vt:lpwstr>
      </vt:variant>
      <vt:variant>
        <vt:i4>1310768</vt:i4>
      </vt:variant>
      <vt:variant>
        <vt:i4>38</vt:i4>
      </vt:variant>
      <vt:variant>
        <vt:i4>0</vt:i4>
      </vt:variant>
      <vt:variant>
        <vt:i4>5</vt:i4>
      </vt:variant>
      <vt:variant>
        <vt:lpwstr/>
      </vt:variant>
      <vt:variant>
        <vt:lpwstr>_Toc161400018</vt:lpwstr>
      </vt:variant>
      <vt:variant>
        <vt:i4>1310768</vt:i4>
      </vt:variant>
      <vt:variant>
        <vt:i4>32</vt:i4>
      </vt:variant>
      <vt:variant>
        <vt:i4>0</vt:i4>
      </vt:variant>
      <vt:variant>
        <vt:i4>5</vt:i4>
      </vt:variant>
      <vt:variant>
        <vt:lpwstr/>
      </vt:variant>
      <vt:variant>
        <vt:lpwstr>_Toc161400017</vt:lpwstr>
      </vt:variant>
      <vt:variant>
        <vt:i4>1310768</vt:i4>
      </vt:variant>
      <vt:variant>
        <vt:i4>26</vt:i4>
      </vt:variant>
      <vt:variant>
        <vt:i4>0</vt:i4>
      </vt:variant>
      <vt:variant>
        <vt:i4>5</vt:i4>
      </vt:variant>
      <vt:variant>
        <vt:lpwstr/>
      </vt:variant>
      <vt:variant>
        <vt:lpwstr>_Toc161400016</vt:lpwstr>
      </vt:variant>
      <vt:variant>
        <vt:i4>1310768</vt:i4>
      </vt:variant>
      <vt:variant>
        <vt:i4>20</vt:i4>
      </vt:variant>
      <vt:variant>
        <vt:i4>0</vt:i4>
      </vt:variant>
      <vt:variant>
        <vt:i4>5</vt:i4>
      </vt:variant>
      <vt:variant>
        <vt:lpwstr/>
      </vt:variant>
      <vt:variant>
        <vt:lpwstr>_Toc161400015</vt:lpwstr>
      </vt:variant>
      <vt:variant>
        <vt:i4>1310768</vt:i4>
      </vt:variant>
      <vt:variant>
        <vt:i4>14</vt:i4>
      </vt:variant>
      <vt:variant>
        <vt:i4>0</vt:i4>
      </vt:variant>
      <vt:variant>
        <vt:i4>5</vt:i4>
      </vt:variant>
      <vt:variant>
        <vt:lpwstr/>
      </vt:variant>
      <vt:variant>
        <vt:lpwstr>_Toc161400014</vt:lpwstr>
      </vt:variant>
      <vt:variant>
        <vt:i4>1310768</vt:i4>
      </vt:variant>
      <vt:variant>
        <vt:i4>8</vt:i4>
      </vt:variant>
      <vt:variant>
        <vt:i4>0</vt:i4>
      </vt:variant>
      <vt:variant>
        <vt:i4>5</vt:i4>
      </vt:variant>
      <vt:variant>
        <vt:lpwstr/>
      </vt:variant>
      <vt:variant>
        <vt:lpwstr>_Toc161400013</vt:lpwstr>
      </vt:variant>
      <vt:variant>
        <vt:i4>1376304</vt:i4>
      </vt:variant>
      <vt:variant>
        <vt:i4>2</vt:i4>
      </vt:variant>
      <vt:variant>
        <vt:i4>0</vt:i4>
      </vt:variant>
      <vt:variant>
        <vt:i4>5</vt:i4>
      </vt:variant>
      <vt:variant>
        <vt:lpwstr/>
      </vt:variant>
      <vt:variant>
        <vt:lpwstr>_Toc161400004</vt:lpwstr>
      </vt:variant>
      <vt:variant>
        <vt:i4>3538983</vt:i4>
      </vt:variant>
      <vt:variant>
        <vt:i4>9</vt:i4>
      </vt:variant>
      <vt:variant>
        <vt:i4>0</vt:i4>
      </vt:variant>
      <vt:variant>
        <vt:i4>5</vt:i4>
      </vt:variant>
      <vt:variant>
        <vt:lpwstr>https://www.g-mwater.com.au/about/gmw-overview</vt:lpwstr>
      </vt:variant>
      <vt:variant>
        <vt:lpwstr/>
      </vt:variant>
      <vt:variant>
        <vt:i4>3080295</vt:i4>
      </vt:variant>
      <vt:variant>
        <vt:i4>6</vt:i4>
      </vt:variant>
      <vt:variant>
        <vt:i4>0</vt:i4>
      </vt:variant>
      <vt:variant>
        <vt:i4>5</vt:i4>
      </vt:variant>
      <vt:variant>
        <vt:lpwstr>https://www.waternsw.com.au/customer-services/water-licensing/applications-and-fees</vt:lpwstr>
      </vt:variant>
      <vt:variant>
        <vt:lpwstr/>
      </vt:variant>
      <vt:variant>
        <vt:i4>458830</vt:i4>
      </vt:variant>
      <vt:variant>
        <vt:i4>3</vt:i4>
      </vt:variant>
      <vt:variant>
        <vt:i4>0</vt:i4>
      </vt:variant>
      <vt:variant>
        <vt:i4>5</vt:i4>
      </vt:variant>
      <vt:variant>
        <vt:lpwstr>https://escvic.sharepoint.com/teams/2023WaterPriceReview/Shared Documents/PMs and Project management/Decision paper templates - working files/www.esc.vic.gov.au</vt:lpwstr>
      </vt:variant>
      <vt:variant>
        <vt:lpwstr/>
      </vt:variant>
      <vt:variant>
        <vt:i4>8061041</vt:i4>
      </vt:variant>
      <vt:variant>
        <vt:i4>0</vt:i4>
      </vt:variant>
      <vt:variant>
        <vt:i4>0</vt:i4>
      </vt:variant>
      <vt:variant>
        <vt:i4>5</vt:i4>
      </vt:variant>
      <vt:variant>
        <vt:lpwstr>https://www.accc.gov.au/by-industry/water/water-charge-rules/goulburn-murray-water-decisions-under-part-6-of-the-water-charge-rules-2010/goulburn-murray-water-part-6-ceasing-decision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Goulburn-Murray Water draft decision</dc:title>
  <dc:subject/>
  <dc:creator>Robyn Keely (ESC)</dc:creator>
  <cp:keywords>[SEC=UNOFFICIAL]</cp:keywords>
  <dc:description>2024 Water Price Review</dc:description>
  <cp:lastModifiedBy>John Kalu (ESC)</cp:lastModifiedBy>
  <cp:revision>24</cp:revision>
  <cp:lastPrinted>2024-03-21T03:09:00Z</cp:lastPrinted>
  <dcterms:created xsi:type="dcterms:W3CDTF">2024-03-21T00:01:00Z</dcterms:created>
  <dcterms:modified xsi:type="dcterms:W3CDTF">2024-03-21T03:09:00Z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Caveats_Count">
    <vt:lpwstr>0</vt:lpwstr>
  </property>
  <property fmtid="{D5CDD505-2E9C-101B-9397-08002B2CF9AE}" pid="4" name="PM_Qualifier">
    <vt:lpwstr/>
  </property>
  <property fmtid="{D5CDD505-2E9C-101B-9397-08002B2CF9AE}" pid="5" name="PM_SecurityClassification">
    <vt:lpwstr>UNOFFICIAL</vt:lpwstr>
  </property>
  <property fmtid="{D5CDD505-2E9C-101B-9397-08002B2CF9AE}" pid="6" name="PM_Originating_FileId">
    <vt:lpwstr>95935E9E7672451A841D0E6FD986A94B</vt:lpwstr>
  </property>
  <property fmtid="{D5CDD505-2E9C-101B-9397-08002B2CF9AE}" pid="7" name="PM_ProtectiveMarkingImage_Footer">
    <vt:lpwstr>C:\Program Files\Common Files\janusNET Shared\janusSEAL\Images\DocumentSlashBlue.png</vt:lpwstr>
  </property>
  <property fmtid="{D5CDD505-2E9C-101B-9397-08002B2CF9AE}" pid="8" name="PM_Namespace">
    <vt:lpwstr>2019.2.1.vic.gov.au</vt:lpwstr>
  </property>
  <property fmtid="{D5CDD505-2E9C-101B-9397-08002B2CF9AE}" pid="9" name="PM_Version">
    <vt:lpwstr>2018.4</vt:lpwstr>
  </property>
  <property fmtid="{D5CDD505-2E9C-101B-9397-08002B2CF9AE}" pid="10" name="PM_Note">
    <vt:lpwstr/>
  </property>
  <property fmtid="{D5CDD505-2E9C-101B-9397-08002B2CF9AE}" pid="11" name="PM_Markers">
    <vt:lpwstr/>
  </property>
  <property fmtid="{D5CDD505-2E9C-101B-9397-08002B2CF9AE}" pid="12" name="PMUuid">
    <vt:lpwstr>v=2022.2;d=vic.gov.au;g=DBB53C2B-A4B8-50FB-B09D-42EC596A5DC3</vt:lpwstr>
  </property>
  <property fmtid="{D5CDD505-2E9C-101B-9397-08002B2CF9AE}" pid="13" name="PM_Hash_Version">
    <vt:lpwstr>2022.1</vt:lpwstr>
  </property>
  <property fmtid="{D5CDD505-2E9C-101B-9397-08002B2CF9AE}" pid="14" name="PM_OriginatorDomainName_SHA256">
    <vt:lpwstr>9E5929A2B0C9364118E50F7972B6A4AA763F815A803675E11226272E392AE99C</vt:lpwstr>
  </property>
  <property fmtid="{D5CDD505-2E9C-101B-9397-08002B2CF9AE}" pid="15" name="PM_SecurityClassification_Prev">
    <vt:lpwstr>UNOFFICIAL</vt:lpwstr>
  </property>
  <property fmtid="{D5CDD505-2E9C-101B-9397-08002B2CF9AE}" pid="16" name="PM_Qualifier_Prev">
    <vt:lpwstr/>
  </property>
  <property fmtid="{D5CDD505-2E9C-101B-9397-08002B2CF9AE}" pid="17" name="ContentTypeId">
    <vt:lpwstr>0x0101008AF5B4F566EDE04E8FC82BBE258AC15C</vt:lpwstr>
  </property>
  <property fmtid="{D5CDD505-2E9C-101B-9397-08002B2CF9AE}" pid="18" name="MediaServiceImageTags">
    <vt:lpwstr/>
  </property>
  <property fmtid="{D5CDD505-2E9C-101B-9397-08002B2CF9AE}" pid="19" name="PM_DisplayValueSecClassificationWithQualifier">
    <vt:lpwstr>UNOFFICIAL</vt:lpwstr>
  </property>
  <property fmtid="{D5CDD505-2E9C-101B-9397-08002B2CF9AE}" pid="20" name="PM_InsertionValue">
    <vt:lpwstr>UNOFFICIAL</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Display">
    <vt:lpwstr>UNOFFICIAL</vt:lpwstr>
  </property>
  <property fmtid="{D5CDD505-2E9C-101B-9397-08002B2CF9AE}" pid="24" name="PM_Originator_Hash_SHA1">
    <vt:lpwstr>037D6CF88531C09FE30381555538CED2DEF6D42A</vt:lpwstr>
  </property>
  <property fmtid="{D5CDD505-2E9C-101B-9397-08002B2CF9AE}" pid="25" name="PM_OriginatorUserAccountName_SHA256">
    <vt:lpwstr>DB46ECA7B39E9C7A090BAF0AA4687C82F4339304A8D425C89AA61B9FACF63FDA</vt:lpwstr>
  </property>
  <property fmtid="{D5CDD505-2E9C-101B-9397-08002B2CF9AE}" pid="26" name="PM_Hash_Salt_Prev">
    <vt:lpwstr>D9435860D90513354C755451F02AA0F5</vt:lpwstr>
  </property>
  <property fmtid="{D5CDD505-2E9C-101B-9397-08002B2CF9AE}" pid="27" name="PM_OriginationTimeStamp">
    <vt:lpwstr>2024-03-21T00:18:35Z</vt:lpwstr>
  </property>
  <property fmtid="{D5CDD505-2E9C-101B-9397-08002B2CF9AE}" pid="28" name="PM_Hash_Salt">
    <vt:lpwstr>03642E02A9B79EF400CE2F24B3DE2847</vt:lpwstr>
  </property>
  <property fmtid="{D5CDD505-2E9C-101B-9397-08002B2CF9AE}" pid="29" name="PM_Hash_SHA1">
    <vt:lpwstr>C66B644E38F81FEEBFBC0DB7834C9C67EEEC698E</vt:lpwstr>
  </property>
  <property fmtid="{D5CDD505-2E9C-101B-9397-08002B2CF9AE}" pid="30" name="PMHMAC">
    <vt:lpwstr>v=2022.1;a=SHA256;h=416534A1FBDD66D5051C86571CF2897D2C8C9C2172692EF527EB0FE3BAA069B9</vt:lpwstr>
  </property>
</Properties>
</file>